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B5E" w:rsidRPr="009A0D62" w:rsidRDefault="00851B81">
      <w:pPr>
        <w:jc w:val="right"/>
        <w:rPr>
          <w:sz w:val="24"/>
          <w:szCs w:val="24"/>
        </w:rPr>
      </w:pPr>
      <w:r w:rsidRPr="009A0D62">
        <w:rPr>
          <w:sz w:val="24"/>
          <w:szCs w:val="24"/>
        </w:rPr>
        <w:t xml:space="preserve">Příloha k čj. </w:t>
      </w:r>
      <w:r w:rsidR="00E04171" w:rsidRPr="009A0D62">
        <w:rPr>
          <w:rFonts w:cs="Arial CE"/>
          <w:bCs/>
          <w:color w:val="000000"/>
          <w:sz w:val="24"/>
          <w:szCs w:val="24"/>
        </w:rPr>
        <w:t>43365/2023-UVCR</w:t>
      </w:r>
    </w:p>
    <w:p w:rsidR="00D26B5E" w:rsidRPr="00E04171" w:rsidRDefault="00D26B5E">
      <w:pPr>
        <w:jc w:val="right"/>
        <w:rPr>
          <w:sz w:val="24"/>
          <w:szCs w:val="24"/>
        </w:rPr>
      </w:pPr>
    </w:p>
    <w:p w:rsidR="00D26B5E" w:rsidRPr="00E04171" w:rsidRDefault="00851B81">
      <w:pPr>
        <w:spacing w:after="240" w:line="259" w:lineRule="auto"/>
        <w:jc w:val="center"/>
        <w:rPr>
          <w:sz w:val="24"/>
          <w:szCs w:val="24"/>
        </w:rPr>
      </w:pPr>
      <w:r w:rsidRPr="00E04171">
        <w:rPr>
          <w:b/>
          <w:smallCaps/>
          <w:sz w:val="24"/>
          <w:szCs w:val="24"/>
        </w:rPr>
        <w:t>PŘIPOMÍNKY K MATERIÁLU S NÁZVEM</w:t>
      </w:r>
      <w:r w:rsidRPr="00E04171">
        <w:rPr>
          <w:b/>
          <w:sz w:val="24"/>
          <w:szCs w:val="24"/>
        </w:rPr>
        <w:t>:</w:t>
      </w:r>
    </w:p>
    <w:p w:rsidR="00D26B5E" w:rsidRPr="00E04171" w:rsidRDefault="00851B81">
      <w:pPr>
        <w:spacing w:after="360" w:line="259" w:lineRule="auto"/>
        <w:jc w:val="center"/>
        <w:rPr>
          <w:sz w:val="24"/>
          <w:szCs w:val="24"/>
        </w:rPr>
      </w:pPr>
      <w:r w:rsidRPr="00E04171">
        <w:rPr>
          <w:b/>
          <w:sz w:val="24"/>
          <w:szCs w:val="24"/>
        </w:rPr>
        <w:t>„</w:t>
      </w:r>
      <w:r w:rsidR="003945CE" w:rsidRPr="00E04171">
        <w:rPr>
          <w:b/>
          <w:sz w:val="24"/>
          <w:szCs w:val="24"/>
        </w:rPr>
        <w:t>Aktualizace Vnitrostátního plánu České republiky v oblasti energetiky a klimatu</w:t>
      </w:r>
      <w:r w:rsidRPr="00E04171">
        <w:rPr>
          <w:b/>
          <w:sz w:val="24"/>
          <w:szCs w:val="24"/>
          <w:highlight w:val="white"/>
        </w:rPr>
        <w:t>“</w:t>
      </w:r>
    </w:p>
    <w:tbl>
      <w:tblPr>
        <w:tblStyle w:val="a"/>
        <w:tblW w:w="90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8"/>
        <w:gridCol w:w="7492"/>
        <w:gridCol w:w="255"/>
      </w:tblGrid>
      <w:tr w:rsidR="00D26B5E" w:rsidRPr="00E04171">
        <w:trPr>
          <w:trHeight w:val="300"/>
        </w:trPr>
        <w:tc>
          <w:tcPr>
            <w:tcW w:w="1268" w:type="dxa"/>
            <w:tcBorders>
              <w:top w:val="single" w:sz="4" w:space="0" w:color="000000"/>
              <w:left w:val="single" w:sz="4" w:space="0" w:color="000000"/>
              <w:bottom w:val="single" w:sz="4" w:space="0" w:color="000000"/>
              <w:right w:val="single" w:sz="4" w:space="0" w:color="000000"/>
            </w:tcBorders>
            <w:tcMar>
              <w:left w:w="105" w:type="dxa"/>
              <w:right w:w="105" w:type="dxa"/>
            </w:tcMar>
          </w:tcPr>
          <w:p w:rsidR="00D26B5E" w:rsidRPr="00E04171" w:rsidRDefault="00851B81">
            <w:pPr>
              <w:spacing w:after="160" w:line="259" w:lineRule="auto"/>
              <w:rPr>
                <w:sz w:val="24"/>
                <w:szCs w:val="24"/>
              </w:rPr>
            </w:pPr>
            <w:r w:rsidRPr="00E04171">
              <w:rPr>
                <w:b/>
                <w:sz w:val="24"/>
                <w:szCs w:val="24"/>
              </w:rPr>
              <w:t>Resort</w:t>
            </w:r>
          </w:p>
        </w:tc>
        <w:tc>
          <w:tcPr>
            <w:tcW w:w="7747" w:type="dxa"/>
            <w:gridSpan w:val="2"/>
            <w:tcBorders>
              <w:top w:val="single" w:sz="4" w:space="0" w:color="000000"/>
              <w:left w:val="single" w:sz="4" w:space="0" w:color="000000"/>
              <w:bottom w:val="single" w:sz="4" w:space="0" w:color="000000"/>
              <w:right w:val="single" w:sz="4" w:space="0" w:color="000000"/>
            </w:tcBorders>
            <w:tcMar>
              <w:left w:w="105" w:type="dxa"/>
              <w:right w:w="105" w:type="dxa"/>
            </w:tcMar>
          </w:tcPr>
          <w:p w:rsidR="00D26B5E" w:rsidRPr="00E04171" w:rsidRDefault="00851B81">
            <w:pPr>
              <w:spacing w:after="160" w:line="259" w:lineRule="auto"/>
              <w:rPr>
                <w:sz w:val="24"/>
                <w:szCs w:val="24"/>
              </w:rPr>
            </w:pPr>
            <w:r w:rsidRPr="00E04171">
              <w:rPr>
                <w:b/>
                <w:sz w:val="24"/>
                <w:szCs w:val="24"/>
              </w:rPr>
              <w:t>Připomínky</w:t>
            </w:r>
          </w:p>
        </w:tc>
      </w:tr>
      <w:tr w:rsidR="00D26B5E" w:rsidRPr="00E04171" w:rsidTr="003945CE">
        <w:trPr>
          <w:trHeight w:val="315"/>
        </w:trPr>
        <w:tc>
          <w:tcPr>
            <w:tcW w:w="1268" w:type="dxa"/>
            <w:vMerge w:val="restart"/>
            <w:tcBorders>
              <w:top w:val="single" w:sz="4" w:space="0" w:color="000000"/>
              <w:left w:val="single" w:sz="4" w:space="0" w:color="000000"/>
              <w:right w:val="single" w:sz="4" w:space="0" w:color="000000"/>
            </w:tcBorders>
            <w:tcMar>
              <w:left w:w="105" w:type="dxa"/>
              <w:right w:w="105" w:type="dxa"/>
            </w:tcMar>
          </w:tcPr>
          <w:p w:rsidR="00D26B5E" w:rsidRPr="00E04171" w:rsidRDefault="003945CE">
            <w:pPr>
              <w:spacing w:before="120" w:after="160" w:line="259" w:lineRule="auto"/>
              <w:rPr>
                <w:sz w:val="24"/>
                <w:szCs w:val="24"/>
              </w:rPr>
            </w:pPr>
            <w:r w:rsidRPr="00E04171">
              <w:rPr>
                <w:sz w:val="24"/>
                <w:szCs w:val="24"/>
              </w:rPr>
              <w:t>Ministr pro legislativu a předseda Legislativní rady vlády</w:t>
            </w:r>
          </w:p>
        </w:tc>
        <w:tc>
          <w:tcPr>
            <w:tcW w:w="7492" w:type="dxa"/>
            <w:tcBorders>
              <w:top w:val="single" w:sz="4" w:space="0" w:color="000000"/>
              <w:left w:val="single" w:sz="4" w:space="0" w:color="000000"/>
              <w:bottom w:val="single" w:sz="4" w:space="0" w:color="000000"/>
              <w:right w:val="single" w:sz="4" w:space="0" w:color="000000"/>
            </w:tcBorders>
            <w:tcMar>
              <w:left w:w="105" w:type="dxa"/>
              <w:right w:w="105" w:type="dxa"/>
            </w:tcMar>
          </w:tcPr>
          <w:p w:rsidR="00D26B5E" w:rsidRPr="00E04171" w:rsidRDefault="00851B81">
            <w:pPr>
              <w:spacing w:before="120" w:after="240"/>
              <w:jc w:val="both"/>
              <w:rPr>
                <w:sz w:val="24"/>
                <w:szCs w:val="24"/>
              </w:rPr>
            </w:pPr>
            <w:r w:rsidRPr="00E04171">
              <w:rPr>
                <w:b/>
                <w:sz w:val="24"/>
                <w:szCs w:val="24"/>
              </w:rPr>
              <w:t>Úvod</w:t>
            </w:r>
          </w:p>
        </w:tc>
        <w:tc>
          <w:tcPr>
            <w:tcW w:w="255" w:type="dxa"/>
            <w:tcBorders>
              <w:top w:val="single" w:sz="4" w:space="0" w:color="000000"/>
              <w:left w:val="single" w:sz="4" w:space="0" w:color="000000"/>
              <w:bottom w:val="single" w:sz="4" w:space="0" w:color="000000"/>
              <w:right w:val="single" w:sz="4" w:space="0" w:color="000000"/>
            </w:tcBorders>
            <w:tcMar>
              <w:left w:w="105" w:type="dxa"/>
              <w:right w:w="105" w:type="dxa"/>
            </w:tcMar>
          </w:tcPr>
          <w:p w:rsidR="00D26B5E" w:rsidRPr="00E04171" w:rsidRDefault="00D26B5E">
            <w:pPr>
              <w:spacing w:after="160" w:line="259" w:lineRule="auto"/>
              <w:jc w:val="both"/>
              <w:rPr>
                <w:sz w:val="24"/>
                <w:szCs w:val="24"/>
              </w:rPr>
            </w:pPr>
          </w:p>
        </w:tc>
      </w:tr>
      <w:tr w:rsidR="00D26B5E" w:rsidRPr="00E04171" w:rsidTr="003945CE">
        <w:trPr>
          <w:trHeight w:val="885"/>
        </w:trPr>
        <w:tc>
          <w:tcPr>
            <w:tcW w:w="1268" w:type="dxa"/>
            <w:vMerge/>
            <w:tcBorders>
              <w:top w:val="single" w:sz="4" w:space="0" w:color="000000"/>
              <w:left w:val="single" w:sz="4" w:space="0" w:color="000000"/>
              <w:right w:val="single" w:sz="4" w:space="0" w:color="000000"/>
            </w:tcBorders>
            <w:tcMar>
              <w:left w:w="105" w:type="dxa"/>
              <w:right w:w="105" w:type="dxa"/>
            </w:tcMar>
          </w:tcPr>
          <w:p w:rsidR="00D26B5E" w:rsidRPr="00E04171" w:rsidRDefault="00D26B5E">
            <w:pPr>
              <w:widowControl w:val="0"/>
              <w:rPr>
                <w:sz w:val="24"/>
                <w:szCs w:val="24"/>
              </w:rPr>
            </w:pPr>
          </w:p>
        </w:tc>
        <w:tc>
          <w:tcPr>
            <w:tcW w:w="7492" w:type="dxa"/>
            <w:tcBorders>
              <w:top w:val="single" w:sz="4" w:space="0" w:color="000000"/>
              <w:left w:val="single" w:sz="4" w:space="0" w:color="000000"/>
              <w:bottom w:val="single" w:sz="4" w:space="0" w:color="000000"/>
              <w:right w:val="single" w:sz="4" w:space="0" w:color="000000"/>
            </w:tcBorders>
            <w:tcMar>
              <w:left w:w="105" w:type="dxa"/>
              <w:right w:w="105" w:type="dxa"/>
            </w:tcMar>
          </w:tcPr>
          <w:p w:rsidR="00D26B5E" w:rsidRPr="00E04171" w:rsidRDefault="00D26B5E">
            <w:pPr>
              <w:spacing w:before="240"/>
              <w:ind w:left="720"/>
              <w:rPr>
                <w:sz w:val="24"/>
                <w:szCs w:val="24"/>
              </w:rPr>
            </w:pPr>
          </w:p>
          <w:p w:rsidR="00D26B5E" w:rsidRPr="00E04171" w:rsidRDefault="00851B81">
            <w:pPr>
              <w:numPr>
                <w:ilvl w:val="0"/>
                <w:numId w:val="1"/>
              </w:numPr>
              <w:spacing w:after="240"/>
              <w:jc w:val="both"/>
              <w:rPr>
                <w:b/>
                <w:sz w:val="24"/>
                <w:szCs w:val="24"/>
              </w:rPr>
            </w:pPr>
            <w:r w:rsidRPr="00E04171">
              <w:rPr>
                <w:b/>
                <w:sz w:val="24"/>
                <w:szCs w:val="24"/>
              </w:rPr>
              <w:t>K</w:t>
            </w:r>
            <w:r w:rsidR="0005358D" w:rsidRPr="00E04171">
              <w:rPr>
                <w:b/>
                <w:sz w:val="24"/>
                <w:szCs w:val="24"/>
              </w:rPr>
              <w:t> Manažerskému shrnutí (str. 2 – 3)</w:t>
            </w:r>
          </w:p>
          <w:p w:rsidR="0005358D" w:rsidRPr="00E04171" w:rsidRDefault="0005358D" w:rsidP="0005358D">
            <w:pPr>
              <w:pStyle w:val="Normlnweb"/>
              <w:spacing w:before="240" w:beforeAutospacing="0" w:after="240" w:afterAutospacing="0"/>
              <w:ind w:left="720"/>
              <w:rPr>
                <w:rFonts w:ascii="Arial" w:hAnsi="Arial"/>
              </w:rPr>
            </w:pPr>
            <w:r w:rsidRPr="00E04171">
              <w:rPr>
                <w:rFonts w:ascii="Arial" w:hAnsi="Arial"/>
                <w:color w:val="000000"/>
              </w:rPr>
              <w:t>V kapitole “Manažerské shrnut</w:t>
            </w:r>
            <w:r w:rsidR="00851B81">
              <w:rPr>
                <w:rFonts w:ascii="Arial" w:hAnsi="Arial"/>
                <w:color w:val="000000"/>
              </w:rPr>
              <w:t>í”, v druhém odstavci v části “</w:t>
            </w:r>
            <w:r w:rsidRPr="00E04171">
              <w:rPr>
                <w:rFonts w:ascii="Arial" w:hAnsi="Arial"/>
                <w:color w:val="000000"/>
              </w:rPr>
              <w:t>Cíle snižování emisí” navrhujeme doplnit za větu první: </w:t>
            </w:r>
          </w:p>
          <w:p w:rsidR="0005358D" w:rsidRPr="00E04171" w:rsidRDefault="0005358D" w:rsidP="0005358D">
            <w:pPr>
              <w:pStyle w:val="Normlnweb"/>
              <w:spacing w:before="240" w:beforeAutospacing="0" w:after="240" w:afterAutospacing="0"/>
              <w:ind w:left="720"/>
              <w:rPr>
                <w:rFonts w:ascii="Arial" w:hAnsi="Arial"/>
              </w:rPr>
            </w:pPr>
            <w:r w:rsidRPr="00E04171">
              <w:rPr>
                <w:rFonts w:ascii="Arial" w:hAnsi="Arial"/>
                <w:iCs/>
                <w:color w:val="000000"/>
              </w:rPr>
              <w:t>Strategickým cílem ČR je snížit podíl fosilních paliv (využívaných bez technologie zachytávání) na spotřebě primární energie na 50 % do roku 2030 a 0 % do roku 2050 a zcela utlumit využití uhlí pro výrobu elektřiny a tepla do roku 2033.</w:t>
            </w:r>
          </w:p>
          <w:p w:rsidR="00D26B5E" w:rsidRPr="00E04171" w:rsidRDefault="0005358D">
            <w:pPr>
              <w:spacing w:after="240"/>
              <w:ind w:left="720"/>
              <w:jc w:val="both"/>
              <w:rPr>
                <w:b/>
                <w:sz w:val="24"/>
                <w:szCs w:val="24"/>
              </w:rPr>
            </w:pPr>
            <w:r w:rsidRPr="00E04171">
              <w:rPr>
                <w:b/>
                <w:sz w:val="24"/>
                <w:szCs w:val="24"/>
              </w:rPr>
              <w:t>Odůvodnění</w:t>
            </w:r>
            <w:r w:rsidR="00851B81" w:rsidRPr="00E04171">
              <w:rPr>
                <w:b/>
                <w:sz w:val="24"/>
                <w:szCs w:val="24"/>
              </w:rPr>
              <w:t>:</w:t>
            </w:r>
          </w:p>
          <w:p w:rsidR="00D26B5E" w:rsidRPr="00E04171" w:rsidRDefault="0005358D" w:rsidP="0005358D">
            <w:pPr>
              <w:spacing w:after="240"/>
              <w:ind w:left="720"/>
              <w:jc w:val="both"/>
              <w:rPr>
                <w:b/>
                <w:sz w:val="24"/>
                <w:szCs w:val="24"/>
              </w:rPr>
            </w:pPr>
            <w:r w:rsidRPr="00E04171">
              <w:rPr>
                <w:color w:val="000000"/>
                <w:sz w:val="24"/>
                <w:szCs w:val="24"/>
              </w:rPr>
              <w:t>Strategický cíl pro snížení podílu fosilních paliv je obsažen ve Východiscích  aktualizace Státní energetické koncepce ČR a souvisejících strategických dokumentů (Politiky ochrany Klimatu a Vnitrostátního plánu ČR v oblasti energetiky a klimatu) schválených vládou ČR dne 12. dubna 2023 usnesením č. 257.  Snížení podílu fosilních paliv (využívaných bez technologie zachytávání) na spotřebě primární energie na 50 % do roku 2030 je zmíněno i v tabulce č. 4 na straně 13. Strategický cíl je citován také na str. 13 na konci kapitoly 2.1.1 Emise skleníkových plynů a jejich pohlcování a měl by proto být zmíněn i ve shrnutí. V samotném shrnutí je navíc uvedeno, že: “Scénář také potvrzuje předpoklad úplného odstoupení od využití uhlí pro výrobu tepla a elektřiny do roku 2033 s významným poklesem už mezi lety 2025 až 2030.”</w:t>
            </w:r>
          </w:p>
          <w:p w:rsidR="00D26B5E" w:rsidRPr="00E04171" w:rsidRDefault="00851B81" w:rsidP="0005358D">
            <w:pPr>
              <w:spacing w:before="240" w:after="240"/>
              <w:jc w:val="right"/>
              <w:rPr>
                <w:b/>
                <w:sz w:val="24"/>
                <w:szCs w:val="24"/>
              </w:rPr>
            </w:pPr>
            <w:r w:rsidRPr="00E04171">
              <w:rPr>
                <w:b/>
                <w:sz w:val="24"/>
                <w:szCs w:val="24"/>
              </w:rPr>
              <w:t>Tato připomínka je doporučující</w:t>
            </w:r>
            <w:r w:rsidR="0005358D" w:rsidRPr="00E04171">
              <w:rPr>
                <w:b/>
                <w:sz w:val="24"/>
                <w:szCs w:val="24"/>
              </w:rPr>
              <w:t>.</w:t>
            </w:r>
          </w:p>
          <w:p w:rsidR="0005358D" w:rsidRPr="00E04171" w:rsidRDefault="0005358D" w:rsidP="0005358D">
            <w:pPr>
              <w:pStyle w:val="Odstavecseseznamem"/>
              <w:numPr>
                <w:ilvl w:val="0"/>
                <w:numId w:val="1"/>
              </w:numPr>
              <w:spacing w:after="240"/>
              <w:jc w:val="both"/>
              <w:rPr>
                <w:b/>
                <w:sz w:val="24"/>
                <w:szCs w:val="24"/>
              </w:rPr>
            </w:pPr>
            <w:r w:rsidRPr="00E04171">
              <w:rPr>
                <w:b/>
                <w:sz w:val="24"/>
                <w:szCs w:val="24"/>
              </w:rPr>
              <w:t>K Manažerskému shrnutí (str. 4 a dále)</w:t>
            </w:r>
          </w:p>
          <w:p w:rsidR="0005358D" w:rsidRPr="00E04171" w:rsidRDefault="0005358D" w:rsidP="0005358D">
            <w:pPr>
              <w:pStyle w:val="Normlnweb"/>
              <w:spacing w:before="240" w:beforeAutospacing="0" w:after="240" w:afterAutospacing="0"/>
              <w:ind w:left="720"/>
              <w:jc w:val="both"/>
              <w:rPr>
                <w:rFonts w:ascii="Arial" w:hAnsi="Arial"/>
                <w:color w:val="000000"/>
              </w:rPr>
            </w:pPr>
            <w:r w:rsidRPr="00E04171">
              <w:rPr>
                <w:rFonts w:ascii="Arial" w:hAnsi="Arial"/>
                <w:color w:val="000000"/>
              </w:rPr>
              <w:t xml:space="preserve">V části  “Manažerské shrnutí” a případně dále navrhujeme doplnit vysvětlení, že hodnota zadání pro OZE v podkladovém </w:t>
            </w:r>
            <w:r w:rsidRPr="00E04171">
              <w:rPr>
                <w:rFonts w:ascii="Arial" w:hAnsi="Arial"/>
                <w:color w:val="000000"/>
              </w:rPr>
              <w:lastRenderedPageBreak/>
              <w:t>scénáři 10,1 GW u fotovoltaiky a 1,5 GW u větrné energetiky není maximálním stropem, ale minimální hodnotou.</w:t>
            </w:r>
          </w:p>
          <w:p w:rsidR="0005358D" w:rsidRPr="00E04171" w:rsidRDefault="0005358D" w:rsidP="0005358D">
            <w:pPr>
              <w:pStyle w:val="Normlnweb"/>
              <w:spacing w:before="240" w:beforeAutospacing="0" w:after="240" w:afterAutospacing="0"/>
              <w:ind w:left="720"/>
              <w:jc w:val="both"/>
              <w:rPr>
                <w:rFonts w:ascii="Arial" w:hAnsi="Arial"/>
                <w:b/>
              </w:rPr>
            </w:pPr>
            <w:r w:rsidRPr="00E04171">
              <w:rPr>
                <w:rFonts w:ascii="Arial" w:hAnsi="Arial"/>
                <w:b/>
              </w:rPr>
              <w:t>Odůvodnění:</w:t>
            </w:r>
          </w:p>
          <w:p w:rsidR="0005358D" w:rsidRPr="00E04171" w:rsidRDefault="0005358D" w:rsidP="0005358D">
            <w:pPr>
              <w:pStyle w:val="Normlnweb"/>
              <w:spacing w:before="240" w:beforeAutospacing="0" w:after="240" w:afterAutospacing="0"/>
              <w:ind w:left="720"/>
              <w:jc w:val="both"/>
              <w:rPr>
                <w:rFonts w:ascii="Arial" w:hAnsi="Arial"/>
              </w:rPr>
            </w:pPr>
            <w:r w:rsidRPr="00E04171">
              <w:rPr>
                <w:rFonts w:ascii="Arial" w:hAnsi="Arial"/>
                <w:color w:val="000000"/>
              </w:rPr>
              <w:t>Návrh aktualizace Vnitrostátního plánu v oblasti energetiky a klimatu vychází z výsledků sofistikovaného modelování SEEPIA jehož výsledky jsou prověřeny ze strany ČEPS, a.s. modelem PLEXUS. Je třeba ozřejmit, že vstupní scénář (WAM3) neobsahuje vložené umělé stropy pro rozvoj OZE do roku 2030 a uvedené hodnoty (10,1 GW pro fotovoltaiku a 1,5 GW pro větrné elektrárny), jsou pouze minimální hranicí. Cílem přípravy energetické strategie státu by mělo být maximalizovat výrobu domácí čisté energie na našem území, což je v zájmu ochrany klimatu i energetické bezpečnosti, soběstačnosti obcí a maximalizace domácností, obcí a firem, které budou mít vlastní zdroj energie a tedy i dodávky za stabilní ceny.</w:t>
            </w:r>
          </w:p>
          <w:p w:rsidR="0005358D" w:rsidRPr="00E04171" w:rsidRDefault="0005358D" w:rsidP="0005358D">
            <w:pPr>
              <w:spacing w:before="240" w:after="240"/>
              <w:jc w:val="right"/>
              <w:rPr>
                <w:b/>
                <w:sz w:val="24"/>
                <w:szCs w:val="24"/>
              </w:rPr>
            </w:pPr>
            <w:r w:rsidRPr="00E04171">
              <w:rPr>
                <w:b/>
                <w:sz w:val="24"/>
                <w:szCs w:val="24"/>
              </w:rPr>
              <w:t>Tato připomínka je doporučující.</w:t>
            </w:r>
          </w:p>
          <w:p w:rsidR="0005358D" w:rsidRPr="00E04171" w:rsidRDefault="0005358D" w:rsidP="0005358D">
            <w:pPr>
              <w:pStyle w:val="Odstavecseseznamem"/>
              <w:numPr>
                <w:ilvl w:val="0"/>
                <w:numId w:val="1"/>
              </w:numPr>
              <w:spacing w:after="240"/>
              <w:jc w:val="both"/>
              <w:rPr>
                <w:b/>
                <w:sz w:val="24"/>
                <w:szCs w:val="24"/>
              </w:rPr>
            </w:pPr>
            <w:r w:rsidRPr="00E04171">
              <w:rPr>
                <w:b/>
                <w:sz w:val="24"/>
                <w:szCs w:val="24"/>
              </w:rPr>
              <w:t>K </w:t>
            </w:r>
            <w:r w:rsidR="005461F1" w:rsidRPr="00E04171">
              <w:rPr>
                <w:b/>
                <w:sz w:val="24"/>
                <w:szCs w:val="24"/>
              </w:rPr>
              <w:t>T</w:t>
            </w:r>
            <w:r w:rsidRPr="00E04171">
              <w:rPr>
                <w:b/>
                <w:sz w:val="24"/>
                <w:szCs w:val="24"/>
              </w:rPr>
              <w:t>abulce č. 4: Přehledová tabulka cílů snížení emisí skleníkových plynů</w:t>
            </w:r>
          </w:p>
          <w:p w:rsidR="0005358D" w:rsidRPr="00E04171" w:rsidRDefault="00BF56B8" w:rsidP="0005358D">
            <w:pPr>
              <w:pStyle w:val="Normlnweb"/>
              <w:spacing w:before="240" w:beforeAutospacing="0" w:after="240" w:afterAutospacing="0"/>
              <w:ind w:left="720"/>
              <w:rPr>
                <w:rFonts w:ascii="Arial" w:hAnsi="Arial"/>
              </w:rPr>
            </w:pPr>
            <w:r w:rsidRPr="00E04171">
              <w:rPr>
                <w:rFonts w:ascii="Arial" w:hAnsi="Arial"/>
                <w:color w:val="000000"/>
              </w:rPr>
              <w:t>Navrhujeme z</w:t>
            </w:r>
            <w:r w:rsidR="0005358D" w:rsidRPr="00E04171">
              <w:rPr>
                <w:rFonts w:ascii="Arial" w:hAnsi="Arial"/>
                <w:color w:val="000000"/>
              </w:rPr>
              <w:t>a uvedený cíl pro rok 2050 “Příspěvek ke klimatické neutralitě EU,” doplnit následující:</w:t>
            </w:r>
          </w:p>
          <w:p w:rsidR="0005358D" w:rsidRPr="00E04171" w:rsidRDefault="0005358D" w:rsidP="0005358D">
            <w:pPr>
              <w:pStyle w:val="Odstavecseseznamem"/>
              <w:spacing w:after="240"/>
              <w:jc w:val="both"/>
              <w:rPr>
                <w:iCs/>
                <w:color w:val="000000"/>
                <w:sz w:val="24"/>
                <w:szCs w:val="24"/>
              </w:rPr>
            </w:pPr>
            <w:r w:rsidRPr="00E04171">
              <w:rPr>
                <w:iCs/>
                <w:color w:val="000000"/>
                <w:sz w:val="24"/>
                <w:szCs w:val="24"/>
              </w:rPr>
              <w:t>Klimatická neutralita ČR a snížení podílu fosilních paliv (využívaných bez technologie zachytávání) na spotřebě primární energie na 0 %.</w:t>
            </w:r>
          </w:p>
          <w:p w:rsidR="0005358D" w:rsidRPr="00E04171" w:rsidRDefault="0005358D" w:rsidP="0005358D">
            <w:pPr>
              <w:pStyle w:val="Odstavecseseznamem"/>
              <w:spacing w:after="240"/>
              <w:jc w:val="both"/>
              <w:rPr>
                <w:iCs/>
                <w:color w:val="000000"/>
                <w:sz w:val="24"/>
                <w:szCs w:val="24"/>
              </w:rPr>
            </w:pPr>
          </w:p>
          <w:p w:rsidR="0005358D" w:rsidRPr="00E04171" w:rsidRDefault="0005358D" w:rsidP="0005358D">
            <w:pPr>
              <w:pStyle w:val="Odstavecseseznamem"/>
              <w:spacing w:after="240"/>
              <w:jc w:val="both"/>
              <w:rPr>
                <w:b/>
                <w:iCs/>
                <w:color w:val="000000"/>
                <w:sz w:val="24"/>
                <w:szCs w:val="24"/>
              </w:rPr>
            </w:pPr>
            <w:r w:rsidRPr="00E04171">
              <w:rPr>
                <w:b/>
                <w:iCs/>
                <w:color w:val="000000"/>
                <w:sz w:val="24"/>
                <w:szCs w:val="24"/>
              </w:rPr>
              <w:t>Odůvodnění:</w:t>
            </w:r>
          </w:p>
          <w:p w:rsidR="005461F1" w:rsidRPr="00E04171" w:rsidRDefault="005461F1" w:rsidP="0005358D">
            <w:pPr>
              <w:pStyle w:val="Odstavecseseznamem"/>
              <w:spacing w:after="240"/>
              <w:jc w:val="both"/>
              <w:rPr>
                <w:b/>
                <w:iCs/>
                <w:color w:val="000000"/>
                <w:sz w:val="24"/>
                <w:szCs w:val="24"/>
              </w:rPr>
            </w:pPr>
          </w:p>
          <w:p w:rsidR="0005358D" w:rsidRPr="00E04171" w:rsidRDefault="0005358D" w:rsidP="0005358D">
            <w:pPr>
              <w:pStyle w:val="Odstavecseseznamem"/>
              <w:spacing w:after="240"/>
              <w:jc w:val="both"/>
              <w:rPr>
                <w:color w:val="000000"/>
                <w:sz w:val="24"/>
                <w:szCs w:val="24"/>
              </w:rPr>
            </w:pPr>
            <w:r w:rsidRPr="00E04171">
              <w:rPr>
                <w:color w:val="000000"/>
                <w:sz w:val="24"/>
                <w:szCs w:val="24"/>
              </w:rPr>
              <w:t>Dle Východisek aktualizace Státní energetické koncepce ČR a souvisejících strategických dokumentů (Politiky ochrany Klimatu a Vnitrostátního plánu ČR v oblasti energetiky a klimatu) schválených vládou ČR dne 12. dubna 2023 usnesením č. 257 patří mezi společné vymezení ze strany cílů a legislativy EU “Dosažení cíle klimatické neutrality na úrovni EU i ČR do roku 2050”. V části 3.2 Tabulce 4 zmíněných Východisek je uveden strategický cíl “Snížit podíl fosilních paliv (využívaných bez technologie zachytávání) na spotřebě primární energie na 50 % do roku 2030 a 0 % do roku 2050 a zcela utlumit využití uhlí pro výrobu elektřiny a tepla do roku 2033.”</w:t>
            </w:r>
          </w:p>
          <w:p w:rsidR="0005358D" w:rsidRPr="00E04171" w:rsidRDefault="0005358D" w:rsidP="0005358D">
            <w:pPr>
              <w:spacing w:before="240" w:after="240"/>
              <w:jc w:val="right"/>
              <w:rPr>
                <w:b/>
                <w:sz w:val="24"/>
                <w:szCs w:val="24"/>
              </w:rPr>
            </w:pPr>
            <w:r w:rsidRPr="00E04171">
              <w:rPr>
                <w:b/>
                <w:sz w:val="24"/>
                <w:szCs w:val="24"/>
              </w:rPr>
              <w:t>Tato připomínka je doporučující.</w:t>
            </w:r>
          </w:p>
          <w:p w:rsidR="005461F1" w:rsidRPr="00E04171" w:rsidRDefault="005461F1" w:rsidP="005461F1">
            <w:pPr>
              <w:pStyle w:val="Odstavecseseznamem"/>
              <w:numPr>
                <w:ilvl w:val="0"/>
                <w:numId w:val="1"/>
              </w:numPr>
              <w:spacing w:after="240"/>
              <w:jc w:val="both"/>
              <w:rPr>
                <w:b/>
                <w:sz w:val="24"/>
                <w:szCs w:val="24"/>
              </w:rPr>
            </w:pPr>
            <w:r w:rsidRPr="00E04171">
              <w:rPr>
                <w:b/>
                <w:sz w:val="24"/>
                <w:szCs w:val="24"/>
              </w:rPr>
              <w:lastRenderedPageBreak/>
              <w:t xml:space="preserve">K Tabulce č. 12: </w:t>
            </w:r>
            <w:r w:rsidRPr="00E04171">
              <w:rPr>
                <w:b/>
                <w:color w:val="000000"/>
                <w:sz w:val="24"/>
                <w:szCs w:val="24"/>
              </w:rPr>
              <w:t>Shrnutí cílů Politiky ochrany klimatu v ČR</w:t>
            </w:r>
            <w:r w:rsidRPr="00E04171">
              <w:rPr>
                <w:b/>
                <w:sz w:val="24"/>
                <w:szCs w:val="24"/>
              </w:rPr>
              <w:t xml:space="preserve"> a k Tabulce č. 14: </w:t>
            </w:r>
            <w:r w:rsidRPr="00E04171">
              <w:rPr>
                <w:b/>
                <w:color w:val="000000"/>
                <w:sz w:val="24"/>
                <w:szCs w:val="24"/>
              </w:rPr>
              <w:t>Hlavní cíle a dlouhodobé indikativní cíle Politiky ochrany klimatu v ČR</w:t>
            </w:r>
          </w:p>
          <w:p w:rsidR="005461F1" w:rsidRPr="00E04171" w:rsidRDefault="005461F1" w:rsidP="005461F1">
            <w:pPr>
              <w:pStyle w:val="Odstavecseseznamem"/>
              <w:spacing w:after="240"/>
              <w:jc w:val="both"/>
              <w:rPr>
                <w:b/>
                <w:sz w:val="24"/>
                <w:szCs w:val="24"/>
              </w:rPr>
            </w:pPr>
          </w:p>
          <w:p w:rsidR="005461F1" w:rsidRPr="00E04171" w:rsidRDefault="005461F1" w:rsidP="005461F1">
            <w:pPr>
              <w:pStyle w:val="Odstavecseseznamem"/>
              <w:spacing w:after="240"/>
              <w:jc w:val="both"/>
              <w:rPr>
                <w:sz w:val="24"/>
                <w:szCs w:val="24"/>
              </w:rPr>
            </w:pPr>
            <w:r w:rsidRPr="00E04171">
              <w:rPr>
                <w:sz w:val="24"/>
                <w:szCs w:val="24"/>
              </w:rPr>
              <w:t>K</w:t>
            </w:r>
            <w:r w:rsidR="00957203" w:rsidRPr="00E04171">
              <w:rPr>
                <w:sz w:val="24"/>
                <w:szCs w:val="24"/>
              </w:rPr>
              <w:t> </w:t>
            </w:r>
            <w:r w:rsidRPr="00E04171">
              <w:rPr>
                <w:sz w:val="24"/>
                <w:szCs w:val="24"/>
              </w:rPr>
              <w:t>tabulkám</w:t>
            </w:r>
            <w:r w:rsidR="00957203" w:rsidRPr="00E04171">
              <w:rPr>
                <w:sz w:val="24"/>
                <w:szCs w:val="24"/>
              </w:rPr>
              <w:t xml:space="preserve"> č. 12 a 14</w:t>
            </w:r>
            <w:r w:rsidRPr="00E04171">
              <w:rPr>
                <w:sz w:val="24"/>
                <w:szCs w:val="24"/>
              </w:rPr>
              <w:t xml:space="preserve"> navrhujeme doplnit uvedený cíl pro rok 2030 o následující:</w:t>
            </w:r>
          </w:p>
          <w:p w:rsidR="005461F1" w:rsidRPr="00E04171" w:rsidRDefault="005461F1" w:rsidP="005461F1">
            <w:pPr>
              <w:pStyle w:val="Odstavecseseznamem"/>
              <w:spacing w:after="240"/>
              <w:jc w:val="both"/>
              <w:rPr>
                <w:iCs/>
                <w:color w:val="000000"/>
                <w:sz w:val="24"/>
                <w:szCs w:val="24"/>
              </w:rPr>
            </w:pPr>
            <w:r w:rsidRPr="00E04171">
              <w:rPr>
                <w:iCs/>
                <w:color w:val="000000"/>
                <w:sz w:val="24"/>
                <w:szCs w:val="24"/>
              </w:rPr>
              <w:t>Snížení podílu fosilních paliv (využívaných bez technologie zachytávání) na spotřebě primární energie na 50 % do roku 2030.</w:t>
            </w:r>
          </w:p>
          <w:p w:rsidR="005461F1" w:rsidRPr="00E04171" w:rsidRDefault="005461F1" w:rsidP="005461F1">
            <w:pPr>
              <w:pStyle w:val="Odstavecseseznamem"/>
              <w:spacing w:after="240"/>
              <w:jc w:val="both"/>
              <w:rPr>
                <w:iCs/>
                <w:color w:val="000000"/>
                <w:sz w:val="24"/>
                <w:szCs w:val="24"/>
              </w:rPr>
            </w:pPr>
          </w:p>
          <w:p w:rsidR="005461F1" w:rsidRPr="00E04171" w:rsidRDefault="005461F1" w:rsidP="005461F1">
            <w:pPr>
              <w:pStyle w:val="Odstavecseseznamem"/>
              <w:spacing w:after="240"/>
              <w:jc w:val="both"/>
              <w:rPr>
                <w:iCs/>
                <w:color w:val="000000"/>
                <w:sz w:val="24"/>
                <w:szCs w:val="24"/>
              </w:rPr>
            </w:pPr>
            <w:r w:rsidRPr="00E04171">
              <w:rPr>
                <w:iCs/>
                <w:color w:val="000000"/>
                <w:sz w:val="24"/>
                <w:szCs w:val="24"/>
              </w:rPr>
              <w:t>Uvedený cíl pro rok 2050 navrhujeme doplnit o větu:</w:t>
            </w:r>
          </w:p>
          <w:p w:rsidR="005461F1" w:rsidRPr="00E04171" w:rsidRDefault="005461F1" w:rsidP="005461F1">
            <w:pPr>
              <w:pStyle w:val="Odstavecseseznamem"/>
              <w:spacing w:after="240"/>
              <w:jc w:val="both"/>
              <w:rPr>
                <w:iCs/>
                <w:color w:val="000000"/>
                <w:sz w:val="24"/>
                <w:szCs w:val="24"/>
              </w:rPr>
            </w:pPr>
            <w:r w:rsidRPr="00E04171">
              <w:rPr>
                <w:iCs/>
                <w:color w:val="000000"/>
                <w:sz w:val="24"/>
                <w:szCs w:val="24"/>
              </w:rPr>
              <w:t>Klimatická neutralita ČR a snížení podílu fosilních paliv (využívaných bez technologie zachytávání) na spotřebě primární energie na 0 %.</w:t>
            </w:r>
          </w:p>
          <w:p w:rsidR="005461F1" w:rsidRPr="00E04171" w:rsidRDefault="005461F1" w:rsidP="005461F1">
            <w:pPr>
              <w:pStyle w:val="Odstavecseseznamem"/>
              <w:spacing w:after="240"/>
              <w:jc w:val="both"/>
              <w:rPr>
                <w:b/>
                <w:iCs/>
                <w:color w:val="000000"/>
                <w:sz w:val="24"/>
                <w:szCs w:val="24"/>
              </w:rPr>
            </w:pPr>
          </w:p>
          <w:p w:rsidR="005461F1" w:rsidRPr="00E04171" w:rsidRDefault="005461F1" w:rsidP="005461F1">
            <w:pPr>
              <w:pStyle w:val="Odstavecseseznamem"/>
              <w:spacing w:after="240"/>
              <w:jc w:val="both"/>
              <w:rPr>
                <w:b/>
                <w:iCs/>
                <w:color w:val="000000"/>
                <w:sz w:val="24"/>
                <w:szCs w:val="24"/>
              </w:rPr>
            </w:pPr>
            <w:r w:rsidRPr="00E04171">
              <w:rPr>
                <w:b/>
                <w:iCs/>
                <w:color w:val="000000"/>
                <w:sz w:val="24"/>
                <w:szCs w:val="24"/>
              </w:rPr>
              <w:t>Odůvodnění:</w:t>
            </w:r>
          </w:p>
          <w:p w:rsidR="005461F1" w:rsidRPr="00E04171" w:rsidRDefault="005461F1" w:rsidP="005461F1">
            <w:pPr>
              <w:pStyle w:val="Odstavecseseznamem"/>
              <w:spacing w:after="240"/>
              <w:jc w:val="both"/>
              <w:rPr>
                <w:iCs/>
                <w:color w:val="000000"/>
                <w:sz w:val="24"/>
                <w:szCs w:val="24"/>
              </w:rPr>
            </w:pPr>
            <w:r w:rsidRPr="00E04171">
              <w:rPr>
                <w:color w:val="000000"/>
                <w:sz w:val="24"/>
                <w:szCs w:val="24"/>
              </w:rPr>
              <w:t>Cíl pro rok 2030 je nutné sladit s cílem v tabulce č. 4, který vychází z Východisek aktualizace Státní energetické koncepce ČR a souvisejících strategických dokumentů (Politiky ochrany Klimatu a Vnitrostátního plánu ČR v oblasti energetiky a klimatu) schválených vládou ČR dne 12. dubna 2023 usnesením č. 257, kde je v části 3.2 Tabulce 4 uveden strategický cíl “Snížit podíl fosilních paliv (využívaných bez technologie zachytávání) na spotřebě primární energie na 50 % do roku 2030 a 0 % do roku 2050 a zcela utlumit využití uhlí pro výrobu elektřiny a tepla do roku 2033.” Na základě citovaného strategického cíle je nutné doplnit do cíle pro rok 2050 i snížení spotřeby fosilních paliv na 0 %. Dle zmíněných Východisek dále patří mezi společné vymezení ze strany cílů a legislativy EU “Dosažení cíle klimatické neutrality na úrovni EU i ČR do roku 2050”. </w:t>
            </w:r>
          </w:p>
          <w:p w:rsidR="005461F1" w:rsidRPr="00E04171" w:rsidRDefault="005461F1" w:rsidP="005461F1">
            <w:pPr>
              <w:spacing w:before="240" w:after="240"/>
              <w:jc w:val="right"/>
              <w:rPr>
                <w:b/>
                <w:sz w:val="24"/>
                <w:szCs w:val="24"/>
              </w:rPr>
            </w:pPr>
            <w:r w:rsidRPr="00E04171">
              <w:rPr>
                <w:b/>
                <w:sz w:val="24"/>
                <w:szCs w:val="24"/>
              </w:rPr>
              <w:t>Tato připomínka je doporučující.</w:t>
            </w:r>
          </w:p>
          <w:p w:rsidR="00957203" w:rsidRPr="00E04171" w:rsidRDefault="00957203" w:rsidP="00957203">
            <w:pPr>
              <w:pStyle w:val="Odstavecseseznamem"/>
              <w:numPr>
                <w:ilvl w:val="0"/>
                <w:numId w:val="1"/>
              </w:numPr>
              <w:spacing w:after="240"/>
              <w:jc w:val="both"/>
              <w:rPr>
                <w:b/>
                <w:sz w:val="24"/>
                <w:szCs w:val="24"/>
              </w:rPr>
            </w:pPr>
            <w:r w:rsidRPr="00E04171">
              <w:rPr>
                <w:b/>
                <w:sz w:val="24"/>
                <w:szCs w:val="24"/>
              </w:rPr>
              <w:t>K části 2.3.1.5 Teplárenství</w:t>
            </w:r>
          </w:p>
          <w:p w:rsidR="00957203" w:rsidRPr="00E04171" w:rsidRDefault="00957203" w:rsidP="00957203">
            <w:pPr>
              <w:pStyle w:val="Odstavecseseznamem"/>
              <w:spacing w:after="240"/>
              <w:jc w:val="both"/>
              <w:rPr>
                <w:sz w:val="24"/>
                <w:szCs w:val="24"/>
              </w:rPr>
            </w:pPr>
            <w:r w:rsidRPr="00E04171">
              <w:rPr>
                <w:sz w:val="24"/>
                <w:szCs w:val="24"/>
              </w:rPr>
              <w:t xml:space="preserve">Navrhujeme nahradit první odrážku v odstavci </w:t>
            </w:r>
            <w:r w:rsidR="00F81F1F" w:rsidRPr="00E04171">
              <w:rPr>
                <w:sz w:val="24"/>
                <w:szCs w:val="24"/>
              </w:rPr>
              <w:t>iii.</w:t>
            </w:r>
            <w:r w:rsidRPr="00E04171">
              <w:rPr>
                <w:sz w:val="24"/>
                <w:szCs w:val="24"/>
              </w:rPr>
              <w:t xml:space="preserve"> „zajistit soběstačnost v dodávkách elektřiny trvale na úrovni nejméně 90 %“ tímto textem:</w:t>
            </w:r>
          </w:p>
          <w:p w:rsidR="00957203" w:rsidRPr="00E04171" w:rsidRDefault="00957203" w:rsidP="00957203">
            <w:pPr>
              <w:pStyle w:val="Odstavecseseznamem"/>
              <w:spacing w:after="240"/>
              <w:jc w:val="both"/>
              <w:rPr>
                <w:b/>
                <w:sz w:val="24"/>
                <w:szCs w:val="24"/>
              </w:rPr>
            </w:pPr>
          </w:p>
          <w:p w:rsidR="00957203" w:rsidRPr="00E04171" w:rsidRDefault="00957203" w:rsidP="00957203">
            <w:pPr>
              <w:pStyle w:val="Odstavecseseznamem"/>
              <w:spacing w:after="240"/>
              <w:jc w:val="both"/>
              <w:rPr>
                <w:iCs/>
                <w:color w:val="000000"/>
                <w:sz w:val="24"/>
                <w:szCs w:val="24"/>
              </w:rPr>
            </w:pPr>
            <w:r w:rsidRPr="00E04171">
              <w:rPr>
                <w:iCs/>
                <w:color w:val="000000"/>
                <w:sz w:val="24"/>
                <w:szCs w:val="24"/>
              </w:rPr>
              <w:t>„Zajistit dostatek zdrojů v elektroenergetice odpovídající očekávané dostupnosti dovozu elektřiny.“</w:t>
            </w:r>
          </w:p>
          <w:p w:rsidR="00957203" w:rsidRPr="00E04171" w:rsidRDefault="00957203" w:rsidP="00957203">
            <w:pPr>
              <w:pStyle w:val="Odstavecseseznamem"/>
              <w:spacing w:after="240"/>
              <w:jc w:val="both"/>
              <w:rPr>
                <w:iCs/>
                <w:color w:val="000000"/>
                <w:sz w:val="24"/>
                <w:szCs w:val="24"/>
              </w:rPr>
            </w:pPr>
          </w:p>
          <w:p w:rsidR="00957203" w:rsidRPr="00E04171" w:rsidRDefault="00957203" w:rsidP="00957203">
            <w:pPr>
              <w:pStyle w:val="Odstavecseseznamem"/>
              <w:spacing w:after="240"/>
              <w:jc w:val="both"/>
              <w:rPr>
                <w:b/>
                <w:bCs/>
                <w:color w:val="000000"/>
                <w:sz w:val="24"/>
                <w:szCs w:val="24"/>
              </w:rPr>
            </w:pPr>
            <w:r w:rsidRPr="00E04171">
              <w:rPr>
                <w:b/>
                <w:color w:val="000000"/>
                <w:sz w:val="24"/>
                <w:szCs w:val="24"/>
              </w:rPr>
              <w:t>Odůvodnění:</w:t>
            </w:r>
            <w:r w:rsidRPr="00E04171">
              <w:rPr>
                <w:b/>
                <w:bCs/>
                <w:color w:val="000000"/>
                <w:sz w:val="24"/>
                <w:szCs w:val="24"/>
              </w:rPr>
              <w:t xml:space="preserve"> </w:t>
            </w:r>
          </w:p>
          <w:p w:rsidR="00957203" w:rsidRPr="00E04171" w:rsidRDefault="00957203" w:rsidP="00957203">
            <w:pPr>
              <w:pStyle w:val="Odstavecseseznamem"/>
              <w:spacing w:after="240"/>
              <w:jc w:val="both"/>
              <w:rPr>
                <w:b/>
                <w:sz w:val="24"/>
                <w:szCs w:val="24"/>
              </w:rPr>
            </w:pPr>
            <w:r w:rsidRPr="00E04171">
              <w:rPr>
                <w:color w:val="000000"/>
                <w:sz w:val="24"/>
                <w:szCs w:val="24"/>
              </w:rPr>
              <w:lastRenderedPageBreak/>
              <w:t>Odst. iii. se odkazuje na tabulku č. 8, která cituje strategické cíle SEK 2015. Strategické cíle SEK 2015 nejsou relevantní, neboť vláda dne 12. dubna 2023 schválila nové strategické cíle Státní energetické koncepce ČR, které jsou uvedeny v prezentovaných tabulkách z kapitoly 3.2 Východisek, konkrétně v tabulce 1, kde je původní formulace o soběstačnosti dodávek nahrazena dostatkem zdrojů.</w:t>
            </w:r>
          </w:p>
          <w:p w:rsidR="00957203" w:rsidRPr="00E04171" w:rsidRDefault="00957203" w:rsidP="00957203">
            <w:pPr>
              <w:spacing w:before="240" w:after="240"/>
              <w:jc w:val="right"/>
              <w:rPr>
                <w:b/>
                <w:sz w:val="24"/>
                <w:szCs w:val="24"/>
              </w:rPr>
            </w:pPr>
            <w:r w:rsidRPr="00E04171">
              <w:rPr>
                <w:b/>
                <w:sz w:val="24"/>
                <w:szCs w:val="24"/>
              </w:rPr>
              <w:t>Tato připomínka je doporučující.</w:t>
            </w:r>
          </w:p>
          <w:p w:rsidR="00957203" w:rsidRPr="00E04171" w:rsidRDefault="00957203" w:rsidP="00957203">
            <w:pPr>
              <w:pStyle w:val="Odstavecseseznamem"/>
              <w:numPr>
                <w:ilvl w:val="0"/>
                <w:numId w:val="1"/>
              </w:numPr>
              <w:spacing w:after="240"/>
              <w:jc w:val="both"/>
              <w:rPr>
                <w:b/>
                <w:sz w:val="24"/>
                <w:szCs w:val="24"/>
              </w:rPr>
            </w:pPr>
            <w:r w:rsidRPr="00E04171">
              <w:rPr>
                <w:b/>
                <w:sz w:val="24"/>
                <w:szCs w:val="24"/>
              </w:rPr>
              <w:t>K části 3.1.1.5 Sektor energetika</w:t>
            </w:r>
          </w:p>
          <w:p w:rsidR="00957203" w:rsidRPr="00E04171" w:rsidRDefault="00957203" w:rsidP="00957203">
            <w:pPr>
              <w:pStyle w:val="Odstavecseseznamem"/>
              <w:spacing w:after="240"/>
              <w:jc w:val="both"/>
              <w:rPr>
                <w:b/>
                <w:sz w:val="24"/>
                <w:szCs w:val="24"/>
              </w:rPr>
            </w:pPr>
          </w:p>
          <w:p w:rsidR="00957203" w:rsidRPr="00E04171" w:rsidRDefault="00957203" w:rsidP="00957203">
            <w:pPr>
              <w:pStyle w:val="Odstavecseseznamem"/>
              <w:spacing w:after="240"/>
              <w:jc w:val="both"/>
              <w:rPr>
                <w:sz w:val="24"/>
                <w:szCs w:val="24"/>
              </w:rPr>
            </w:pPr>
            <w:r w:rsidRPr="00E04171">
              <w:rPr>
                <w:sz w:val="24"/>
                <w:szCs w:val="24"/>
              </w:rPr>
              <w:t>N</w:t>
            </w:r>
            <w:r w:rsidR="00F81F1F" w:rsidRPr="00E04171">
              <w:rPr>
                <w:sz w:val="24"/>
                <w:szCs w:val="24"/>
              </w:rPr>
              <w:t>a konci odstavce i.</w:t>
            </w:r>
            <w:r w:rsidRPr="00E04171">
              <w:rPr>
                <w:sz w:val="24"/>
                <w:szCs w:val="24"/>
              </w:rPr>
              <w:t xml:space="preserve"> na str. 80 navrhujeme doplnit následující</w:t>
            </w:r>
            <w:r w:rsidR="00F81F1F" w:rsidRPr="00E04171">
              <w:rPr>
                <w:sz w:val="24"/>
                <w:szCs w:val="24"/>
              </w:rPr>
              <w:t xml:space="preserve"> text</w:t>
            </w:r>
            <w:r w:rsidRPr="00E04171">
              <w:rPr>
                <w:sz w:val="24"/>
                <w:szCs w:val="24"/>
              </w:rPr>
              <w:t>:</w:t>
            </w:r>
          </w:p>
          <w:p w:rsidR="00957203" w:rsidRPr="00E04171" w:rsidRDefault="00957203" w:rsidP="00957203">
            <w:pPr>
              <w:pStyle w:val="Odstavecseseznamem"/>
              <w:spacing w:after="240"/>
              <w:jc w:val="both"/>
              <w:rPr>
                <w:b/>
                <w:sz w:val="24"/>
                <w:szCs w:val="24"/>
              </w:rPr>
            </w:pPr>
            <w:r w:rsidRPr="00E04171">
              <w:rPr>
                <w:iCs/>
                <w:color w:val="000000"/>
                <w:sz w:val="24"/>
                <w:szCs w:val="24"/>
              </w:rPr>
              <w:t>Největším zdrojem emisí skleníkových plynů (a zároveň znečišťujících látek) v sektoru energetiky je těžba uhlí a zejména jeho spalování v elektrárnách, teplárnách a lokálních topeništích. Strategickými cíli Vnitrostátního plánu je dle usnesení vlády č. 257 z 12. dubna 2023, kterým byla schválena Východiska aktualizace Státní energetické koncepce ČR a souvisejících strategických dokumentů (Politiky ochrany Klimatu a Vnitrostátního plánu ČR v oblasti energetiky a klimatu) </w:t>
            </w:r>
          </w:p>
          <w:p w:rsidR="00957203" w:rsidRPr="00E04171" w:rsidRDefault="00957203" w:rsidP="00957203">
            <w:pPr>
              <w:pStyle w:val="Normlnweb"/>
              <w:spacing w:before="240" w:beforeAutospacing="0" w:after="240" w:afterAutospacing="0"/>
              <w:ind w:left="1440" w:hanging="360"/>
              <w:jc w:val="both"/>
              <w:rPr>
                <w:rFonts w:ascii="Arial" w:hAnsi="Arial"/>
              </w:rPr>
            </w:pPr>
            <w:r w:rsidRPr="00E04171">
              <w:rPr>
                <w:rFonts w:ascii="Arial" w:hAnsi="Arial"/>
                <w:iCs/>
                <w:color w:val="000000"/>
              </w:rPr>
              <w:t xml:space="preserve">●  </w:t>
            </w:r>
            <w:r w:rsidRPr="00E04171">
              <w:rPr>
                <w:rStyle w:val="apple-tab-span"/>
                <w:rFonts w:ascii="Arial" w:hAnsi="Arial"/>
                <w:iCs/>
                <w:color w:val="000000"/>
              </w:rPr>
              <w:tab/>
            </w:r>
            <w:r w:rsidRPr="00E04171">
              <w:rPr>
                <w:rFonts w:ascii="Arial" w:hAnsi="Arial"/>
                <w:iCs/>
                <w:color w:val="000000"/>
              </w:rPr>
              <w:t>Snížit podíl fosilních paliv (využívaných bez technologie zachytávání) na spotřebě primární energie na 50 % do roku 2030 a 0 % do roku 2050 a zcela utlumit využití uhlí pro výrobu elektřiny a tepla do roku 2033.</w:t>
            </w:r>
          </w:p>
          <w:p w:rsidR="00957203" w:rsidRPr="00E04171" w:rsidRDefault="00957203" w:rsidP="00957203">
            <w:pPr>
              <w:pStyle w:val="Normlnweb"/>
              <w:spacing w:before="240" w:beforeAutospacing="0" w:after="240" w:afterAutospacing="0"/>
              <w:ind w:left="1440" w:hanging="360"/>
              <w:jc w:val="both"/>
              <w:rPr>
                <w:rFonts w:ascii="Arial" w:hAnsi="Arial"/>
              </w:rPr>
            </w:pPr>
            <w:r w:rsidRPr="00E04171">
              <w:rPr>
                <w:rFonts w:ascii="Arial" w:hAnsi="Arial"/>
                <w:iCs/>
                <w:color w:val="000000"/>
              </w:rPr>
              <w:t xml:space="preserve">●  </w:t>
            </w:r>
            <w:r w:rsidRPr="00E04171">
              <w:rPr>
                <w:rStyle w:val="apple-tab-span"/>
                <w:rFonts w:ascii="Arial" w:hAnsi="Arial"/>
                <w:iCs/>
                <w:color w:val="000000"/>
              </w:rPr>
              <w:tab/>
            </w:r>
            <w:r w:rsidRPr="00E04171">
              <w:rPr>
                <w:rFonts w:ascii="Arial" w:hAnsi="Arial"/>
                <w:iCs/>
                <w:color w:val="000000"/>
              </w:rPr>
              <w:t>Dosáhnout podílu OZE na hrubé konečné úrovni odpovídající cíli EU do roku 2030 a dále tento podíl navýšit do roku 2050 v souladu s dosažením klimatické neutrality</w:t>
            </w:r>
          </w:p>
          <w:p w:rsidR="00957203" w:rsidRPr="00E04171" w:rsidRDefault="00957203" w:rsidP="00957203">
            <w:pPr>
              <w:pStyle w:val="Normlnweb"/>
              <w:spacing w:before="0" w:beforeAutospacing="0" w:after="120" w:afterAutospacing="0"/>
              <w:ind w:left="1440" w:hanging="360"/>
              <w:jc w:val="both"/>
              <w:rPr>
                <w:rFonts w:ascii="Arial" w:hAnsi="Arial"/>
              </w:rPr>
            </w:pPr>
            <w:r w:rsidRPr="00E04171">
              <w:rPr>
                <w:rFonts w:ascii="Arial" w:hAnsi="Arial"/>
                <w:iCs/>
                <w:color w:val="000000"/>
              </w:rPr>
              <w:t xml:space="preserve">●  </w:t>
            </w:r>
            <w:r w:rsidRPr="00E04171">
              <w:rPr>
                <w:rStyle w:val="apple-tab-span"/>
                <w:rFonts w:ascii="Arial" w:hAnsi="Arial"/>
                <w:iCs/>
                <w:color w:val="000000"/>
              </w:rPr>
              <w:tab/>
            </w:r>
            <w:r w:rsidRPr="00E04171">
              <w:rPr>
                <w:rFonts w:ascii="Arial" w:hAnsi="Arial"/>
                <w:iCs/>
                <w:color w:val="000000"/>
              </w:rPr>
              <w:t>Dekarbonizovat teplárenství</w:t>
            </w:r>
          </w:p>
          <w:p w:rsidR="00957203" w:rsidRPr="00E04171" w:rsidRDefault="00957203" w:rsidP="00957203">
            <w:pPr>
              <w:pStyle w:val="Odstavecseseznamem"/>
              <w:spacing w:after="240"/>
              <w:jc w:val="both"/>
              <w:rPr>
                <w:iCs/>
                <w:color w:val="000000"/>
                <w:sz w:val="24"/>
                <w:szCs w:val="24"/>
              </w:rPr>
            </w:pPr>
            <w:r w:rsidRPr="00E04171">
              <w:rPr>
                <w:iCs/>
                <w:color w:val="000000"/>
                <w:sz w:val="24"/>
                <w:szCs w:val="24"/>
              </w:rPr>
              <w:t>Na základě těchto strategických cílů je nutné připravit konkrétní plány nahrazení uhelných elektráren do roku 2033, přechodu tepláren z uhlí na jiné zdroje do roku 2033 a náhrady uhelných kotlů a kamen za jiné zdroje do roku 2033. Stejně tak je nutné počítat s koncem těžby hnědého uhlí, které nemá jiné uplatnění, než v energetice a z ekonomických důvodů nemá smysl jej dovážet.</w:t>
            </w:r>
          </w:p>
          <w:p w:rsidR="00957203" w:rsidRPr="00E04171" w:rsidRDefault="00957203" w:rsidP="00957203">
            <w:pPr>
              <w:pStyle w:val="Odstavecseseznamem"/>
              <w:spacing w:after="240"/>
              <w:jc w:val="both"/>
              <w:rPr>
                <w:b/>
                <w:iCs/>
                <w:color w:val="000000"/>
                <w:sz w:val="24"/>
                <w:szCs w:val="24"/>
              </w:rPr>
            </w:pPr>
          </w:p>
          <w:p w:rsidR="00957203" w:rsidRPr="00E04171" w:rsidRDefault="00957203" w:rsidP="00957203">
            <w:pPr>
              <w:pStyle w:val="Odstavecseseznamem"/>
              <w:spacing w:after="240"/>
              <w:jc w:val="both"/>
              <w:rPr>
                <w:b/>
                <w:color w:val="000000"/>
                <w:sz w:val="24"/>
                <w:szCs w:val="24"/>
              </w:rPr>
            </w:pPr>
            <w:r w:rsidRPr="00E04171">
              <w:rPr>
                <w:b/>
                <w:color w:val="000000"/>
                <w:sz w:val="24"/>
                <w:szCs w:val="24"/>
              </w:rPr>
              <w:t xml:space="preserve">Odůvodnění: </w:t>
            </w:r>
          </w:p>
          <w:p w:rsidR="00957203" w:rsidRPr="00E04171" w:rsidRDefault="00957203" w:rsidP="00957203">
            <w:pPr>
              <w:pStyle w:val="Odstavecseseznamem"/>
              <w:spacing w:after="240"/>
              <w:jc w:val="both"/>
              <w:rPr>
                <w:b/>
                <w:sz w:val="24"/>
                <w:szCs w:val="24"/>
              </w:rPr>
            </w:pPr>
            <w:r w:rsidRPr="00E04171">
              <w:rPr>
                <w:color w:val="000000"/>
                <w:sz w:val="24"/>
                <w:szCs w:val="24"/>
              </w:rPr>
              <w:lastRenderedPageBreak/>
              <w:t>V kapitole zcela</w:t>
            </w:r>
            <w:r w:rsidR="00F81F1F" w:rsidRPr="00E04171">
              <w:rPr>
                <w:color w:val="000000"/>
                <w:sz w:val="24"/>
                <w:szCs w:val="24"/>
              </w:rPr>
              <w:t xml:space="preserve"> chybí část k uhlí, jako hlavního</w:t>
            </w:r>
            <w:r w:rsidRPr="00E04171">
              <w:rPr>
                <w:color w:val="000000"/>
                <w:sz w:val="24"/>
                <w:szCs w:val="24"/>
              </w:rPr>
              <w:t xml:space="preserve"> zdroje emisí v energetice. Je nutné doplnit a vyjít z Východisek aktualizace Státní energetické koncepce ČR a souvisejících strategických dokumentů (Politiky ochrany Klimatu a Vnitrostátního plánu ČR v oblasti energetiky a klimatu).</w:t>
            </w:r>
          </w:p>
          <w:p w:rsidR="00957203" w:rsidRPr="00E04171" w:rsidRDefault="00957203" w:rsidP="00957203">
            <w:pPr>
              <w:spacing w:before="240" w:after="240"/>
              <w:jc w:val="right"/>
              <w:rPr>
                <w:b/>
                <w:sz w:val="24"/>
                <w:szCs w:val="24"/>
              </w:rPr>
            </w:pPr>
            <w:r w:rsidRPr="00E04171">
              <w:rPr>
                <w:b/>
                <w:sz w:val="24"/>
                <w:szCs w:val="24"/>
              </w:rPr>
              <w:t>Tato připomínka je doporučující.</w:t>
            </w:r>
          </w:p>
          <w:p w:rsidR="00957203" w:rsidRPr="00E04171" w:rsidRDefault="00957203" w:rsidP="00F81F1F">
            <w:pPr>
              <w:pStyle w:val="Odstavecseseznamem"/>
              <w:numPr>
                <w:ilvl w:val="0"/>
                <w:numId w:val="1"/>
              </w:numPr>
              <w:spacing w:after="240"/>
              <w:jc w:val="both"/>
              <w:rPr>
                <w:b/>
                <w:sz w:val="24"/>
                <w:szCs w:val="24"/>
              </w:rPr>
            </w:pPr>
            <w:r w:rsidRPr="00E04171">
              <w:rPr>
                <w:b/>
                <w:sz w:val="24"/>
                <w:szCs w:val="24"/>
              </w:rPr>
              <w:t xml:space="preserve">K části „Rodinné domy“ </w:t>
            </w:r>
            <w:r w:rsidR="00BF56B8" w:rsidRPr="00E04171">
              <w:rPr>
                <w:b/>
                <w:sz w:val="24"/>
                <w:szCs w:val="24"/>
              </w:rPr>
              <w:t xml:space="preserve">a části „Bytové domy“ </w:t>
            </w:r>
            <w:r w:rsidRPr="00E04171">
              <w:rPr>
                <w:b/>
                <w:sz w:val="24"/>
                <w:szCs w:val="24"/>
              </w:rPr>
              <w:t>(str. 104 – 105)</w:t>
            </w:r>
          </w:p>
          <w:p w:rsidR="00BF56B8" w:rsidRPr="00E04171" w:rsidRDefault="00BF56B8" w:rsidP="00957203">
            <w:pPr>
              <w:pStyle w:val="Odstavecseseznamem"/>
              <w:spacing w:after="240"/>
              <w:jc w:val="both"/>
              <w:rPr>
                <w:b/>
                <w:sz w:val="24"/>
                <w:szCs w:val="24"/>
              </w:rPr>
            </w:pPr>
          </w:p>
          <w:p w:rsidR="00BF56B8" w:rsidRPr="00E04171" w:rsidRDefault="00F81F1F" w:rsidP="00957203">
            <w:pPr>
              <w:pStyle w:val="Odstavecseseznamem"/>
              <w:spacing w:after="240"/>
              <w:jc w:val="both"/>
              <w:rPr>
                <w:iCs/>
                <w:color w:val="000000"/>
                <w:sz w:val="24"/>
                <w:szCs w:val="24"/>
              </w:rPr>
            </w:pPr>
            <w:r w:rsidRPr="00E04171">
              <w:rPr>
                <w:iCs/>
                <w:color w:val="000000"/>
                <w:sz w:val="24"/>
                <w:szCs w:val="24"/>
              </w:rPr>
              <w:t>Na konci</w:t>
            </w:r>
            <w:r w:rsidR="00BF56B8" w:rsidRPr="00E04171">
              <w:rPr>
                <w:iCs/>
                <w:color w:val="000000"/>
                <w:sz w:val="24"/>
                <w:szCs w:val="24"/>
              </w:rPr>
              <w:t> části „Rodinné domy“ navrhujeme doplnit tento text:</w:t>
            </w:r>
          </w:p>
          <w:p w:rsidR="00957203" w:rsidRPr="00E04171" w:rsidRDefault="00BF56B8" w:rsidP="00957203">
            <w:pPr>
              <w:pStyle w:val="Odstavecseseznamem"/>
              <w:spacing w:after="240"/>
              <w:jc w:val="both"/>
              <w:rPr>
                <w:iCs/>
                <w:color w:val="000000"/>
                <w:sz w:val="24"/>
                <w:szCs w:val="24"/>
              </w:rPr>
            </w:pPr>
            <w:r w:rsidRPr="00E04171">
              <w:rPr>
                <w:iCs/>
                <w:color w:val="000000"/>
                <w:sz w:val="24"/>
                <w:szCs w:val="24"/>
              </w:rPr>
              <w:t>Programy podpory energetických renovací rodinných domů budou nadále zahrnovat speciální podmínky pro nízkopříjmové domácnosti, tak aby nebyl nikdo vyloučen z možnosti čerpat podporu a snížit energetickou náročnost svého bydlení.</w:t>
            </w:r>
          </w:p>
          <w:p w:rsidR="00BF56B8" w:rsidRPr="00E04171" w:rsidRDefault="00BF56B8" w:rsidP="00957203">
            <w:pPr>
              <w:pStyle w:val="Odstavecseseznamem"/>
              <w:spacing w:after="240"/>
              <w:jc w:val="both"/>
              <w:rPr>
                <w:iCs/>
                <w:color w:val="000000"/>
                <w:sz w:val="24"/>
                <w:szCs w:val="24"/>
              </w:rPr>
            </w:pPr>
          </w:p>
          <w:p w:rsidR="00BF56B8" w:rsidRPr="00E04171" w:rsidRDefault="004769C8" w:rsidP="00957203">
            <w:pPr>
              <w:pStyle w:val="Odstavecseseznamem"/>
              <w:spacing w:after="240"/>
              <w:jc w:val="both"/>
              <w:rPr>
                <w:iCs/>
                <w:color w:val="000000"/>
                <w:sz w:val="24"/>
                <w:szCs w:val="24"/>
              </w:rPr>
            </w:pPr>
            <w:r w:rsidRPr="00E04171">
              <w:rPr>
                <w:iCs/>
                <w:color w:val="000000"/>
                <w:sz w:val="24"/>
                <w:szCs w:val="24"/>
              </w:rPr>
              <w:t>V</w:t>
            </w:r>
            <w:r w:rsidR="00BF56B8" w:rsidRPr="00E04171">
              <w:rPr>
                <w:iCs/>
                <w:color w:val="000000"/>
                <w:sz w:val="24"/>
                <w:szCs w:val="24"/>
              </w:rPr>
              <w:t xml:space="preserve"> části „Bytové domy“ navrhujeme doplnit tento text:</w:t>
            </w:r>
          </w:p>
          <w:p w:rsidR="00BF56B8" w:rsidRPr="00E04171" w:rsidRDefault="00BF56B8" w:rsidP="00957203">
            <w:pPr>
              <w:pStyle w:val="Odstavecseseznamem"/>
              <w:spacing w:after="240"/>
              <w:jc w:val="both"/>
              <w:rPr>
                <w:iCs/>
                <w:color w:val="000000"/>
                <w:sz w:val="24"/>
                <w:szCs w:val="24"/>
              </w:rPr>
            </w:pPr>
            <w:r w:rsidRPr="00E04171">
              <w:rPr>
                <w:iCs/>
                <w:color w:val="000000"/>
                <w:sz w:val="24"/>
                <w:szCs w:val="24"/>
              </w:rPr>
              <w:t>Programy podpory energetických renovací bytových domů budou - stejně jako v případě rodinných domů - nadále zahrnovat speciální podmínky pro nízkopříjmové domácnosti, tak aby nebyl nikdo vyloučen z možnosti čerpat podporu a snížit energetickou náročnost svého bydlení. Součástí pravidel a podpory budou i pojistky pro ochranu nájemníků před neadekvátním zdražením v či ztrátou bydlení v důsledku renovace.</w:t>
            </w:r>
          </w:p>
          <w:p w:rsidR="00BF56B8" w:rsidRPr="00E04171" w:rsidRDefault="00BF56B8" w:rsidP="00957203">
            <w:pPr>
              <w:pStyle w:val="Odstavecseseznamem"/>
              <w:spacing w:after="240"/>
              <w:jc w:val="both"/>
              <w:rPr>
                <w:iCs/>
                <w:color w:val="000000"/>
                <w:sz w:val="24"/>
                <w:szCs w:val="24"/>
              </w:rPr>
            </w:pPr>
          </w:p>
          <w:p w:rsidR="00BF56B8" w:rsidRPr="00E04171" w:rsidRDefault="00BF56B8" w:rsidP="00957203">
            <w:pPr>
              <w:pStyle w:val="Odstavecseseznamem"/>
              <w:spacing w:after="240"/>
              <w:jc w:val="both"/>
              <w:rPr>
                <w:b/>
                <w:bCs/>
                <w:color w:val="000000"/>
                <w:sz w:val="24"/>
                <w:szCs w:val="24"/>
              </w:rPr>
            </w:pPr>
            <w:r w:rsidRPr="00E04171">
              <w:rPr>
                <w:b/>
                <w:color w:val="000000"/>
                <w:sz w:val="24"/>
                <w:szCs w:val="24"/>
              </w:rPr>
              <w:t>Odůvodnění:</w:t>
            </w:r>
            <w:r w:rsidRPr="00E04171">
              <w:rPr>
                <w:b/>
                <w:bCs/>
                <w:color w:val="000000"/>
                <w:sz w:val="24"/>
                <w:szCs w:val="24"/>
              </w:rPr>
              <w:t xml:space="preserve"> </w:t>
            </w:r>
          </w:p>
          <w:p w:rsidR="00BF56B8" w:rsidRPr="00E04171" w:rsidRDefault="00BF56B8" w:rsidP="00BF56B8">
            <w:pPr>
              <w:pStyle w:val="Odstavecseseznamem"/>
              <w:spacing w:after="240"/>
              <w:jc w:val="both"/>
              <w:rPr>
                <w:iCs/>
                <w:color w:val="000000"/>
                <w:sz w:val="24"/>
                <w:szCs w:val="24"/>
              </w:rPr>
            </w:pPr>
            <w:r w:rsidRPr="00E04171">
              <w:rPr>
                <w:color w:val="000000"/>
                <w:sz w:val="24"/>
                <w:szCs w:val="24"/>
              </w:rPr>
              <w:t>Energetická krize ukázala, že nízkopříjmové domácnosti dříve nebyly zasaženy opatřeními na snižování energetické náročnosti bydlení z důvodu nedostupnosti dotační podpory pro žadatele bez vlastní hotovosti a s nízkým příjmem. Programy jako Nová zelená úsporám Light nebo Nová zelená úsporám Bytové domy ukázaly, že jde o správnou cestu, jak pomoc rozšířit i na ty skupiny obyvatel, které na klasické programy nedosáhnou a zároveň jsou ohroženy energetickou chudobou více, než jiné skupiny. Proto by mělo být součástí strategie i do budoucna udržovat nízkopříjmové domácnosti v renovační vlně.</w:t>
            </w:r>
          </w:p>
          <w:p w:rsidR="0005358D" w:rsidRPr="00E04171" w:rsidRDefault="00BF56B8" w:rsidP="00BF56B8">
            <w:pPr>
              <w:spacing w:before="240" w:after="240"/>
              <w:jc w:val="right"/>
              <w:rPr>
                <w:b/>
                <w:sz w:val="24"/>
                <w:szCs w:val="24"/>
              </w:rPr>
            </w:pPr>
            <w:r w:rsidRPr="00E04171">
              <w:rPr>
                <w:b/>
                <w:sz w:val="24"/>
                <w:szCs w:val="24"/>
              </w:rPr>
              <w:t>Tato připomínka je doporučující.</w:t>
            </w:r>
          </w:p>
        </w:tc>
        <w:tc>
          <w:tcPr>
            <w:tcW w:w="255" w:type="dxa"/>
            <w:tcBorders>
              <w:top w:val="single" w:sz="4" w:space="0" w:color="000000"/>
              <w:left w:val="single" w:sz="4" w:space="0" w:color="000000"/>
              <w:bottom w:val="single" w:sz="4" w:space="0" w:color="000000"/>
              <w:right w:val="single" w:sz="4" w:space="0" w:color="000000"/>
            </w:tcBorders>
            <w:tcMar>
              <w:left w:w="105" w:type="dxa"/>
              <w:right w:w="105" w:type="dxa"/>
            </w:tcMar>
          </w:tcPr>
          <w:p w:rsidR="00D26B5E" w:rsidRPr="00E04171" w:rsidRDefault="00D26B5E">
            <w:pPr>
              <w:spacing w:before="240" w:after="240" w:line="259" w:lineRule="auto"/>
              <w:jc w:val="both"/>
              <w:rPr>
                <w:sz w:val="24"/>
                <w:szCs w:val="24"/>
              </w:rPr>
            </w:pPr>
          </w:p>
        </w:tc>
      </w:tr>
      <w:tr w:rsidR="00D26B5E" w:rsidRPr="00E04171" w:rsidTr="003945CE">
        <w:trPr>
          <w:trHeight w:val="315"/>
        </w:trPr>
        <w:tc>
          <w:tcPr>
            <w:tcW w:w="1268" w:type="dxa"/>
            <w:vMerge/>
            <w:tcBorders>
              <w:top w:val="single" w:sz="4" w:space="0" w:color="000000"/>
              <w:left w:val="single" w:sz="4" w:space="0" w:color="000000"/>
              <w:right w:val="single" w:sz="4" w:space="0" w:color="000000"/>
            </w:tcBorders>
            <w:tcMar>
              <w:left w:w="105" w:type="dxa"/>
              <w:right w:w="105" w:type="dxa"/>
            </w:tcMar>
          </w:tcPr>
          <w:p w:rsidR="00D26B5E" w:rsidRPr="00E04171" w:rsidRDefault="00D26B5E">
            <w:pPr>
              <w:widowControl w:val="0"/>
              <w:rPr>
                <w:sz w:val="24"/>
                <w:szCs w:val="24"/>
              </w:rPr>
            </w:pPr>
          </w:p>
        </w:tc>
        <w:tc>
          <w:tcPr>
            <w:tcW w:w="7492" w:type="dxa"/>
            <w:tcBorders>
              <w:top w:val="single" w:sz="4" w:space="0" w:color="000000"/>
              <w:left w:val="single" w:sz="4" w:space="0" w:color="000000"/>
              <w:bottom w:val="single" w:sz="4" w:space="0" w:color="000000"/>
              <w:right w:val="single" w:sz="4" w:space="0" w:color="000000"/>
            </w:tcBorders>
            <w:tcMar>
              <w:left w:w="105" w:type="dxa"/>
              <w:right w:w="105" w:type="dxa"/>
            </w:tcMar>
          </w:tcPr>
          <w:p w:rsidR="00D26B5E" w:rsidRPr="00E04171" w:rsidRDefault="00851B81">
            <w:pPr>
              <w:spacing w:before="120" w:after="240"/>
              <w:jc w:val="both"/>
              <w:rPr>
                <w:sz w:val="24"/>
                <w:szCs w:val="24"/>
              </w:rPr>
            </w:pPr>
            <w:r w:rsidRPr="00E04171">
              <w:rPr>
                <w:b/>
                <w:sz w:val="24"/>
                <w:szCs w:val="24"/>
              </w:rPr>
              <w:t>Závěr</w:t>
            </w:r>
          </w:p>
          <w:p w:rsidR="00D26B5E" w:rsidRPr="00E04171" w:rsidRDefault="00851B81">
            <w:pPr>
              <w:spacing w:after="240"/>
              <w:jc w:val="both"/>
              <w:rPr>
                <w:sz w:val="24"/>
                <w:szCs w:val="24"/>
              </w:rPr>
            </w:pPr>
            <w:r w:rsidRPr="00E04171">
              <w:rPr>
                <w:sz w:val="24"/>
                <w:szCs w:val="24"/>
              </w:rPr>
              <w:t>Zdvořile žádáme o zohlednění našich připomínek.</w:t>
            </w:r>
          </w:p>
          <w:p w:rsidR="00D26B5E" w:rsidRPr="00E04171" w:rsidRDefault="00851B81">
            <w:pPr>
              <w:spacing w:after="240"/>
              <w:rPr>
                <w:sz w:val="24"/>
                <w:szCs w:val="24"/>
              </w:rPr>
            </w:pPr>
            <w:r w:rsidRPr="00E04171">
              <w:rPr>
                <w:sz w:val="24"/>
                <w:szCs w:val="24"/>
              </w:rPr>
              <w:t xml:space="preserve">Osobou pověřenou k jejich vypořádání je </w:t>
            </w:r>
          </w:p>
          <w:p w:rsidR="00D26B5E" w:rsidRPr="00E04171" w:rsidRDefault="0005358D">
            <w:pPr>
              <w:spacing w:after="240"/>
              <w:rPr>
                <w:sz w:val="24"/>
                <w:szCs w:val="24"/>
              </w:rPr>
            </w:pPr>
            <w:bookmarkStart w:id="0" w:name="_gjdgxs" w:colFirst="0" w:colLast="0"/>
            <w:bookmarkEnd w:id="0"/>
            <w:r w:rsidRPr="00E04171">
              <w:rPr>
                <w:sz w:val="24"/>
                <w:szCs w:val="24"/>
              </w:rPr>
              <w:t>Mgr. Lukáš Bartík</w:t>
            </w:r>
            <w:r w:rsidR="00851B81" w:rsidRPr="00E04171">
              <w:rPr>
                <w:sz w:val="24"/>
                <w:szCs w:val="24"/>
              </w:rPr>
              <w:t xml:space="preserve">, e-mail: </w:t>
            </w:r>
            <w:bookmarkStart w:id="1" w:name="_GoBack"/>
            <w:bookmarkEnd w:id="1"/>
            <w:r w:rsidR="0063396B">
              <w:rPr>
                <w:sz w:val="24"/>
                <w:szCs w:val="24"/>
              </w:rPr>
              <w:t>XXXXX</w:t>
            </w:r>
          </w:p>
        </w:tc>
        <w:tc>
          <w:tcPr>
            <w:tcW w:w="255" w:type="dxa"/>
            <w:tcBorders>
              <w:top w:val="single" w:sz="4" w:space="0" w:color="000000"/>
              <w:left w:val="single" w:sz="4" w:space="0" w:color="000000"/>
              <w:bottom w:val="single" w:sz="4" w:space="0" w:color="000000"/>
              <w:right w:val="single" w:sz="4" w:space="0" w:color="000000"/>
            </w:tcBorders>
            <w:tcMar>
              <w:left w:w="105" w:type="dxa"/>
              <w:right w:w="105" w:type="dxa"/>
            </w:tcMar>
          </w:tcPr>
          <w:p w:rsidR="00D26B5E" w:rsidRPr="00E04171" w:rsidRDefault="00D26B5E">
            <w:pPr>
              <w:spacing w:after="160" w:line="259" w:lineRule="auto"/>
              <w:jc w:val="both"/>
              <w:rPr>
                <w:sz w:val="24"/>
                <w:szCs w:val="24"/>
              </w:rPr>
            </w:pPr>
          </w:p>
        </w:tc>
      </w:tr>
    </w:tbl>
    <w:p w:rsidR="00D26B5E" w:rsidRPr="00E04171" w:rsidRDefault="00D26B5E">
      <w:pPr>
        <w:spacing w:after="160" w:line="259" w:lineRule="auto"/>
        <w:rPr>
          <w:sz w:val="24"/>
          <w:szCs w:val="24"/>
        </w:rPr>
      </w:pPr>
    </w:p>
    <w:p w:rsidR="00D26B5E" w:rsidRPr="00E04171" w:rsidRDefault="00851B81">
      <w:pPr>
        <w:spacing w:after="160" w:line="259" w:lineRule="auto"/>
        <w:rPr>
          <w:sz w:val="24"/>
          <w:szCs w:val="24"/>
        </w:rPr>
      </w:pPr>
      <w:r w:rsidRPr="00E04171">
        <w:rPr>
          <w:sz w:val="24"/>
          <w:szCs w:val="24"/>
        </w:rPr>
        <w:t xml:space="preserve">V Praze </w:t>
      </w:r>
      <w:r w:rsidR="00BF56B8" w:rsidRPr="00E04171">
        <w:rPr>
          <w:sz w:val="24"/>
          <w:szCs w:val="24"/>
        </w:rPr>
        <w:t>3. 10. 2023</w:t>
      </w:r>
    </w:p>
    <w:p w:rsidR="00D26B5E" w:rsidRPr="00E04171" w:rsidRDefault="00D26B5E">
      <w:pPr>
        <w:spacing w:after="160" w:line="259" w:lineRule="auto"/>
        <w:rPr>
          <w:sz w:val="24"/>
          <w:szCs w:val="24"/>
        </w:rPr>
      </w:pPr>
    </w:p>
    <w:p w:rsidR="00D26B5E" w:rsidRPr="00E04171" w:rsidRDefault="00D26B5E">
      <w:pPr>
        <w:rPr>
          <w:sz w:val="24"/>
          <w:szCs w:val="24"/>
        </w:rPr>
      </w:pPr>
    </w:p>
    <w:p w:rsidR="00D26B5E" w:rsidRPr="00E04171" w:rsidRDefault="00D26B5E">
      <w:pPr>
        <w:rPr>
          <w:sz w:val="24"/>
          <w:szCs w:val="24"/>
        </w:rPr>
      </w:pPr>
    </w:p>
    <w:sectPr w:rsidR="00D26B5E" w:rsidRPr="00E04171">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CE">
    <w:panose1 w:val="020B0604020202020204"/>
    <w:charset w:val="EE"/>
    <w:family w:val="swiss"/>
    <w:pitch w:val="variable"/>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27B8E"/>
    <w:multiLevelType w:val="multilevel"/>
    <w:tmpl w:val="84F674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85703C"/>
    <w:multiLevelType w:val="multilevel"/>
    <w:tmpl w:val="84F674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725160"/>
    <w:multiLevelType w:val="multilevel"/>
    <w:tmpl w:val="84F674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43D07F0"/>
    <w:multiLevelType w:val="multilevel"/>
    <w:tmpl w:val="84F674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4B15C1D"/>
    <w:multiLevelType w:val="multilevel"/>
    <w:tmpl w:val="84F674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3D53AD5"/>
    <w:multiLevelType w:val="multilevel"/>
    <w:tmpl w:val="84F674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8E556F5"/>
    <w:multiLevelType w:val="multilevel"/>
    <w:tmpl w:val="84F674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2"/>
  </w:num>
  <w:num w:numId="3">
    <w:abstractNumId w:val="0"/>
  </w:num>
  <w:num w:numId="4">
    <w:abstractNumId w:val="1"/>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B5E"/>
    <w:rsid w:val="0005358D"/>
    <w:rsid w:val="003945CE"/>
    <w:rsid w:val="004769C8"/>
    <w:rsid w:val="005461F1"/>
    <w:rsid w:val="005D012F"/>
    <w:rsid w:val="0063396B"/>
    <w:rsid w:val="00851B81"/>
    <w:rsid w:val="00957203"/>
    <w:rsid w:val="009A0D62"/>
    <w:rsid w:val="00BF56B8"/>
    <w:rsid w:val="00C81E7A"/>
    <w:rsid w:val="00D26B5E"/>
    <w:rsid w:val="00E04171"/>
    <w:rsid w:val="00F81F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BEF9B"/>
  <w15:docId w15:val="{8BF9FE02-429D-4576-9DB1-E5E95957B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nadpis">
    <w:name w:val="Subtitle"/>
    <w:basedOn w:val="Normln"/>
    <w:next w:val="Normln"/>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paragraph" w:styleId="Normlnweb">
    <w:name w:val="Normal (Web)"/>
    <w:basedOn w:val="Normln"/>
    <w:uiPriority w:val="99"/>
    <w:unhideWhenUsed/>
    <w:rsid w:val="0005358D"/>
    <w:pPr>
      <w:spacing w:before="100" w:beforeAutospacing="1" w:after="100" w:afterAutospacing="1" w:line="240" w:lineRule="auto"/>
    </w:pPr>
    <w:rPr>
      <w:rFonts w:ascii="Times New Roman" w:eastAsia="Times New Roman" w:hAnsi="Times New Roman" w:cs="Times New Roman"/>
      <w:sz w:val="24"/>
      <w:szCs w:val="24"/>
    </w:rPr>
  </w:style>
  <w:style w:type="paragraph" w:styleId="Odstavecseseznamem">
    <w:name w:val="List Paragraph"/>
    <w:basedOn w:val="Normln"/>
    <w:uiPriority w:val="34"/>
    <w:qFormat/>
    <w:rsid w:val="0005358D"/>
    <w:pPr>
      <w:ind w:left="720"/>
      <w:contextualSpacing/>
    </w:pPr>
  </w:style>
  <w:style w:type="character" w:customStyle="1" w:styleId="apple-tab-span">
    <w:name w:val="apple-tab-span"/>
    <w:basedOn w:val="Standardnpsmoodstavce"/>
    <w:rsid w:val="00957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99221">
      <w:bodyDiv w:val="1"/>
      <w:marLeft w:val="0"/>
      <w:marRight w:val="0"/>
      <w:marTop w:val="0"/>
      <w:marBottom w:val="0"/>
      <w:divBdr>
        <w:top w:val="none" w:sz="0" w:space="0" w:color="auto"/>
        <w:left w:val="none" w:sz="0" w:space="0" w:color="auto"/>
        <w:bottom w:val="none" w:sz="0" w:space="0" w:color="auto"/>
        <w:right w:val="none" w:sz="0" w:space="0" w:color="auto"/>
      </w:divBdr>
    </w:div>
    <w:div w:id="802699430">
      <w:bodyDiv w:val="1"/>
      <w:marLeft w:val="0"/>
      <w:marRight w:val="0"/>
      <w:marTop w:val="0"/>
      <w:marBottom w:val="0"/>
      <w:divBdr>
        <w:top w:val="none" w:sz="0" w:space="0" w:color="auto"/>
        <w:left w:val="none" w:sz="0" w:space="0" w:color="auto"/>
        <w:bottom w:val="none" w:sz="0" w:space="0" w:color="auto"/>
        <w:right w:val="none" w:sz="0" w:space="0" w:color="auto"/>
      </w:divBdr>
    </w:div>
    <w:div w:id="952831531">
      <w:bodyDiv w:val="1"/>
      <w:marLeft w:val="0"/>
      <w:marRight w:val="0"/>
      <w:marTop w:val="0"/>
      <w:marBottom w:val="0"/>
      <w:divBdr>
        <w:top w:val="none" w:sz="0" w:space="0" w:color="auto"/>
        <w:left w:val="none" w:sz="0" w:space="0" w:color="auto"/>
        <w:bottom w:val="none" w:sz="0" w:space="0" w:color="auto"/>
        <w:right w:val="none" w:sz="0" w:space="0" w:color="auto"/>
      </w:divBdr>
    </w:div>
    <w:div w:id="1709643590">
      <w:bodyDiv w:val="1"/>
      <w:marLeft w:val="0"/>
      <w:marRight w:val="0"/>
      <w:marTop w:val="0"/>
      <w:marBottom w:val="0"/>
      <w:divBdr>
        <w:top w:val="none" w:sz="0" w:space="0" w:color="auto"/>
        <w:left w:val="none" w:sz="0" w:space="0" w:color="auto"/>
        <w:bottom w:val="none" w:sz="0" w:space="0" w:color="auto"/>
        <w:right w:val="none" w:sz="0" w:space="0" w:color="auto"/>
      </w:divBdr>
    </w:div>
    <w:div w:id="1739668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1303</Words>
  <Characters>7694</Characters>
  <Application>Microsoft Office Word</Application>
  <DocSecurity>0</DocSecurity>
  <Lines>64</Lines>
  <Paragraphs>17</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Bártík Lukáš</dc:creator>
  <cp:lastModifiedBy>Střeštíková Hana</cp:lastModifiedBy>
  <cp:revision>3</cp:revision>
  <dcterms:created xsi:type="dcterms:W3CDTF">2023-11-02T07:40:00Z</dcterms:created>
  <dcterms:modified xsi:type="dcterms:W3CDTF">2023-11-02T07:41:00Z</dcterms:modified>
</cp:coreProperties>
</file>