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DF37" w14:textId="4A74F226" w:rsidR="00D3162E" w:rsidRPr="00473EA8" w:rsidRDefault="00D65184" w:rsidP="00473EA8">
      <w:pPr>
        <w:spacing w:before="160" w:line="293" w:lineRule="auto"/>
        <w:jc w:val="center"/>
        <w:rPr>
          <w:rFonts w:ascii="Calibri" w:eastAsia="Calibri" w:hAnsi="Calibri"/>
          <w:b/>
          <w:sz w:val="40"/>
          <w:szCs w:val="40"/>
        </w:rPr>
      </w:pPr>
      <w:r w:rsidRPr="00C56410">
        <w:rPr>
          <w:rFonts w:ascii="Calibri" w:eastAsia="Calibri" w:hAnsi="Calibri"/>
          <w:b/>
          <w:sz w:val="40"/>
          <w:szCs w:val="40"/>
        </w:rPr>
        <w:t xml:space="preserve">ZPRÁVA </w:t>
      </w:r>
      <w:r w:rsidR="00761625" w:rsidRPr="00C56410">
        <w:rPr>
          <w:rFonts w:ascii="Calibri" w:eastAsia="Calibri" w:hAnsi="Calibri"/>
          <w:b/>
          <w:sz w:val="40"/>
          <w:szCs w:val="40"/>
        </w:rPr>
        <w:t>O</w:t>
      </w:r>
      <w:r w:rsidR="000A060F">
        <w:rPr>
          <w:rFonts w:ascii="Calibri" w:eastAsia="Calibri" w:hAnsi="Calibri"/>
          <w:b/>
          <w:sz w:val="40"/>
          <w:szCs w:val="40"/>
        </w:rPr>
        <w:t> </w:t>
      </w:r>
      <w:r w:rsidR="00761625" w:rsidRPr="00C56410">
        <w:rPr>
          <w:rFonts w:ascii="Calibri" w:eastAsia="Calibri" w:hAnsi="Calibri"/>
          <w:b/>
          <w:sz w:val="40"/>
          <w:szCs w:val="40"/>
        </w:rPr>
        <w:t xml:space="preserve">ČINNOSTI </w:t>
      </w:r>
      <w:r w:rsidR="0083462A" w:rsidRPr="00C56410">
        <w:rPr>
          <w:rFonts w:ascii="Calibri" w:eastAsia="Calibri" w:hAnsi="Calibri"/>
          <w:b/>
          <w:sz w:val="40"/>
          <w:szCs w:val="40"/>
        </w:rPr>
        <w:t xml:space="preserve">STÁLÉHO VÝBORU PRO </w:t>
      </w:r>
      <w:r w:rsidR="007F6DD3" w:rsidRPr="00C56410">
        <w:rPr>
          <w:rFonts w:ascii="Calibri" w:eastAsia="Calibri" w:hAnsi="Calibri"/>
          <w:b/>
          <w:sz w:val="40"/>
          <w:szCs w:val="40"/>
        </w:rPr>
        <w:t xml:space="preserve">VÝSTAVBU NOVÝCH JADERNÝCH ZDROJŮ </w:t>
      </w:r>
      <w:r w:rsidR="007A04B6" w:rsidRPr="00C56410">
        <w:rPr>
          <w:rFonts w:ascii="Calibri" w:eastAsia="Calibri" w:hAnsi="Calibri"/>
          <w:b/>
          <w:sz w:val="40"/>
          <w:szCs w:val="40"/>
        </w:rPr>
        <w:t>V</w:t>
      </w:r>
      <w:r w:rsidR="000A060F">
        <w:rPr>
          <w:rFonts w:ascii="Calibri" w:eastAsia="Calibri" w:hAnsi="Calibri"/>
          <w:b/>
          <w:sz w:val="40"/>
          <w:szCs w:val="40"/>
        </w:rPr>
        <w:t> </w:t>
      </w:r>
      <w:r w:rsidR="007F6DD3" w:rsidRPr="00C56410">
        <w:rPr>
          <w:rFonts w:ascii="Calibri" w:eastAsia="Calibri" w:hAnsi="Calibri"/>
          <w:b/>
          <w:sz w:val="40"/>
          <w:szCs w:val="40"/>
        </w:rPr>
        <w:t>ČR</w:t>
      </w:r>
      <w:r w:rsidR="000B18B7" w:rsidRPr="00C56410">
        <w:rPr>
          <w:rFonts w:ascii="Calibri" w:eastAsia="Calibri" w:hAnsi="Calibri"/>
          <w:b/>
          <w:sz w:val="40"/>
          <w:szCs w:val="40"/>
        </w:rPr>
        <w:t xml:space="preserve"> ZA ROK 202</w:t>
      </w:r>
      <w:r w:rsidR="008C7D4F" w:rsidRPr="00C56410">
        <w:rPr>
          <w:rFonts w:ascii="Calibri" w:eastAsia="Calibri" w:hAnsi="Calibri"/>
          <w:b/>
          <w:sz w:val="40"/>
          <w:szCs w:val="40"/>
        </w:rPr>
        <w:t>2</w:t>
      </w:r>
    </w:p>
    <w:p w14:paraId="2B2019F6" w14:textId="0990C205" w:rsidR="00473EA8" w:rsidRDefault="00473EA8" w:rsidP="00473EA8">
      <w:pPr>
        <w:keepNext/>
        <w:keepLines/>
        <w:tabs>
          <w:tab w:val="left" w:pos="851"/>
        </w:tabs>
        <w:spacing w:before="160" w:line="293" w:lineRule="auto"/>
        <w:ind w:left="360"/>
        <w:jc w:val="both"/>
        <w:outlineLvl w:val="0"/>
        <w:rPr>
          <w:rFonts w:ascii="Cambria" w:hAnsi="Cambria"/>
          <w:color w:val="365F91"/>
          <w:sz w:val="32"/>
          <w:szCs w:val="32"/>
        </w:rPr>
      </w:pPr>
    </w:p>
    <w:p w14:paraId="5A3B2D67" w14:textId="6D45D598" w:rsidR="008E16E0" w:rsidRPr="00C56410" w:rsidRDefault="00207DD9" w:rsidP="00473EA8">
      <w:pPr>
        <w:keepNext/>
        <w:keepLines/>
        <w:numPr>
          <w:ilvl w:val="0"/>
          <w:numId w:val="4"/>
        </w:numPr>
        <w:tabs>
          <w:tab w:val="left" w:pos="851"/>
        </w:tabs>
        <w:spacing w:before="160" w:line="293" w:lineRule="auto"/>
        <w:jc w:val="both"/>
        <w:outlineLvl w:val="0"/>
        <w:rPr>
          <w:rFonts w:ascii="Cambria" w:hAnsi="Cambria"/>
          <w:color w:val="365F91"/>
          <w:sz w:val="32"/>
          <w:szCs w:val="32"/>
        </w:rPr>
      </w:pPr>
      <w:r w:rsidRPr="00C56410">
        <w:rPr>
          <w:rFonts w:ascii="Cambria" w:hAnsi="Cambria"/>
          <w:color w:val="365F91"/>
          <w:sz w:val="32"/>
          <w:szCs w:val="32"/>
        </w:rPr>
        <w:t xml:space="preserve">Úvod </w:t>
      </w:r>
    </w:p>
    <w:p w14:paraId="2B499BE4" w14:textId="09D576D0" w:rsidR="003B7F2C" w:rsidRPr="00C56410" w:rsidRDefault="00A93529" w:rsidP="00473EA8">
      <w:pPr>
        <w:spacing w:before="160" w:line="293" w:lineRule="auto"/>
        <w:ind w:left="448"/>
        <w:jc w:val="both"/>
        <w:rPr>
          <w:rFonts w:ascii="Calibri" w:eastAsia="Calibri" w:hAnsi="Calibri"/>
          <w:sz w:val="22"/>
          <w:szCs w:val="22"/>
        </w:rPr>
      </w:pPr>
      <w:r w:rsidRPr="00C56410">
        <w:rPr>
          <w:rFonts w:ascii="Calibri" w:eastAsia="Calibri" w:hAnsi="Calibri"/>
          <w:sz w:val="22"/>
          <w:szCs w:val="22"/>
        </w:rPr>
        <w:t>Z</w:t>
      </w:r>
      <w:r w:rsidR="000040EA" w:rsidRPr="00C56410">
        <w:rPr>
          <w:rFonts w:ascii="Calibri" w:eastAsia="Calibri" w:hAnsi="Calibri"/>
          <w:sz w:val="22"/>
          <w:szCs w:val="22"/>
        </w:rPr>
        <w:t>práv</w:t>
      </w:r>
      <w:r w:rsidR="008C7D4F" w:rsidRPr="00C56410">
        <w:rPr>
          <w:rFonts w:ascii="Calibri" w:eastAsia="Calibri" w:hAnsi="Calibri"/>
          <w:sz w:val="22"/>
          <w:szCs w:val="22"/>
        </w:rPr>
        <w:t>u</w:t>
      </w:r>
      <w:r w:rsidR="000040EA" w:rsidRPr="00C56410">
        <w:rPr>
          <w:rFonts w:ascii="Calibri" w:eastAsia="Calibri" w:hAnsi="Calibri"/>
          <w:sz w:val="22"/>
          <w:szCs w:val="22"/>
        </w:rPr>
        <w:t xml:space="preserve"> o</w:t>
      </w:r>
      <w:r w:rsidR="000A060F">
        <w:rPr>
          <w:rFonts w:ascii="Calibri" w:eastAsia="Calibri" w:hAnsi="Calibri"/>
          <w:sz w:val="22"/>
          <w:szCs w:val="22"/>
        </w:rPr>
        <w:t> </w:t>
      </w:r>
      <w:r w:rsidR="000040EA" w:rsidRPr="00C56410">
        <w:rPr>
          <w:rFonts w:ascii="Calibri" w:eastAsia="Calibri" w:hAnsi="Calibri"/>
          <w:sz w:val="22"/>
          <w:szCs w:val="22"/>
        </w:rPr>
        <w:t xml:space="preserve">činnosti </w:t>
      </w:r>
      <w:r w:rsidR="0083462A" w:rsidRPr="00C56410">
        <w:rPr>
          <w:rFonts w:ascii="Calibri" w:eastAsia="Calibri" w:hAnsi="Calibri"/>
          <w:sz w:val="22"/>
          <w:szCs w:val="22"/>
        </w:rPr>
        <w:t xml:space="preserve">Stálého výboru pro </w:t>
      </w:r>
      <w:r w:rsidR="008115FF" w:rsidRPr="00C56410">
        <w:rPr>
          <w:rFonts w:ascii="Calibri" w:eastAsia="Calibri" w:hAnsi="Calibri"/>
          <w:sz w:val="22"/>
          <w:szCs w:val="22"/>
        </w:rPr>
        <w:t xml:space="preserve">výstavbu nových jaderných zdrojů </w:t>
      </w:r>
      <w:r w:rsidR="005253E1" w:rsidRPr="00C56410">
        <w:rPr>
          <w:rFonts w:ascii="Calibri" w:eastAsia="Calibri" w:hAnsi="Calibri"/>
          <w:sz w:val="22"/>
          <w:szCs w:val="22"/>
        </w:rPr>
        <w:t>v</w:t>
      </w:r>
      <w:r w:rsidR="000A060F">
        <w:rPr>
          <w:rFonts w:ascii="Calibri" w:eastAsia="Calibri" w:hAnsi="Calibri"/>
          <w:sz w:val="22"/>
          <w:szCs w:val="22"/>
        </w:rPr>
        <w:t> </w:t>
      </w:r>
      <w:r w:rsidR="005253E1" w:rsidRPr="00C56410">
        <w:rPr>
          <w:rFonts w:ascii="Calibri" w:eastAsia="Calibri" w:hAnsi="Calibri"/>
          <w:sz w:val="22"/>
          <w:szCs w:val="22"/>
        </w:rPr>
        <w:t xml:space="preserve">ČR </w:t>
      </w:r>
      <w:r w:rsidR="008115FF" w:rsidRPr="00C56410">
        <w:rPr>
          <w:rFonts w:ascii="Calibri" w:eastAsia="Calibri" w:hAnsi="Calibri"/>
          <w:sz w:val="22"/>
          <w:szCs w:val="22"/>
        </w:rPr>
        <w:t xml:space="preserve">(dále také </w:t>
      </w:r>
      <w:r w:rsidR="003A6009">
        <w:rPr>
          <w:rFonts w:ascii="Calibri" w:eastAsia="Calibri" w:hAnsi="Calibri"/>
          <w:sz w:val="22"/>
          <w:szCs w:val="22"/>
        </w:rPr>
        <w:t>i</w:t>
      </w:r>
      <w:r w:rsidR="000A060F">
        <w:rPr>
          <w:rFonts w:ascii="Calibri" w:eastAsia="Calibri" w:hAnsi="Calibri"/>
          <w:sz w:val="22"/>
          <w:szCs w:val="22"/>
        </w:rPr>
        <w:t> </w:t>
      </w:r>
      <w:r w:rsidR="003A6009">
        <w:rPr>
          <w:rFonts w:ascii="Calibri" w:eastAsia="Calibri" w:hAnsi="Calibri"/>
          <w:sz w:val="22"/>
          <w:szCs w:val="22"/>
        </w:rPr>
        <w:t xml:space="preserve">jako </w:t>
      </w:r>
      <w:r w:rsidR="00521109">
        <w:rPr>
          <w:rFonts w:ascii="Calibri" w:eastAsia="Calibri" w:hAnsi="Calibri"/>
          <w:sz w:val="22"/>
          <w:szCs w:val="22"/>
        </w:rPr>
        <w:t>„</w:t>
      </w:r>
      <w:r w:rsidR="008115FF" w:rsidRPr="00C56410">
        <w:rPr>
          <w:rFonts w:ascii="Calibri" w:eastAsia="Calibri" w:hAnsi="Calibri"/>
          <w:sz w:val="22"/>
          <w:szCs w:val="22"/>
        </w:rPr>
        <w:t>SVVNJZ</w:t>
      </w:r>
      <w:r w:rsidR="00521109">
        <w:rPr>
          <w:rFonts w:ascii="Calibri" w:eastAsia="Calibri" w:hAnsi="Calibri"/>
          <w:sz w:val="22"/>
          <w:szCs w:val="22"/>
        </w:rPr>
        <w:t>“</w:t>
      </w:r>
      <w:r w:rsidR="008C7D4F" w:rsidRPr="00C56410">
        <w:rPr>
          <w:rFonts w:ascii="Calibri" w:eastAsia="Calibri" w:hAnsi="Calibri"/>
          <w:sz w:val="22"/>
          <w:szCs w:val="22"/>
        </w:rPr>
        <w:t xml:space="preserve"> nebo </w:t>
      </w:r>
      <w:r w:rsidR="00521109">
        <w:rPr>
          <w:rFonts w:ascii="Calibri" w:eastAsia="Calibri" w:hAnsi="Calibri"/>
          <w:sz w:val="22"/>
          <w:szCs w:val="22"/>
        </w:rPr>
        <w:t>„</w:t>
      </w:r>
      <w:r w:rsidR="008C7D4F" w:rsidRPr="00C56410">
        <w:rPr>
          <w:rFonts w:ascii="Calibri" w:eastAsia="Calibri" w:hAnsi="Calibri"/>
          <w:sz w:val="22"/>
          <w:szCs w:val="22"/>
        </w:rPr>
        <w:t>Výbor</w:t>
      </w:r>
      <w:r w:rsidR="00521109">
        <w:rPr>
          <w:rFonts w:ascii="Calibri" w:eastAsia="Calibri" w:hAnsi="Calibri"/>
          <w:sz w:val="22"/>
          <w:szCs w:val="22"/>
        </w:rPr>
        <w:t>“</w:t>
      </w:r>
      <w:r w:rsidR="0083462A" w:rsidRPr="00C56410">
        <w:rPr>
          <w:rFonts w:ascii="Calibri" w:eastAsia="Calibri" w:hAnsi="Calibri"/>
          <w:sz w:val="22"/>
          <w:szCs w:val="22"/>
        </w:rPr>
        <w:t xml:space="preserve">) </w:t>
      </w:r>
      <w:r w:rsidR="00521109">
        <w:rPr>
          <w:rFonts w:ascii="Calibri" w:eastAsia="Calibri" w:hAnsi="Calibri"/>
          <w:sz w:val="22"/>
          <w:szCs w:val="22"/>
        </w:rPr>
        <w:t xml:space="preserve">předkládá </w:t>
      </w:r>
      <w:r w:rsidR="008C7D4F" w:rsidRPr="00C56410">
        <w:rPr>
          <w:rFonts w:ascii="Calibri" w:eastAsia="Calibri" w:hAnsi="Calibri"/>
          <w:sz w:val="22"/>
          <w:szCs w:val="22"/>
        </w:rPr>
        <w:t xml:space="preserve">předseda Výboru nejpozději do konce února následujícího roku Výboru </w:t>
      </w:r>
      <w:r w:rsidR="00C453EA" w:rsidRPr="00C56410">
        <w:rPr>
          <w:rFonts w:ascii="Calibri" w:eastAsia="Calibri" w:hAnsi="Calibri"/>
          <w:sz w:val="22"/>
          <w:szCs w:val="22"/>
        </w:rPr>
        <w:t>dle čl. 3 odst. 6 Statutu Výboru ze dne 27. července 2022</w:t>
      </w:r>
      <w:r w:rsidR="00CF1EFE">
        <w:rPr>
          <w:rFonts w:ascii="Calibri" w:eastAsia="Calibri" w:hAnsi="Calibri"/>
          <w:sz w:val="22"/>
          <w:szCs w:val="22"/>
        </w:rPr>
        <w:t xml:space="preserve">. </w:t>
      </w:r>
      <w:r w:rsidR="00211A70" w:rsidRPr="00C56410">
        <w:rPr>
          <w:rFonts w:ascii="Calibri" w:eastAsia="Calibri" w:hAnsi="Calibri"/>
          <w:sz w:val="22"/>
          <w:szCs w:val="22"/>
        </w:rPr>
        <w:t xml:space="preserve">Výbor </w:t>
      </w:r>
      <w:r w:rsidR="005317FD">
        <w:rPr>
          <w:rFonts w:ascii="Calibri" w:eastAsia="Calibri" w:hAnsi="Calibri"/>
          <w:sz w:val="22"/>
          <w:szCs w:val="22"/>
        </w:rPr>
        <w:t>po</w:t>
      </w:r>
      <w:r w:rsidR="008C7D4F" w:rsidRPr="00C56410">
        <w:rPr>
          <w:rFonts w:ascii="Calibri" w:eastAsia="Calibri" w:hAnsi="Calibri"/>
          <w:sz w:val="22"/>
          <w:szCs w:val="22"/>
        </w:rPr>
        <w:t>dle č</w:t>
      </w:r>
      <w:r w:rsidR="005253E1" w:rsidRPr="00C56410">
        <w:rPr>
          <w:rFonts w:ascii="Calibri" w:eastAsia="Calibri" w:hAnsi="Calibri"/>
          <w:sz w:val="22"/>
          <w:szCs w:val="22"/>
        </w:rPr>
        <w:t xml:space="preserve">l. 5 odst. 4 </w:t>
      </w:r>
      <w:r w:rsidR="00521109">
        <w:rPr>
          <w:rFonts w:ascii="Calibri" w:eastAsia="Calibri" w:hAnsi="Calibri"/>
          <w:sz w:val="22"/>
          <w:szCs w:val="22"/>
        </w:rPr>
        <w:t xml:space="preserve">Statutu Výboru </w:t>
      </w:r>
      <w:r w:rsidR="005253E1" w:rsidRPr="00C56410">
        <w:rPr>
          <w:rFonts w:ascii="Calibri" w:eastAsia="Calibri" w:hAnsi="Calibri"/>
          <w:sz w:val="22"/>
          <w:szCs w:val="22"/>
        </w:rPr>
        <w:t>Zprávu schvaluje a</w:t>
      </w:r>
      <w:r w:rsidR="000A060F">
        <w:rPr>
          <w:rFonts w:ascii="Calibri" w:eastAsia="Calibri" w:hAnsi="Calibri"/>
          <w:sz w:val="22"/>
          <w:szCs w:val="22"/>
        </w:rPr>
        <w:t> </w:t>
      </w:r>
      <w:r w:rsidR="005253E1" w:rsidRPr="00C56410">
        <w:rPr>
          <w:rFonts w:ascii="Calibri" w:eastAsia="Calibri" w:hAnsi="Calibri"/>
          <w:sz w:val="22"/>
          <w:szCs w:val="22"/>
        </w:rPr>
        <w:t>předkládá ji vládě České republiky.</w:t>
      </w:r>
      <w:r w:rsidR="0086658B" w:rsidRPr="00C56410">
        <w:rPr>
          <w:rFonts w:ascii="Calibri" w:eastAsia="Calibri" w:hAnsi="Calibri"/>
          <w:sz w:val="22"/>
          <w:szCs w:val="22"/>
        </w:rPr>
        <w:t xml:space="preserve"> </w:t>
      </w:r>
    </w:p>
    <w:p w14:paraId="5C8D698E" w14:textId="3E47084A" w:rsidR="00D269DA" w:rsidRPr="00C56410" w:rsidRDefault="00B41AF8" w:rsidP="00473EA8">
      <w:pPr>
        <w:spacing w:before="160" w:line="293" w:lineRule="auto"/>
        <w:ind w:left="448"/>
        <w:jc w:val="both"/>
        <w:rPr>
          <w:rFonts w:asciiTheme="minorHAnsi" w:eastAsia="Calibri" w:hAnsiTheme="minorHAnsi"/>
          <w:sz w:val="22"/>
          <w:szCs w:val="22"/>
        </w:rPr>
      </w:pPr>
      <w:r w:rsidRPr="00C56410">
        <w:rPr>
          <w:rFonts w:asciiTheme="minorHAnsi" w:eastAsia="Calibri" w:hAnsiTheme="minorHAnsi"/>
          <w:sz w:val="22"/>
          <w:szCs w:val="22"/>
        </w:rPr>
        <w:t>Tato z</w:t>
      </w:r>
      <w:r w:rsidR="008E16E0" w:rsidRPr="00C56410">
        <w:rPr>
          <w:rFonts w:asciiTheme="minorHAnsi" w:eastAsia="Calibri" w:hAnsiTheme="minorHAnsi"/>
          <w:sz w:val="22"/>
          <w:szCs w:val="22"/>
        </w:rPr>
        <w:t xml:space="preserve">práva </w:t>
      </w:r>
      <w:r w:rsidR="000040EA" w:rsidRPr="00C56410">
        <w:rPr>
          <w:rFonts w:asciiTheme="minorHAnsi" w:eastAsia="Calibri" w:hAnsiTheme="minorHAnsi"/>
          <w:sz w:val="22"/>
          <w:szCs w:val="22"/>
        </w:rPr>
        <w:t>je</w:t>
      </w:r>
      <w:r w:rsidR="005116F6" w:rsidRPr="00C56410">
        <w:rPr>
          <w:rFonts w:asciiTheme="minorHAnsi" w:eastAsia="Calibri" w:hAnsiTheme="minorHAnsi"/>
          <w:sz w:val="22"/>
          <w:szCs w:val="22"/>
        </w:rPr>
        <w:t xml:space="preserve"> </w:t>
      </w:r>
      <w:r w:rsidR="00C86684" w:rsidRPr="00C56410">
        <w:rPr>
          <w:rFonts w:asciiTheme="minorHAnsi" w:eastAsia="Calibri" w:hAnsiTheme="minorHAnsi"/>
          <w:sz w:val="22"/>
          <w:szCs w:val="22"/>
        </w:rPr>
        <w:t xml:space="preserve">zpracována </w:t>
      </w:r>
      <w:r w:rsidR="00F709B2" w:rsidRPr="00C56410">
        <w:rPr>
          <w:rFonts w:asciiTheme="minorHAnsi" w:eastAsia="Calibri" w:hAnsiTheme="minorHAnsi"/>
          <w:sz w:val="22"/>
          <w:szCs w:val="22"/>
        </w:rPr>
        <w:t xml:space="preserve">na základě </w:t>
      </w:r>
      <w:r w:rsidR="0022013A" w:rsidRPr="00C56410">
        <w:rPr>
          <w:rFonts w:asciiTheme="minorHAnsi" w:eastAsia="Calibri" w:hAnsiTheme="minorHAnsi"/>
          <w:sz w:val="22"/>
          <w:szCs w:val="22"/>
        </w:rPr>
        <w:t xml:space="preserve">výstupů </w:t>
      </w:r>
      <w:r w:rsidR="00C73781" w:rsidRPr="00C56410">
        <w:rPr>
          <w:rFonts w:asciiTheme="minorHAnsi" w:eastAsia="Calibri" w:hAnsiTheme="minorHAnsi"/>
          <w:sz w:val="22"/>
          <w:szCs w:val="22"/>
        </w:rPr>
        <w:t>z</w:t>
      </w:r>
      <w:r w:rsidR="000A060F">
        <w:rPr>
          <w:rFonts w:asciiTheme="minorHAnsi" w:eastAsia="Calibri" w:hAnsiTheme="minorHAnsi"/>
          <w:sz w:val="22"/>
          <w:szCs w:val="22"/>
        </w:rPr>
        <w:t> </w:t>
      </w:r>
      <w:r w:rsidR="00C73781" w:rsidRPr="00C56410">
        <w:rPr>
          <w:rFonts w:asciiTheme="minorHAnsi" w:eastAsia="Calibri" w:hAnsiTheme="minorHAnsi"/>
          <w:sz w:val="22"/>
          <w:szCs w:val="22"/>
        </w:rPr>
        <w:t>jednání SVVNJZ</w:t>
      </w:r>
      <w:r w:rsidR="00BC7D4C" w:rsidRPr="00C56410">
        <w:rPr>
          <w:rFonts w:asciiTheme="minorHAnsi" w:eastAsia="Calibri" w:hAnsiTheme="minorHAnsi"/>
          <w:sz w:val="22"/>
          <w:szCs w:val="22"/>
        </w:rPr>
        <w:t>,</w:t>
      </w:r>
      <w:r w:rsidR="00C73781" w:rsidRPr="00C56410">
        <w:rPr>
          <w:rFonts w:asciiTheme="minorHAnsi" w:eastAsia="Calibri" w:hAnsiTheme="minorHAnsi"/>
          <w:sz w:val="22"/>
          <w:szCs w:val="22"/>
        </w:rPr>
        <w:t xml:space="preserve"> </w:t>
      </w:r>
      <w:r w:rsidR="0022013A" w:rsidRPr="00C56410">
        <w:rPr>
          <w:rFonts w:asciiTheme="minorHAnsi" w:eastAsia="Calibri" w:hAnsiTheme="minorHAnsi"/>
          <w:sz w:val="22"/>
          <w:szCs w:val="22"/>
        </w:rPr>
        <w:t>z</w:t>
      </w:r>
      <w:r w:rsidR="000A060F">
        <w:rPr>
          <w:rFonts w:asciiTheme="minorHAnsi" w:eastAsia="Calibri" w:hAnsiTheme="minorHAnsi"/>
          <w:sz w:val="22"/>
          <w:szCs w:val="22"/>
        </w:rPr>
        <w:t> </w:t>
      </w:r>
      <w:r w:rsidR="00D61070" w:rsidRPr="00C56410">
        <w:rPr>
          <w:rFonts w:asciiTheme="minorHAnsi" w:eastAsia="Calibri" w:hAnsiTheme="minorHAnsi"/>
          <w:sz w:val="22"/>
          <w:szCs w:val="22"/>
        </w:rPr>
        <w:t xml:space="preserve">výstupů </w:t>
      </w:r>
      <w:r w:rsidR="0022013A" w:rsidRPr="00C56410">
        <w:rPr>
          <w:rFonts w:asciiTheme="minorHAnsi" w:eastAsia="Calibri" w:hAnsiTheme="minorHAnsi"/>
          <w:sz w:val="22"/>
          <w:szCs w:val="22"/>
        </w:rPr>
        <w:t>činnosti pracovní</w:t>
      </w:r>
      <w:r w:rsidR="00EB518A" w:rsidRPr="00C56410">
        <w:rPr>
          <w:rFonts w:asciiTheme="minorHAnsi" w:eastAsia="Calibri" w:hAnsiTheme="minorHAnsi"/>
          <w:sz w:val="22"/>
          <w:szCs w:val="22"/>
        </w:rPr>
        <w:t>ch</w:t>
      </w:r>
      <w:r w:rsidR="0022013A" w:rsidRPr="00C56410">
        <w:rPr>
          <w:rFonts w:asciiTheme="minorHAnsi" w:eastAsia="Calibri" w:hAnsiTheme="minorHAnsi"/>
          <w:sz w:val="22"/>
          <w:szCs w:val="22"/>
        </w:rPr>
        <w:t xml:space="preserve"> skupin</w:t>
      </w:r>
      <w:r w:rsidR="000F3F0B" w:rsidRPr="00C56410">
        <w:rPr>
          <w:rFonts w:asciiTheme="minorHAnsi" w:eastAsia="Calibri" w:hAnsiTheme="minorHAnsi"/>
          <w:sz w:val="22"/>
          <w:szCs w:val="22"/>
        </w:rPr>
        <w:t xml:space="preserve"> </w:t>
      </w:r>
      <w:r w:rsidR="0022013A" w:rsidRPr="00C56410">
        <w:rPr>
          <w:rFonts w:asciiTheme="minorHAnsi" w:eastAsia="Calibri" w:hAnsiTheme="minorHAnsi"/>
          <w:sz w:val="22"/>
          <w:szCs w:val="22"/>
        </w:rPr>
        <w:t>SVVNJZ</w:t>
      </w:r>
      <w:r w:rsidR="00D61070" w:rsidRPr="00C56410">
        <w:rPr>
          <w:rFonts w:asciiTheme="minorHAnsi" w:eastAsia="Calibri" w:hAnsiTheme="minorHAnsi"/>
          <w:sz w:val="22"/>
          <w:szCs w:val="22"/>
        </w:rPr>
        <w:t xml:space="preserve"> </w:t>
      </w:r>
      <w:r w:rsidR="00A93529" w:rsidRPr="00C56410">
        <w:rPr>
          <w:rFonts w:asciiTheme="minorHAnsi" w:eastAsia="Calibri" w:hAnsiTheme="minorHAnsi"/>
          <w:sz w:val="22"/>
          <w:szCs w:val="22"/>
        </w:rPr>
        <w:t>a</w:t>
      </w:r>
      <w:r w:rsidR="000A060F">
        <w:rPr>
          <w:rFonts w:asciiTheme="minorHAnsi" w:eastAsia="Calibri" w:hAnsiTheme="minorHAnsi"/>
          <w:sz w:val="22"/>
          <w:szCs w:val="22"/>
        </w:rPr>
        <w:t> </w:t>
      </w:r>
      <w:r w:rsidR="00A93529" w:rsidRPr="00C56410">
        <w:rPr>
          <w:rFonts w:asciiTheme="minorHAnsi" w:eastAsia="Calibri" w:hAnsiTheme="minorHAnsi"/>
          <w:sz w:val="22"/>
          <w:szCs w:val="22"/>
        </w:rPr>
        <w:t xml:space="preserve">informací získaných od </w:t>
      </w:r>
      <w:r w:rsidR="000F3F0B" w:rsidRPr="00C56410">
        <w:rPr>
          <w:rFonts w:asciiTheme="minorHAnsi" w:eastAsia="Calibri" w:hAnsiTheme="minorHAnsi"/>
          <w:sz w:val="22"/>
          <w:szCs w:val="22"/>
        </w:rPr>
        <w:t>Ministerstva průmyslu a</w:t>
      </w:r>
      <w:r w:rsidR="000A060F">
        <w:rPr>
          <w:rFonts w:asciiTheme="minorHAnsi" w:eastAsia="Calibri" w:hAnsiTheme="minorHAnsi"/>
          <w:sz w:val="22"/>
          <w:szCs w:val="22"/>
        </w:rPr>
        <w:t> </w:t>
      </w:r>
      <w:r w:rsidR="000F3F0B" w:rsidRPr="00C56410">
        <w:rPr>
          <w:rFonts w:asciiTheme="minorHAnsi" w:eastAsia="Calibri" w:hAnsiTheme="minorHAnsi"/>
          <w:sz w:val="22"/>
          <w:szCs w:val="22"/>
        </w:rPr>
        <w:t>obchodu (</w:t>
      </w:r>
      <w:r w:rsidR="00521109">
        <w:rPr>
          <w:rFonts w:asciiTheme="minorHAnsi" w:eastAsia="Calibri" w:hAnsiTheme="minorHAnsi"/>
          <w:sz w:val="22"/>
          <w:szCs w:val="22"/>
        </w:rPr>
        <w:t>dále jen „</w:t>
      </w:r>
      <w:r w:rsidR="000F3F0B" w:rsidRPr="00C56410">
        <w:rPr>
          <w:rFonts w:asciiTheme="minorHAnsi" w:eastAsia="Calibri" w:hAnsiTheme="minorHAnsi"/>
          <w:sz w:val="22"/>
          <w:szCs w:val="22"/>
        </w:rPr>
        <w:t>MPO</w:t>
      </w:r>
      <w:r w:rsidR="00521109">
        <w:rPr>
          <w:rFonts w:asciiTheme="minorHAnsi" w:eastAsia="Calibri" w:hAnsiTheme="minorHAnsi"/>
          <w:sz w:val="22"/>
          <w:szCs w:val="22"/>
        </w:rPr>
        <w:t>“</w:t>
      </w:r>
      <w:r w:rsidR="000F3F0B" w:rsidRPr="00C56410">
        <w:rPr>
          <w:rFonts w:asciiTheme="minorHAnsi" w:eastAsia="Calibri" w:hAnsiTheme="minorHAnsi"/>
          <w:sz w:val="22"/>
          <w:szCs w:val="22"/>
        </w:rPr>
        <w:t xml:space="preserve">), </w:t>
      </w:r>
      <w:r w:rsidR="007C78EE" w:rsidRPr="00C56410">
        <w:rPr>
          <w:rFonts w:asciiTheme="minorHAnsi" w:eastAsia="Calibri" w:hAnsiTheme="minorHAnsi"/>
          <w:sz w:val="22"/>
          <w:szCs w:val="22"/>
        </w:rPr>
        <w:t>Ministerstva dopravy (</w:t>
      </w:r>
      <w:r w:rsidR="00521109">
        <w:rPr>
          <w:rFonts w:asciiTheme="minorHAnsi" w:eastAsia="Calibri" w:hAnsiTheme="minorHAnsi"/>
          <w:sz w:val="22"/>
          <w:szCs w:val="22"/>
        </w:rPr>
        <w:t>dále je „</w:t>
      </w:r>
      <w:r w:rsidR="007C78EE" w:rsidRPr="00C56410">
        <w:rPr>
          <w:rFonts w:asciiTheme="minorHAnsi" w:eastAsia="Calibri" w:hAnsiTheme="minorHAnsi"/>
          <w:sz w:val="22"/>
          <w:szCs w:val="22"/>
        </w:rPr>
        <w:t>MD</w:t>
      </w:r>
      <w:r w:rsidR="00521109">
        <w:rPr>
          <w:rFonts w:asciiTheme="minorHAnsi" w:eastAsia="Calibri" w:hAnsiTheme="minorHAnsi"/>
          <w:sz w:val="22"/>
          <w:szCs w:val="22"/>
        </w:rPr>
        <w:t>“</w:t>
      </w:r>
      <w:r w:rsidR="007C78EE" w:rsidRPr="00C56410">
        <w:rPr>
          <w:rFonts w:asciiTheme="minorHAnsi" w:eastAsia="Calibri" w:hAnsiTheme="minorHAnsi"/>
          <w:sz w:val="22"/>
          <w:szCs w:val="22"/>
        </w:rPr>
        <w:t xml:space="preserve">), Ministerstva pro místní rozvoj (dále jen </w:t>
      </w:r>
      <w:r w:rsidR="00521109">
        <w:rPr>
          <w:rFonts w:asciiTheme="minorHAnsi" w:eastAsia="Calibri" w:hAnsiTheme="minorHAnsi"/>
          <w:sz w:val="22"/>
          <w:szCs w:val="22"/>
        </w:rPr>
        <w:t>„</w:t>
      </w:r>
      <w:r w:rsidR="007C78EE" w:rsidRPr="00C56410">
        <w:rPr>
          <w:rFonts w:asciiTheme="minorHAnsi" w:eastAsia="Calibri" w:hAnsiTheme="minorHAnsi"/>
          <w:sz w:val="22"/>
          <w:szCs w:val="22"/>
        </w:rPr>
        <w:t>MMR</w:t>
      </w:r>
      <w:r w:rsidR="00521109">
        <w:rPr>
          <w:rFonts w:asciiTheme="minorHAnsi" w:eastAsia="Calibri" w:hAnsiTheme="minorHAnsi"/>
          <w:sz w:val="22"/>
          <w:szCs w:val="22"/>
        </w:rPr>
        <w:t>“</w:t>
      </w:r>
      <w:r w:rsidR="007C78EE" w:rsidRPr="00C56410">
        <w:rPr>
          <w:rFonts w:asciiTheme="minorHAnsi" w:eastAsia="Calibri" w:hAnsiTheme="minorHAnsi"/>
          <w:sz w:val="22"/>
          <w:szCs w:val="22"/>
        </w:rPr>
        <w:t xml:space="preserve">), </w:t>
      </w:r>
      <w:r w:rsidR="000D7B9B" w:rsidRPr="00C56410">
        <w:rPr>
          <w:rFonts w:asciiTheme="minorHAnsi" w:eastAsia="Calibri" w:hAnsiTheme="minorHAnsi"/>
          <w:sz w:val="22"/>
          <w:szCs w:val="22"/>
        </w:rPr>
        <w:t xml:space="preserve">Ministerstva vnitra </w:t>
      </w:r>
      <w:r w:rsidR="005C69E1" w:rsidRPr="00C56410">
        <w:rPr>
          <w:rFonts w:asciiTheme="minorHAnsi" w:eastAsia="Calibri" w:hAnsiTheme="minorHAnsi"/>
          <w:sz w:val="22"/>
          <w:szCs w:val="22"/>
        </w:rPr>
        <w:t>(</w:t>
      </w:r>
      <w:r w:rsidR="000D7B9B" w:rsidRPr="00C56410">
        <w:rPr>
          <w:rFonts w:asciiTheme="minorHAnsi" w:eastAsia="Calibri" w:hAnsiTheme="minorHAnsi"/>
          <w:sz w:val="22"/>
          <w:szCs w:val="22"/>
        </w:rPr>
        <w:t xml:space="preserve">dále jen </w:t>
      </w:r>
      <w:r w:rsidR="00521109">
        <w:rPr>
          <w:rFonts w:asciiTheme="minorHAnsi" w:eastAsia="Calibri" w:hAnsiTheme="minorHAnsi"/>
          <w:sz w:val="22"/>
          <w:szCs w:val="22"/>
        </w:rPr>
        <w:t>„</w:t>
      </w:r>
      <w:r w:rsidR="000D7B9B" w:rsidRPr="00C56410">
        <w:rPr>
          <w:rFonts w:asciiTheme="minorHAnsi" w:eastAsia="Calibri" w:hAnsiTheme="minorHAnsi"/>
          <w:sz w:val="22"/>
          <w:szCs w:val="22"/>
        </w:rPr>
        <w:t>MV</w:t>
      </w:r>
      <w:r w:rsidR="00521109">
        <w:rPr>
          <w:rFonts w:asciiTheme="minorHAnsi" w:eastAsia="Calibri" w:hAnsiTheme="minorHAnsi"/>
          <w:sz w:val="22"/>
          <w:szCs w:val="22"/>
        </w:rPr>
        <w:t>“</w:t>
      </w:r>
      <w:r w:rsidR="000D7B9B" w:rsidRPr="00C56410">
        <w:rPr>
          <w:rFonts w:asciiTheme="minorHAnsi" w:eastAsia="Calibri" w:hAnsiTheme="minorHAnsi"/>
          <w:sz w:val="22"/>
          <w:szCs w:val="22"/>
        </w:rPr>
        <w:t xml:space="preserve">), </w:t>
      </w:r>
      <w:r w:rsidR="00907AB8" w:rsidRPr="00C56410">
        <w:rPr>
          <w:rFonts w:asciiTheme="minorHAnsi" w:eastAsia="Calibri" w:hAnsiTheme="minorHAnsi"/>
          <w:sz w:val="22"/>
          <w:szCs w:val="22"/>
        </w:rPr>
        <w:t>Ministerstva financí (</w:t>
      </w:r>
      <w:r w:rsidR="00521109">
        <w:rPr>
          <w:rFonts w:asciiTheme="minorHAnsi" w:eastAsia="Calibri" w:hAnsiTheme="minorHAnsi"/>
          <w:sz w:val="22"/>
          <w:szCs w:val="22"/>
        </w:rPr>
        <w:t>dále jen „</w:t>
      </w:r>
      <w:r w:rsidR="00907AB8" w:rsidRPr="00C56410">
        <w:rPr>
          <w:rFonts w:asciiTheme="minorHAnsi" w:eastAsia="Calibri" w:hAnsiTheme="minorHAnsi"/>
          <w:sz w:val="22"/>
          <w:szCs w:val="22"/>
        </w:rPr>
        <w:t>MF</w:t>
      </w:r>
      <w:r w:rsidR="00521109">
        <w:rPr>
          <w:rFonts w:asciiTheme="minorHAnsi" w:eastAsia="Calibri" w:hAnsiTheme="minorHAnsi"/>
          <w:sz w:val="22"/>
          <w:szCs w:val="22"/>
        </w:rPr>
        <w:t>“</w:t>
      </w:r>
      <w:r w:rsidR="00907AB8" w:rsidRPr="00C56410">
        <w:rPr>
          <w:rFonts w:asciiTheme="minorHAnsi" w:eastAsia="Calibri" w:hAnsiTheme="minorHAnsi"/>
          <w:sz w:val="22"/>
          <w:szCs w:val="22"/>
        </w:rPr>
        <w:t>)</w:t>
      </w:r>
      <w:r w:rsidR="002F5470" w:rsidRPr="00C56410">
        <w:rPr>
          <w:rFonts w:asciiTheme="minorHAnsi" w:eastAsia="Calibri" w:hAnsiTheme="minorHAnsi"/>
          <w:sz w:val="22"/>
          <w:szCs w:val="22"/>
        </w:rPr>
        <w:t xml:space="preserve">, </w:t>
      </w:r>
      <w:r w:rsidR="00256791" w:rsidRPr="00C56410">
        <w:rPr>
          <w:rFonts w:asciiTheme="minorHAnsi" w:eastAsia="Calibri" w:hAnsiTheme="minorHAnsi"/>
          <w:sz w:val="22"/>
          <w:szCs w:val="22"/>
        </w:rPr>
        <w:t xml:space="preserve">Ministerstva životního prostředí (dále jen </w:t>
      </w:r>
      <w:r w:rsidR="00521109">
        <w:rPr>
          <w:rFonts w:asciiTheme="minorHAnsi" w:eastAsia="Calibri" w:hAnsiTheme="minorHAnsi"/>
          <w:sz w:val="22"/>
          <w:szCs w:val="22"/>
        </w:rPr>
        <w:t>„</w:t>
      </w:r>
      <w:r w:rsidR="00256791" w:rsidRPr="00C56410">
        <w:rPr>
          <w:rFonts w:asciiTheme="minorHAnsi" w:eastAsia="Calibri" w:hAnsiTheme="minorHAnsi"/>
          <w:sz w:val="22"/>
          <w:szCs w:val="22"/>
        </w:rPr>
        <w:t>MŽP</w:t>
      </w:r>
      <w:r w:rsidR="00521109">
        <w:rPr>
          <w:rFonts w:asciiTheme="minorHAnsi" w:eastAsia="Calibri" w:hAnsiTheme="minorHAnsi"/>
          <w:sz w:val="22"/>
          <w:szCs w:val="22"/>
        </w:rPr>
        <w:t>“</w:t>
      </w:r>
      <w:r w:rsidR="00256791" w:rsidRPr="00C56410">
        <w:rPr>
          <w:rFonts w:asciiTheme="minorHAnsi" w:eastAsia="Calibri" w:hAnsiTheme="minorHAnsi"/>
          <w:sz w:val="22"/>
          <w:szCs w:val="22"/>
        </w:rPr>
        <w:t xml:space="preserve">), </w:t>
      </w:r>
      <w:r w:rsidR="00197B8E" w:rsidRPr="00C56410">
        <w:rPr>
          <w:rFonts w:asciiTheme="minorHAnsi" w:eastAsia="Calibri" w:hAnsiTheme="minorHAnsi"/>
          <w:sz w:val="22"/>
          <w:szCs w:val="22"/>
        </w:rPr>
        <w:t>Ministerstva školství a</w:t>
      </w:r>
      <w:r w:rsidR="000A060F">
        <w:rPr>
          <w:rFonts w:asciiTheme="minorHAnsi" w:eastAsia="Calibri" w:hAnsiTheme="minorHAnsi"/>
          <w:sz w:val="22"/>
          <w:szCs w:val="22"/>
        </w:rPr>
        <w:t> </w:t>
      </w:r>
      <w:r w:rsidR="00197B8E" w:rsidRPr="00C56410">
        <w:rPr>
          <w:rFonts w:asciiTheme="minorHAnsi" w:eastAsia="Calibri" w:hAnsiTheme="minorHAnsi"/>
          <w:sz w:val="22"/>
          <w:szCs w:val="22"/>
        </w:rPr>
        <w:t>tělovýchovy (</w:t>
      </w:r>
      <w:r w:rsidR="00521109">
        <w:rPr>
          <w:rFonts w:asciiTheme="minorHAnsi" w:eastAsia="Calibri" w:hAnsiTheme="minorHAnsi"/>
          <w:sz w:val="22"/>
          <w:szCs w:val="22"/>
        </w:rPr>
        <w:t>dále jen „</w:t>
      </w:r>
      <w:r w:rsidR="00197B8E" w:rsidRPr="00C56410">
        <w:rPr>
          <w:rFonts w:asciiTheme="minorHAnsi" w:eastAsia="Calibri" w:hAnsiTheme="minorHAnsi"/>
          <w:sz w:val="22"/>
          <w:szCs w:val="22"/>
        </w:rPr>
        <w:t>MŠMT</w:t>
      </w:r>
      <w:r w:rsidR="00521109">
        <w:rPr>
          <w:rFonts w:asciiTheme="minorHAnsi" w:eastAsia="Calibri" w:hAnsiTheme="minorHAnsi"/>
          <w:sz w:val="22"/>
          <w:szCs w:val="22"/>
        </w:rPr>
        <w:t>“</w:t>
      </w:r>
      <w:r w:rsidR="00197B8E" w:rsidRPr="00C56410">
        <w:rPr>
          <w:rFonts w:asciiTheme="minorHAnsi" w:eastAsia="Calibri" w:hAnsiTheme="minorHAnsi"/>
          <w:sz w:val="22"/>
          <w:szCs w:val="22"/>
        </w:rPr>
        <w:t xml:space="preserve">), </w:t>
      </w:r>
      <w:r w:rsidR="00A93529" w:rsidRPr="00C56410">
        <w:rPr>
          <w:rFonts w:asciiTheme="minorHAnsi" w:eastAsia="Calibri" w:hAnsiTheme="minorHAnsi"/>
          <w:sz w:val="22"/>
          <w:szCs w:val="22"/>
        </w:rPr>
        <w:t>S</w:t>
      </w:r>
      <w:r w:rsidR="005116F6" w:rsidRPr="00C56410">
        <w:rPr>
          <w:rFonts w:asciiTheme="minorHAnsi" w:eastAsia="Calibri" w:hAnsiTheme="minorHAnsi"/>
          <w:sz w:val="22"/>
          <w:szCs w:val="22"/>
        </w:rPr>
        <w:t>kupiny ČEZ</w:t>
      </w:r>
      <w:r w:rsidR="00D61070" w:rsidRPr="00C56410">
        <w:rPr>
          <w:rFonts w:asciiTheme="minorHAnsi" w:eastAsia="Calibri" w:hAnsiTheme="minorHAnsi"/>
          <w:sz w:val="22"/>
          <w:szCs w:val="22"/>
        </w:rPr>
        <w:t xml:space="preserve"> a</w:t>
      </w:r>
      <w:r w:rsidR="000A060F">
        <w:rPr>
          <w:rFonts w:asciiTheme="minorHAnsi" w:eastAsia="Calibri" w:hAnsiTheme="minorHAnsi"/>
          <w:sz w:val="22"/>
          <w:szCs w:val="22"/>
        </w:rPr>
        <w:t> </w:t>
      </w:r>
      <w:r w:rsidR="007C78EE" w:rsidRPr="00C56410">
        <w:rPr>
          <w:rFonts w:asciiTheme="minorHAnsi" w:eastAsia="Calibri" w:hAnsiTheme="minorHAnsi"/>
          <w:sz w:val="22"/>
          <w:szCs w:val="22"/>
        </w:rPr>
        <w:t>ČEPS</w:t>
      </w:r>
      <w:r w:rsidR="003A6009" w:rsidRPr="00B24AEE">
        <w:rPr>
          <w:rFonts w:asciiTheme="minorHAnsi" w:eastAsia="Calibri" w:hAnsiTheme="minorHAnsi"/>
          <w:sz w:val="22"/>
          <w:szCs w:val="22"/>
        </w:rPr>
        <w:t>, a.</w:t>
      </w:r>
      <w:r w:rsidR="002B0E6E">
        <w:rPr>
          <w:rFonts w:asciiTheme="minorHAnsi" w:eastAsia="Calibri" w:hAnsiTheme="minorHAnsi"/>
          <w:sz w:val="22"/>
          <w:szCs w:val="22"/>
        </w:rPr>
        <w:t xml:space="preserve"> </w:t>
      </w:r>
      <w:r w:rsidR="003A6009" w:rsidRPr="00B24AEE">
        <w:rPr>
          <w:rFonts w:asciiTheme="minorHAnsi" w:eastAsia="Calibri" w:hAnsiTheme="minorHAnsi"/>
          <w:sz w:val="22"/>
          <w:szCs w:val="22"/>
        </w:rPr>
        <w:t>s</w:t>
      </w:r>
      <w:r w:rsidR="00F853C6" w:rsidRPr="00C56410">
        <w:rPr>
          <w:rFonts w:asciiTheme="minorHAnsi" w:eastAsia="Calibri" w:hAnsiTheme="minorHAnsi"/>
          <w:sz w:val="22"/>
          <w:szCs w:val="22"/>
        </w:rPr>
        <w:t>.</w:t>
      </w:r>
      <w:r w:rsidRPr="00C56410">
        <w:rPr>
          <w:rFonts w:asciiTheme="minorHAnsi" w:eastAsia="Calibri" w:hAnsiTheme="minorHAnsi"/>
          <w:sz w:val="22"/>
          <w:szCs w:val="22"/>
        </w:rPr>
        <w:t xml:space="preserve"> </w:t>
      </w:r>
    </w:p>
    <w:p w14:paraId="736EFAF4" w14:textId="77777777" w:rsidR="00473EA8" w:rsidRDefault="00473EA8" w:rsidP="00473EA8">
      <w:pPr>
        <w:keepNext/>
        <w:keepLines/>
        <w:spacing w:before="160" w:line="293" w:lineRule="auto"/>
        <w:ind w:left="360"/>
        <w:jc w:val="both"/>
        <w:outlineLvl w:val="0"/>
        <w:rPr>
          <w:rFonts w:ascii="Cambria" w:hAnsi="Cambria"/>
          <w:color w:val="365F91"/>
          <w:sz w:val="32"/>
          <w:szCs w:val="32"/>
        </w:rPr>
      </w:pPr>
    </w:p>
    <w:p w14:paraId="0686890A" w14:textId="11C9F1ED" w:rsidR="00CD6CFA" w:rsidRPr="00C56410" w:rsidRDefault="005249C9" w:rsidP="00473EA8">
      <w:pPr>
        <w:keepNext/>
        <w:keepLines/>
        <w:numPr>
          <w:ilvl w:val="0"/>
          <w:numId w:val="4"/>
        </w:numPr>
        <w:spacing w:before="160" w:line="293" w:lineRule="auto"/>
        <w:jc w:val="both"/>
        <w:outlineLvl w:val="0"/>
        <w:rPr>
          <w:rFonts w:ascii="Cambria" w:hAnsi="Cambria"/>
          <w:color w:val="365F91"/>
          <w:sz w:val="32"/>
          <w:szCs w:val="32"/>
        </w:rPr>
      </w:pPr>
      <w:r w:rsidRPr="00C56410">
        <w:rPr>
          <w:rFonts w:ascii="Cambria" w:hAnsi="Cambria"/>
          <w:color w:val="365F91"/>
          <w:sz w:val="32"/>
          <w:szCs w:val="32"/>
        </w:rPr>
        <w:t>NEJDŮLEŽITĚJŠÍ KROKY</w:t>
      </w:r>
      <w:r w:rsidR="00CD6CFA" w:rsidRPr="00C56410">
        <w:rPr>
          <w:rFonts w:ascii="Cambria" w:hAnsi="Cambria"/>
          <w:color w:val="365F91"/>
          <w:sz w:val="32"/>
          <w:szCs w:val="32"/>
        </w:rPr>
        <w:t xml:space="preserve"> PŘÍPRAV</w:t>
      </w:r>
      <w:r w:rsidRPr="00C56410">
        <w:rPr>
          <w:rFonts w:ascii="Cambria" w:hAnsi="Cambria"/>
          <w:color w:val="365F91"/>
          <w:sz w:val="32"/>
          <w:szCs w:val="32"/>
        </w:rPr>
        <w:t>Y</w:t>
      </w:r>
      <w:r w:rsidR="00CD6CFA" w:rsidRPr="00C56410">
        <w:rPr>
          <w:rFonts w:ascii="Cambria" w:hAnsi="Cambria"/>
          <w:color w:val="365F91"/>
          <w:sz w:val="32"/>
          <w:szCs w:val="32"/>
        </w:rPr>
        <w:t xml:space="preserve"> PROJEKTU NOVÝCH JADERNÝCH ZDROJŮ</w:t>
      </w:r>
      <w:r w:rsidR="000B18B7" w:rsidRPr="00C56410">
        <w:rPr>
          <w:rFonts w:ascii="Cambria" w:hAnsi="Cambria"/>
          <w:color w:val="365F91"/>
          <w:sz w:val="32"/>
          <w:szCs w:val="32"/>
        </w:rPr>
        <w:t xml:space="preserve"> V</w:t>
      </w:r>
      <w:r w:rsidR="000A060F">
        <w:rPr>
          <w:rFonts w:ascii="Cambria" w:hAnsi="Cambria"/>
          <w:color w:val="365F91"/>
          <w:sz w:val="32"/>
          <w:szCs w:val="32"/>
        </w:rPr>
        <w:t> </w:t>
      </w:r>
      <w:r w:rsidR="000B18B7" w:rsidRPr="00C56410">
        <w:rPr>
          <w:rFonts w:ascii="Cambria" w:hAnsi="Cambria"/>
          <w:color w:val="365F91"/>
          <w:sz w:val="32"/>
          <w:szCs w:val="32"/>
        </w:rPr>
        <w:t>ROCE 202</w:t>
      </w:r>
      <w:r w:rsidR="001E4E6A" w:rsidRPr="00C56410">
        <w:rPr>
          <w:rFonts w:ascii="Cambria" w:hAnsi="Cambria"/>
          <w:color w:val="365F91"/>
          <w:sz w:val="32"/>
          <w:szCs w:val="32"/>
        </w:rPr>
        <w:t>2</w:t>
      </w:r>
    </w:p>
    <w:p w14:paraId="751D1DFE" w14:textId="2653B886" w:rsidR="001E4E6A" w:rsidRDefault="001E4E6A" w:rsidP="00473EA8">
      <w:pPr>
        <w:pStyle w:val="Odstavecseseznamem"/>
        <w:numPr>
          <w:ilvl w:val="0"/>
          <w:numId w:val="26"/>
        </w:numPr>
        <w:spacing w:before="160" w:line="293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56410">
        <w:rPr>
          <w:rFonts w:asciiTheme="minorHAnsi" w:hAnsiTheme="minorHAnsi"/>
          <w:sz w:val="22"/>
          <w:szCs w:val="22"/>
        </w:rPr>
        <w:t xml:space="preserve">Dne 1. ledna 2022 nabyl účinnosti </w:t>
      </w:r>
      <w:r w:rsidR="005317FD">
        <w:rPr>
          <w:rFonts w:asciiTheme="minorHAnsi" w:hAnsiTheme="minorHAnsi"/>
          <w:sz w:val="22"/>
          <w:szCs w:val="22"/>
        </w:rPr>
        <w:t xml:space="preserve">tzv. </w:t>
      </w:r>
      <w:r w:rsidRPr="00C56410">
        <w:rPr>
          <w:rFonts w:asciiTheme="minorHAnsi" w:hAnsiTheme="minorHAnsi"/>
          <w:sz w:val="22"/>
          <w:szCs w:val="22"/>
        </w:rPr>
        <w:t>nízkouhlíkový zákon (z</w:t>
      </w:r>
      <w:r w:rsidR="003E5E04">
        <w:rPr>
          <w:rFonts w:asciiTheme="minorHAnsi" w:hAnsiTheme="minorHAnsi"/>
          <w:sz w:val="22"/>
          <w:szCs w:val="22"/>
        </w:rPr>
        <w:t>ákon</w:t>
      </w:r>
      <w:r w:rsidRPr="00C56410">
        <w:rPr>
          <w:rFonts w:asciiTheme="minorHAnsi" w:hAnsiTheme="minorHAnsi"/>
          <w:sz w:val="22"/>
          <w:szCs w:val="22"/>
        </w:rPr>
        <w:t xml:space="preserve"> č. 367/2021 Sb.</w:t>
      </w:r>
      <w:r w:rsidR="003E5E04">
        <w:rPr>
          <w:rFonts w:asciiTheme="minorHAnsi" w:hAnsiTheme="minorHAnsi"/>
          <w:sz w:val="22"/>
          <w:szCs w:val="22"/>
        </w:rPr>
        <w:t>,</w:t>
      </w:r>
      <w:r w:rsidRPr="00C56410">
        <w:rPr>
          <w:rFonts w:asciiTheme="minorHAnsi" w:hAnsiTheme="minorHAnsi"/>
          <w:sz w:val="22"/>
          <w:szCs w:val="22"/>
        </w:rPr>
        <w:t xml:space="preserve"> o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opatřeních k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přechodu České republiky k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nízkouhlíkové energetice a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o změně zákona č.</w:t>
      </w:r>
      <w:r w:rsidR="0069502E" w:rsidRPr="0069502E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  <w:r w:rsidR="0069502E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sz w:val="22"/>
          <w:szCs w:val="22"/>
        </w:rPr>
        <w:t>165/2012 Sb., o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podporovaných zdrojích energie, ve znění pozdějších předpisů). Jde o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významný posun v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oblasti legislativy, který poskytuje právní základ pro podporu výstavby nových jaderných zdrojů (</w:t>
      </w:r>
      <w:r w:rsidR="003E5E04">
        <w:rPr>
          <w:rFonts w:asciiTheme="minorHAnsi" w:hAnsiTheme="minorHAnsi"/>
          <w:sz w:val="22"/>
          <w:szCs w:val="22"/>
        </w:rPr>
        <w:t xml:space="preserve">dále jen </w:t>
      </w:r>
      <w:r w:rsidR="005317FD">
        <w:rPr>
          <w:rFonts w:asciiTheme="minorHAnsi" w:hAnsiTheme="minorHAnsi"/>
          <w:sz w:val="22"/>
          <w:szCs w:val="22"/>
        </w:rPr>
        <w:t>„</w:t>
      </w:r>
      <w:r w:rsidRPr="00C56410">
        <w:rPr>
          <w:rFonts w:asciiTheme="minorHAnsi" w:hAnsiTheme="minorHAnsi"/>
          <w:sz w:val="22"/>
          <w:szCs w:val="22"/>
        </w:rPr>
        <w:t>NJZ</w:t>
      </w:r>
      <w:r w:rsidR="005317FD">
        <w:rPr>
          <w:rFonts w:asciiTheme="minorHAnsi" w:hAnsiTheme="minorHAnsi"/>
          <w:sz w:val="22"/>
          <w:szCs w:val="22"/>
        </w:rPr>
        <w:t>“</w:t>
      </w:r>
      <w:r w:rsidRPr="00C56410">
        <w:rPr>
          <w:rFonts w:asciiTheme="minorHAnsi" w:hAnsiTheme="minorHAnsi"/>
          <w:sz w:val="22"/>
          <w:szCs w:val="22"/>
        </w:rPr>
        <w:t>) v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ČR.</w:t>
      </w:r>
    </w:p>
    <w:p w14:paraId="21C96C19" w14:textId="180CFF17" w:rsidR="00C45301" w:rsidRPr="00C56410" w:rsidRDefault="00C45301" w:rsidP="00473EA8">
      <w:pPr>
        <w:pStyle w:val="Odstavecseseznamem"/>
        <w:numPr>
          <w:ilvl w:val="0"/>
          <w:numId w:val="26"/>
        </w:numPr>
        <w:spacing w:before="160" w:line="293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45301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n</w:t>
      </w:r>
      <w:r w:rsidRPr="00C45301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17. března 2022 </w:t>
      </w:r>
      <w:r w:rsidRPr="00C45301">
        <w:rPr>
          <w:rFonts w:asciiTheme="minorHAnsi" w:hAnsiTheme="minorHAnsi"/>
          <w:sz w:val="22"/>
          <w:szCs w:val="22"/>
        </w:rPr>
        <w:t xml:space="preserve">ČEZ, </w:t>
      </w:r>
      <w:r>
        <w:rPr>
          <w:rFonts w:asciiTheme="minorHAnsi" w:hAnsiTheme="minorHAnsi"/>
          <w:sz w:val="22"/>
          <w:szCs w:val="22"/>
        </w:rPr>
        <w:t xml:space="preserve">a. s., </w:t>
      </w:r>
      <w:r w:rsidRPr="00C45301">
        <w:rPr>
          <w:rFonts w:asciiTheme="minorHAnsi" w:hAnsiTheme="minorHAnsi"/>
          <w:sz w:val="22"/>
          <w:szCs w:val="22"/>
        </w:rPr>
        <w:t>respektive jeho stoprocentní dceřiná společnost Elektrárna Dukovany II,</w:t>
      </w:r>
      <w:r>
        <w:rPr>
          <w:rFonts w:asciiTheme="minorHAnsi" w:hAnsiTheme="minorHAnsi"/>
          <w:sz w:val="22"/>
          <w:szCs w:val="22"/>
        </w:rPr>
        <w:t xml:space="preserve"> a. s. (EDUII), </w:t>
      </w:r>
      <w:r w:rsidRPr="00C45301">
        <w:rPr>
          <w:rFonts w:asciiTheme="minorHAnsi" w:hAnsiTheme="minorHAnsi"/>
          <w:sz w:val="22"/>
          <w:szCs w:val="22"/>
        </w:rPr>
        <w:t xml:space="preserve">zahájil výběrové řízení na dodavatele </w:t>
      </w:r>
      <w:r w:rsidR="002B0E6E">
        <w:rPr>
          <w:rFonts w:asciiTheme="minorHAnsi" w:hAnsiTheme="minorHAnsi"/>
          <w:sz w:val="22"/>
          <w:szCs w:val="22"/>
        </w:rPr>
        <w:t>vý</w:t>
      </w:r>
      <w:r w:rsidRPr="00C45301">
        <w:rPr>
          <w:rFonts w:asciiTheme="minorHAnsi" w:hAnsiTheme="minorHAnsi"/>
          <w:sz w:val="22"/>
          <w:szCs w:val="22"/>
        </w:rPr>
        <w:t>stavby nového jaderného zdroje v</w:t>
      </w:r>
      <w:r w:rsidR="000A060F">
        <w:rPr>
          <w:rFonts w:asciiTheme="minorHAnsi" w:hAnsiTheme="minorHAnsi"/>
          <w:sz w:val="22"/>
          <w:szCs w:val="22"/>
        </w:rPr>
        <w:t> </w:t>
      </w:r>
      <w:r w:rsidRPr="00C45301">
        <w:rPr>
          <w:rFonts w:asciiTheme="minorHAnsi" w:hAnsiTheme="minorHAnsi"/>
          <w:sz w:val="22"/>
          <w:szCs w:val="22"/>
        </w:rPr>
        <w:t>lokalitě Dukovany.</w:t>
      </w:r>
    </w:p>
    <w:p w14:paraId="548593E8" w14:textId="5C245CF0" w:rsidR="00CD6CFA" w:rsidRPr="00C56410" w:rsidRDefault="00790231" w:rsidP="00473EA8">
      <w:pPr>
        <w:pStyle w:val="Odstavecseseznamem"/>
        <w:spacing w:before="160" w:line="293" w:lineRule="auto"/>
        <w:ind w:left="89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56410">
        <w:rPr>
          <w:rFonts w:asciiTheme="minorHAnsi" w:hAnsiTheme="minorHAnsi"/>
          <w:sz w:val="22"/>
          <w:szCs w:val="22"/>
        </w:rPr>
        <w:t>Uchazeči</w:t>
      </w:r>
      <w:r w:rsidR="00211A70">
        <w:rPr>
          <w:rFonts w:asciiTheme="minorHAnsi" w:hAnsiTheme="minorHAnsi"/>
          <w:sz w:val="22"/>
          <w:szCs w:val="22"/>
        </w:rPr>
        <w:t>, kterým byl zaslán</w:t>
      </w:r>
      <w:r w:rsidRPr="00C56410">
        <w:rPr>
          <w:rFonts w:asciiTheme="minorHAnsi" w:hAnsiTheme="minorHAnsi"/>
          <w:sz w:val="22"/>
          <w:szCs w:val="22"/>
        </w:rPr>
        <w:t xml:space="preserve"> bezpečnostní</w:t>
      </w:r>
      <w:r w:rsidR="00211A70">
        <w:rPr>
          <w:rFonts w:asciiTheme="minorHAnsi" w:hAnsiTheme="minorHAnsi"/>
          <w:sz w:val="22"/>
          <w:szCs w:val="22"/>
        </w:rPr>
        <w:t xml:space="preserve"> dotazník</w:t>
      </w:r>
      <w:r w:rsidRPr="00C56410">
        <w:rPr>
          <w:rFonts w:asciiTheme="minorHAnsi" w:hAnsiTheme="minorHAnsi"/>
          <w:sz w:val="22"/>
          <w:szCs w:val="22"/>
        </w:rPr>
        <w:t xml:space="preserve"> v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souladu s</w:t>
      </w:r>
      <w:r w:rsidR="000A060F">
        <w:rPr>
          <w:rFonts w:asciiTheme="minorHAnsi" w:hAnsiTheme="minorHAnsi"/>
          <w:sz w:val="22"/>
          <w:szCs w:val="22"/>
        </w:rPr>
        <w:t> </w:t>
      </w:r>
      <w:r w:rsidR="00D6210B">
        <w:rPr>
          <w:rFonts w:asciiTheme="minorHAnsi" w:hAnsiTheme="minorHAnsi"/>
          <w:sz w:val="22"/>
          <w:szCs w:val="22"/>
        </w:rPr>
        <w:t xml:space="preserve">usnesením vlády </w:t>
      </w:r>
      <w:r w:rsidR="005317FD">
        <w:rPr>
          <w:rFonts w:asciiTheme="minorHAnsi" w:hAnsiTheme="minorHAnsi"/>
          <w:sz w:val="22"/>
          <w:szCs w:val="22"/>
        </w:rPr>
        <w:t>ze dne 19. dubna 2</w:t>
      </w:r>
      <w:r w:rsidR="005317FD" w:rsidRPr="00C56410">
        <w:rPr>
          <w:rFonts w:asciiTheme="minorHAnsi" w:hAnsiTheme="minorHAnsi"/>
          <w:sz w:val="22"/>
          <w:szCs w:val="22"/>
        </w:rPr>
        <w:t>021</w:t>
      </w:r>
      <w:r w:rsidR="005317FD">
        <w:rPr>
          <w:rFonts w:asciiTheme="minorHAnsi" w:hAnsiTheme="minorHAnsi"/>
          <w:sz w:val="22"/>
          <w:szCs w:val="22"/>
        </w:rPr>
        <w:t xml:space="preserve"> </w:t>
      </w:r>
      <w:r w:rsidR="00D6210B">
        <w:rPr>
          <w:rFonts w:asciiTheme="minorHAnsi" w:hAnsiTheme="minorHAnsi"/>
          <w:sz w:val="22"/>
          <w:szCs w:val="22"/>
        </w:rPr>
        <w:t xml:space="preserve">č. </w:t>
      </w:r>
      <w:r w:rsidRPr="00C56410">
        <w:rPr>
          <w:rFonts w:asciiTheme="minorHAnsi" w:hAnsiTheme="minorHAnsi"/>
          <w:sz w:val="22"/>
          <w:szCs w:val="22"/>
        </w:rPr>
        <w:t>394</w:t>
      </w:r>
      <w:r w:rsidR="005317FD">
        <w:rPr>
          <w:rFonts w:asciiTheme="minorHAnsi" w:hAnsiTheme="minorHAnsi"/>
          <w:sz w:val="22"/>
          <w:szCs w:val="22"/>
        </w:rPr>
        <w:t>,</w:t>
      </w:r>
      <w:r w:rsidR="00D6210B">
        <w:rPr>
          <w:rFonts w:asciiTheme="minorHAnsi" w:hAnsiTheme="minorHAnsi"/>
          <w:sz w:val="22"/>
          <w:szCs w:val="22"/>
        </w:rPr>
        <w:t xml:space="preserve"> </w:t>
      </w:r>
      <w:r w:rsidR="00ED7CBA">
        <w:rPr>
          <w:rFonts w:asciiTheme="minorHAnsi" w:hAnsiTheme="minorHAnsi"/>
          <w:sz w:val="22"/>
          <w:szCs w:val="22"/>
        </w:rPr>
        <w:t>předali</w:t>
      </w:r>
      <w:r w:rsidRPr="00C56410">
        <w:rPr>
          <w:rFonts w:asciiTheme="minorHAnsi" w:hAnsiTheme="minorHAnsi"/>
          <w:sz w:val="22"/>
          <w:szCs w:val="22"/>
        </w:rPr>
        <w:t xml:space="preserve"> dotazník v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požadovaném termínu do 30.</w:t>
      </w:r>
      <w:r w:rsidR="002B0E6E" w:rsidRPr="002B0E6E">
        <w:rPr>
          <w:rFonts w:asciiTheme="minorHAnsi" w:hAnsiTheme="minorHAnsi"/>
          <w:sz w:val="22"/>
          <w:szCs w:val="22"/>
        </w:rPr>
        <w:t xml:space="preserve"> </w:t>
      </w:r>
      <w:r w:rsidR="002B0E6E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 xml:space="preserve">listopadu 2021. </w:t>
      </w:r>
      <w:r w:rsidR="00ED7CBA">
        <w:rPr>
          <w:rFonts w:asciiTheme="minorHAnsi" w:hAnsiTheme="minorHAnsi"/>
          <w:sz w:val="22"/>
          <w:szCs w:val="22"/>
        </w:rPr>
        <w:t>B</w:t>
      </w:r>
      <w:r w:rsidRPr="00C56410">
        <w:rPr>
          <w:rFonts w:asciiTheme="minorHAnsi" w:hAnsiTheme="minorHAnsi"/>
          <w:sz w:val="22"/>
          <w:szCs w:val="22"/>
        </w:rPr>
        <w:t xml:space="preserve">ezpečnostní dotazníky </w:t>
      </w:r>
      <w:r w:rsidR="002B0E6E">
        <w:rPr>
          <w:rFonts w:asciiTheme="minorHAnsi" w:hAnsiTheme="minorHAnsi"/>
          <w:sz w:val="22"/>
          <w:szCs w:val="22"/>
        </w:rPr>
        <w:t>společností</w:t>
      </w:r>
      <w:r w:rsidR="002B0E6E" w:rsidRPr="00C564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6410">
        <w:rPr>
          <w:rFonts w:asciiTheme="minorHAnsi" w:hAnsiTheme="minorHAnsi"/>
          <w:sz w:val="22"/>
          <w:szCs w:val="22"/>
        </w:rPr>
        <w:t>Électricité</w:t>
      </w:r>
      <w:proofErr w:type="spellEnd"/>
      <w:r w:rsidRPr="00C56410">
        <w:rPr>
          <w:rFonts w:asciiTheme="minorHAnsi" w:hAnsiTheme="minorHAnsi"/>
          <w:sz w:val="22"/>
          <w:szCs w:val="22"/>
        </w:rPr>
        <w:t xml:space="preserve"> de France, Korea Hydro and </w:t>
      </w:r>
      <w:proofErr w:type="spellStart"/>
      <w:r w:rsidRPr="00C56410">
        <w:rPr>
          <w:rFonts w:asciiTheme="minorHAnsi" w:hAnsiTheme="minorHAnsi"/>
          <w:sz w:val="22"/>
          <w:szCs w:val="22"/>
        </w:rPr>
        <w:t>Nuclear</w:t>
      </w:r>
      <w:proofErr w:type="spellEnd"/>
      <w:r w:rsidRPr="00C564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6410">
        <w:rPr>
          <w:rFonts w:asciiTheme="minorHAnsi" w:hAnsiTheme="minorHAnsi"/>
          <w:sz w:val="22"/>
          <w:szCs w:val="22"/>
        </w:rPr>
        <w:t>Power</w:t>
      </w:r>
      <w:proofErr w:type="spellEnd"/>
      <w:r w:rsidRPr="00C564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6410">
        <w:rPr>
          <w:rFonts w:asciiTheme="minorHAnsi" w:hAnsiTheme="minorHAnsi"/>
          <w:sz w:val="22"/>
          <w:szCs w:val="22"/>
        </w:rPr>
        <w:t>Company</w:t>
      </w:r>
      <w:proofErr w:type="spellEnd"/>
      <w:r w:rsidRPr="00C56410">
        <w:rPr>
          <w:rFonts w:asciiTheme="minorHAnsi" w:hAnsiTheme="minorHAnsi"/>
          <w:sz w:val="22"/>
          <w:szCs w:val="22"/>
        </w:rPr>
        <w:t xml:space="preserve"> a</w:t>
      </w:r>
      <w:r w:rsidR="000A060F">
        <w:rPr>
          <w:rFonts w:asciiTheme="minorHAnsi" w:hAnsiTheme="minorHAnsi"/>
          <w:sz w:val="22"/>
          <w:szCs w:val="22"/>
        </w:rPr>
        <w:t> </w:t>
      </w:r>
      <w:proofErr w:type="spellStart"/>
      <w:r w:rsidRPr="00C56410">
        <w:rPr>
          <w:rFonts w:asciiTheme="minorHAnsi" w:hAnsiTheme="minorHAnsi"/>
          <w:sz w:val="22"/>
          <w:szCs w:val="22"/>
        </w:rPr>
        <w:t>Westinghouse</w:t>
      </w:r>
      <w:proofErr w:type="spellEnd"/>
      <w:r w:rsidRPr="00C56410">
        <w:rPr>
          <w:rFonts w:asciiTheme="minorHAnsi" w:hAnsiTheme="minorHAnsi"/>
          <w:sz w:val="22"/>
          <w:szCs w:val="22"/>
        </w:rPr>
        <w:t xml:space="preserve"> Electric </w:t>
      </w:r>
      <w:proofErr w:type="spellStart"/>
      <w:r w:rsidRPr="00C56410">
        <w:rPr>
          <w:rFonts w:asciiTheme="minorHAnsi" w:hAnsiTheme="minorHAnsi"/>
          <w:sz w:val="22"/>
          <w:szCs w:val="22"/>
        </w:rPr>
        <w:t>Company</w:t>
      </w:r>
      <w:proofErr w:type="spellEnd"/>
      <w:r w:rsidRPr="00C564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56410">
        <w:rPr>
          <w:rFonts w:asciiTheme="minorHAnsi" w:hAnsiTheme="minorHAnsi"/>
          <w:sz w:val="22"/>
          <w:szCs w:val="22"/>
        </w:rPr>
        <w:t>LLC</w:t>
      </w:r>
      <w:proofErr w:type="spellEnd"/>
      <w:r w:rsidRPr="00C56410">
        <w:rPr>
          <w:rFonts w:asciiTheme="minorHAnsi" w:hAnsiTheme="minorHAnsi"/>
          <w:sz w:val="22"/>
          <w:szCs w:val="22"/>
        </w:rPr>
        <w:t xml:space="preserve"> byly posouzeny pracovní skupinou pro</w:t>
      </w:r>
      <w:r w:rsidR="005317FD">
        <w:rPr>
          <w:rFonts w:asciiTheme="minorHAnsi" w:hAnsiTheme="minorHAnsi"/>
          <w:sz w:val="22"/>
          <w:szCs w:val="22"/>
        </w:rPr>
        <w:t> </w:t>
      </w:r>
      <w:r w:rsidR="002D0D72">
        <w:rPr>
          <w:rFonts w:asciiTheme="minorHAnsi" w:hAnsiTheme="minorHAnsi"/>
          <w:sz w:val="22"/>
          <w:szCs w:val="22"/>
        </w:rPr>
        <w:t>bezpečnost nových jad</w:t>
      </w:r>
      <w:r w:rsidR="002D0D72" w:rsidRPr="00605625">
        <w:rPr>
          <w:rFonts w:asciiTheme="minorHAnsi" w:hAnsiTheme="minorHAnsi"/>
          <w:sz w:val="22"/>
          <w:szCs w:val="22"/>
        </w:rPr>
        <w:t xml:space="preserve">erných zdrojů koordinovanou </w:t>
      </w:r>
      <w:r w:rsidR="005317FD">
        <w:rPr>
          <w:rFonts w:asciiTheme="minorHAnsi" w:hAnsiTheme="minorHAnsi"/>
          <w:sz w:val="22"/>
          <w:szCs w:val="22"/>
        </w:rPr>
        <w:t>M</w:t>
      </w:r>
      <w:r w:rsidR="00AE0571">
        <w:rPr>
          <w:rFonts w:asciiTheme="minorHAnsi" w:hAnsiTheme="minorHAnsi"/>
          <w:sz w:val="22"/>
          <w:szCs w:val="22"/>
        </w:rPr>
        <w:t>V</w:t>
      </w:r>
      <w:r w:rsidR="002D0D72" w:rsidRPr="00605625">
        <w:rPr>
          <w:rFonts w:asciiTheme="minorHAnsi" w:hAnsiTheme="minorHAnsi"/>
          <w:sz w:val="22"/>
          <w:szCs w:val="22"/>
        </w:rPr>
        <w:t xml:space="preserve"> (dále „pracovní skupina“)</w:t>
      </w:r>
      <w:r w:rsidR="00587555" w:rsidRPr="00605625">
        <w:rPr>
          <w:rFonts w:asciiTheme="minorHAnsi" w:hAnsiTheme="minorHAnsi"/>
          <w:sz w:val="22"/>
          <w:szCs w:val="22"/>
        </w:rPr>
        <w:t xml:space="preserve"> a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="00587555" w:rsidRPr="00605625">
        <w:rPr>
          <w:rFonts w:asciiTheme="minorHAnsi" w:hAnsiTheme="minorHAnsi"/>
          <w:sz w:val="22"/>
          <w:szCs w:val="22"/>
        </w:rPr>
        <w:t>sekcí jaderné en</w:t>
      </w:r>
      <w:r w:rsidR="004B666F" w:rsidRPr="00605625">
        <w:rPr>
          <w:rFonts w:asciiTheme="minorHAnsi" w:hAnsiTheme="minorHAnsi"/>
          <w:sz w:val="22"/>
          <w:szCs w:val="22"/>
        </w:rPr>
        <w:t>e</w:t>
      </w:r>
      <w:r w:rsidR="00587555" w:rsidRPr="00605625">
        <w:rPr>
          <w:rFonts w:asciiTheme="minorHAnsi" w:hAnsiTheme="minorHAnsi"/>
          <w:sz w:val="22"/>
          <w:szCs w:val="22"/>
        </w:rPr>
        <w:t xml:space="preserve">rgetiky </w:t>
      </w:r>
      <w:r w:rsidR="005317FD">
        <w:rPr>
          <w:rFonts w:asciiTheme="minorHAnsi" w:hAnsiTheme="minorHAnsi"/>
          <w:sz w:val="22"/>
          <w:szCs w:val="22"/>
        </w:rPr>
        <w:t>MPO</w:t>
      </w:r>
      <w:r w:rsidR="00587555" w:rsidRPr="00605625">
        <w:rPr>
          <w:rFonts w:asciiTheme="minorHAnsi" w:hAnsiTheme="minorHAnsi"/>
          <w:sz w:val="22"/>
          <w:szCs w:val="22"/>
        </w:rPr>
        <w:t>.</w:t>
      </w:r>
      <w:r w:rsidRPr="00605625">
        <w:rPr>
          <w:rFonts w:asciiTheme="minorHAnsi" w:hAnsiTheme="minorHAnsi"/>
          <w:sz w:val="22"/>
          <w:szCs w:val="22"/>
        </w:rPr>
        <w:t xml:space="preserve"> Zároveň byla posouzena připravená dokumentace výběrového řízení. Pracovní skupinou nebyla identifikována vysoká míra rizik</w:t>
      </w:r>
      <w:r w:rsidR="00211A70" w:rsidRPr="00605625">
        <w:rPr>
          <w:rFonts w:asciiTheme="minorHAnsi" w:hAnsiTheme="minorHAnsi"/>
          <w:sz w:val="22"/>
          <w:szCs w:val="22"/>
        </w:rPr>
        <w:t>a</w:t>
      </w:r>
      <w:r w:rsidRPr="00605625">
        <w:rPr>
          <w:rFonts w:asciiTheme="minorHAnsi" w:hAnsiTheme="minorHAnsi"/>
          <w:sz w:val="22"/>
          <w:szCs w:val="22"/>
        </w:rPr>
        <w:t xml:space="preserve"> pro základní bezpečnostní zájmy ČR. Pracovní skupina </w:t>
      </w:r>
      <w:r w:rsidR="000F0708" w:rsidRPr="00605625">
        <w:rPr>
          <w:rFonts w:asciiTheme="minorHAnsi" w:hAnsiTheme="minorHAnsi"/>
          <w:sz w:val="22"/>
          <w:szCs w:val="22"/>
        </w:rPr>
        <w:t>i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="000F0708" w:rsidRPr="00605625">
        <w:rPr>
          <w:rFonts w:asciiTheme="minorHAnsi" w:hAnsiTheme="minorHAnsi"/>
          <w:sz w:val="22"/>
          <w:szCs w:val="22"/>
        </w:rPr>
        <w:t xml:space="preserve">MPO </w:t>
      </w:r>
      <w:r w:rsidRPr="00605625">
        <w:rPr>
          <w:rFonts w:asciiTheme="minorHAnsi" w:hAnsiTheme="minorHAnsi"/>
          <w:sz w:val="22"/>
          <w:szCs w:val="22"/>
        </w:rPr>
        <w:t>však bud</w:t>
      </w:r>
      <w:r w:rsidR="000F0708" w:rsidRPr="00605625">
        <w:rPr>
          <w:rFonts w:asciiTheme="minorHAnsi" w:hAnsiTheme="minorHAnsi"/>
          <w:sz w:val="22"/>
          <w:szCs w:val="22"/>
        </w:rPr>
        <w:t>ou</w:t>
      </w:r>
      <w:r w:rsidRPr="00605625">
        <w:rPr>
          <w:rFonts w:asciiTheme="minorHAnsi" w:hAnsiTheme="minorHAnsi"/>
          <w:sz w:val="22"/>
          <w:szCs w:val="22"/>
        </w:rPr>
        <w:t xml:space="preserve"> na</w:t>
      </w:r>
      <w:r w:rsidRPr="00C56410">
        <w:rPr>
          <w:rFonts w:asciiTheme="minorHAnsi" w:hAnsiTheme="minorHAnsi"/>
          <w:sz w:val="22"/>
          <w:szCs w:val="22"/>
        </w:rPr>
        <w:t xml:space="preserve">dále průběžně zkoumat </w:t>
      </w:r>
      <w:r w:rsidRPr="00C56410">
        <w:rPr>
          <w:rFonts w:asciiTheme="minorHAnsi" w:hAnsiTheme="minorHAnsi"/>
          <w:sz w:val="22"/>
          <w:szCs w:val="22"/>
        </w:rPr>
        <w:lastRenderedPageBreak/>
        <w:t xml:space="preserve">rizikovost </w:t>
      </w:r>
      <w:r w:rsidR="002B0E6E">
        <w:rPr>
          <w:rFonts w:asciiTheme="minorHAnsi" w:hAnsiTheme="minorHAnsi"/>
          <w:sz w:val="22"/>
          <w:szCs w:val="22"/>
        </w:rPr>
        <w:t>výše uvedených</w:t>
      </w:r>
      <w:r w:rsidR="002B0E6E" w:rsidRPr="00C56410">
        <w:rPr>
          <w:rFonts w:asciiTheme="minorHAnsi" w:hAnsiTheme="minorHAnsi"/>
          <w:sz w:val="22"/>
          <w:szCs w:val="22"/>
        </w:rPr>
        <w:t xml:space="preserve"> </w:t>
      </w:r>
      <w:r w:rsidRPr="00C56410">
        <w:rPr>
          <w:rFonts w:asciiTheme="minorHAnsi" w:hAnsiTheme="minorHAnsi"/>
          <w:sz w:val="22"/>
          <w:szCs w:val="22"/>
        </w:rPr>
        <w:t>uchazečů a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 xml:space="preserve">jejich </w:t>
      </w:r>
      <w:r w:rsidR="00211A70">
        <w:rPr>
          <w:rFonts w:asciiTheme="minorHAnsi" w:hAnsiTheme="minorHAnsi"/>
          <w:sz w:val="22"/>
          <w:szCs w:val="22"/>
        </w:rPr>
        <w:t>sub</w:t>
      </w:r>
      <w:r w:rsidR="002B0E6E" w:rsidRPr="00C56410">
        <w:rPr>
          <w:rFonts w:asciiTheme="minorHAnsi" w:hAnsiTheme="minorHAnsi"/>
          <w:sz w:val="22"/>
          <w:szCs w:val="22"/>
        </w:rPr>
        <w:t>dodavatelů</w:t>
      </w:r>
      <w:r w:rsidRPr="00C56410">
        <w:rPr>
          <w:rFonts w:asciiTheme="minorHAnsi" w:hAnsiTheme="minorHAnsi"/>
          <w:sz w:val="22"/>
          <w:szCs w:val="22"/>
        </w:rPr>
        <w:t xml:space="preserve">. Na základě kladného stanoviska pracovní skupiny byl </w:t>
      </w:r>
      <w:r w:rsidR="002D0D72">
        <w:rPr>
          <w:rFonts w:asciiTheme="minorHAnsi" w:hAnsiTheme="minorHAnsi"/>
          <w:sz w:val="22"/>
          <w:szCs w:val="22"/>
        </w:rPr>
        <w:t>předložen</w:t>
      </w:r>
      <w:r w:rsidRPr="00C56410">
        <w:rPr>
          <w:rFonts w:asciiTheme="minorHAnsi" w:hAnsiTheme="minorHAnsi"/>
          <w:sz w:val="22"/>
          <w:szCs w:val="22"/>
        </w:rPr>
        <w:t xml:space="preserve"> Bezpečnostní rad</w:t>
      </w:r>
      <w:r w:rsidR="005317FD">
        <w:rPr>
          <w:rFonts w:asciiTheme="minorHAnsi" w:hAnsiTheme="minorHAnsi"/>
          <w:sz w:val="22"/>
          <w:szCs w:val="22"/>
        </w:rPr>
        <w:t>ě</w:t>
      </w:r>
      <w:r w:rsidRPr="00C56410">
        <w:rPr>
          <w:rFonts w:asciiTheme="minorHAnsi" w:hAnsiTheme="minorHAnsi"/>
          <w:sz w:val="22"/>
          <w:szCs w:val="22"/>
        </w:rPr>
        <w:t xml:space="preserve"> státu a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 xml:space="preserve">následně na </w:t>
      </w:r>
      <w:r w:rsidR="00211A70">
        <w:rPr>
          <w:rFonts w:asciiTheme="minorHAnsi" w:hAnsiTheme="minorHAnsi"/>
          <w:sz w:val="22"/>
          <w:szCs w:val="22"/>
        </w:rPr>
        <w:t xml:space="preserve">jednání </w:t>
      </w:r>
      <w:r w:rsidRPr="00C56410">
        <w:rPr>
          <w:rFonts w:asciiTheme="minorHAnsi" w:hAnsiTheme="minorHAnsi"/>
          <w:sz w:val="22"/>
          <w:szCs w:val="22"/>
        </w:rPr>
        <w:t>vlád</w:t>
      </w:r>
      <w:r w:rsidR="00211A70">
        <w:rPr>
          <w:rFonts w:asciiTheme="minorHAnsi" w:hAnsiTheme="minorHAnsi"/>
          <w:sz w:val="22"/>
          <w:szCs w:val="22"/>
        </w:rPr>
        <w:t>y</w:t>
      </w:r>
      <w:r w:rsidRPr="00C56410">
        <w:rPr>
          <w:rFonts w:asciiTheme="minorHAnsi" w:hAnsiTheme="minorHAnsi"/>
          <w:sz w:val="22"/>
          <w:szCs w:val="22"/>
        </w:rPr>
        <w:t xml:space="preserve"> materiál, ve kterém byl shrnut stav přípravy nového jaderného zdroje v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lokalitě Dukovany (NJZ EDU II). Vláda tento materiál projednala a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MPO v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 xml:space="preserve">návaznosti na stanovisko vlády dalo investorovi NJZ EDU II souhlas se zahájením </w:t>
      </w:r>
      <w:r w:rsidR="003D6614">
        <w:rPr>
          <w:rFonts w:asciiTheme="minorHAnsi" w:hAnsiTheme="minorHAnsi"/>
          <w:sz w:val="22"/>
          <w:szCs w:val="22"/>
        </w:rPr>
        <w:t>výběrového řízení</w:t>
      </w:r>
      <w:r w:rsidR="003D6614" w:rsidRPr="00C56410">
        <w:rPr>
          <w:rFonts w:asciiTheme="minorHAnsi" w:hAnsiTheme="minorHAnsi"/>
          <w:sz w:val="22"/>
          <w:szCs w:val="22"/>
        </w:rPr>
        <w:t xml:space="preserve"> </w:t>
      </w:r>
      <w:r w:rsidRPr="00C56410">
        <w:rPr>
          <w:rFonts w:asciiTheme="minorHAnsi" w:hAnsiTheme="minorHAnsi"/>
          <w:sz w:val="22"/>
          <w:szCs w:val="22"/>
        </w:rPr>
        <w:t>a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 xml:space="preserve">přizvání třech uchazečů, kteří prošli bezpečnostním posouzením. </w:t>
      </w:r>
    </w:p>
    <w:p w14:paraId="504F6479" w14:textId="1E1DA5EA" w:rsidR="00790231" w:rsidRPr="00C56410" w:rsidRDefault="00C45301" w:rsidP="00473EA8">
      <w:pPr>
        <w:pStyle w:val="Odstavecseseznamem"/>
        <w:numPr>
          <w:ilvl w:val="0"/>
          <w:numId w:val="26"/>
        </w:numPr>
        <w:spacing w:before="160" w:line="293" w:lineRule="auto"/>
        <w:ind w:left="896" w:hanging="462"/>
        <w:contextualSpacing w:val="0"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bookmarkStart w:id="0" w:name="_Hlk124958403"/>
      <w:r>
        <w:rPr>
          <w:rFonts w:asciiTheme="minorHAnsi" w:hAnsiTheme="minorHAnsi"/>
          <w:bCs/>
          <w:sz w:val="22"/>
          <w:szCs w:val="22"/>
          <w:lang w:eastAsia="en-US"/>
        </w:rPr>
        <w:t>Dne 30. červn</w:t>
      </w:r>
      <w:r w:rsidR="006C0AAB">
        <w:rPr>
          <w:rFonts w:asciiTheme="minorHAnsi" w:hAnsiTheme="minorHAnsi"/>
          <w:bCs/>
          <w:sz w:val="22"/>
          <w:szCs w:val="22"/>
          <w:lang w:eastAsia="en-US"/>
        </w:rPr>
        <w:t>a</w:t>
      </w:r>
      <w:r>
        <w:rPr>
          <w:rFonts w:asciiTheme="minorHAnsi" w:hAnsiTheme="minorHAnsi"/>
          <w:bCs/>
          <w:sz w:val="22"/>
          <w:szCs w:val="22"/>
          <w:lang w:eastAsia="en-US"/>
        </w:rPr>
        <w:t xml:space="preserve"> 2022 </w:t>
      </w:r>
      <w:r w:rsidR="00A13CB7"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Generální ředitelství pro hospodářskou soutěž </w:t>
      </w:r>
      <w:r w:rsidR="002D0D72">
        <w:rPr>
          <w:rFonts w:asciiTheme="minorHAnsi" w:hAnsiTheme="minorHAnsi"/>
          <w:bCs/>
          <w:sz w:val="22"/>
          <w:szCs w:val="22"/>
          <w:lang w:eastAsia="en-US"/>
        </w:rPr>
        <w:t xml:space="preserve">Evropské komise </w:t>
      </w:r>
      <w:r w:rsidR="0029626C" w:rsidRPr="00C56410">
        <w:rPr>
          <w:rFonts w:asciiTheme="minorHAnsi" w:hAnsiTheme="minorHAnsi"/>
          <w:bCs/>
          <w:sz w:val="22"/>
          <w:szCs w:val="22"/>
          <w:lang w:eastAsia="en-US"/>
        </w:rPr>
        <w:t>oznámilo rozhodnutí zahájit</w:t>
      </w:r>
      <w:r w:rsidR="000D5FD1"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  <w:r w:rsidR="00A13CB7" w:rsidRPr="00C56410">
        <w:rPr>
          <w:rFonts w:asciiTheme="minorHAnsi" w:hAnsiTheme="minorHAnsi"/>
          <w:bCs/>
          <w:sz w:val="22"/>
          <w:szCs w:val="22"/>
          <w:lang w:eastAsia="en-US"/>
        </w:rPr>
        <w:t>hloubkové šetření s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A13CB7" w:rsidRPr="00C56410">
        <w:rPr>
          <w:rFonts w:asciiTheme="minorHAnsi" w:hAnsiTheme="minorHAnsi"/>
          <w:bCs/>
          <w:sz w:val="22"/>
          <w:szCs w:val="22"/>
          <w:lang w:eastAsia="en-US"/>
        </w:rPr>
        <w:t>cílem posoudit, zda je veřejná podpora, kterou Č</w:t>
      </w:r>
      <w:r>
        <w:rPr>
          <w:rFonts w:asciiTheme="minorHAnsi" w:hAnsiTheme="minorHAnsi"/>
          <w:bCs/>
          <w:sz w:val="22"/>
          <w:szCs w:val="22"/>
          <w:lang w:eastAsia="en-US"/>
        </w:rPr>
        <w:t>R</w:t>
      </w:r>
      <w:r w:rsidR="00A13CB7"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plánuje poskytnout </w:t>
      </w:r>
      <w:r w:rsidR="002D0D72">
        <w:rPr>
          <w:rFonts w:asciiTheme="minorHAnsi" w:hAnsiTheme="minorHAnsi"/>
          <w:bCs/>
          <w:sz w:val="22"/>
          <w:szCs w:val="22"/>
          <w:lang w:eastAsia="en-US"/>
        </w:rPr>
        <w:t>pro projekt přípravy a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A13CB7" w:rsidRPr="00C56410">
        <w:rPr>
          <w:rFonts w:asciiTheme="minorHAnsi" w:hAnsiTheme="minorHAnsi"/>
          <w:bCs/>
          <w:sz w:val="22"/>
          <w:szCs w:val="22"/>
          <w:lang w:eastAsia="en-US"/>
        </w:rPr>
        <w:t>výstavb</w:t>
      </w:r>
      <w:r w:rsidR="002D0D72">
        <w:rPr>
          <w:rFonts w:asciiTheme="minorHAnsi" w:hAnsiTheme="minorHAnsi"/>
          <w:bCs/>
          <w:sz w:val="22"/>
          <w:szCs w:val="22"/>
          <w:lang w:eastAsia="en-US"/>
        </w:rPr>
        <w:t>y</w:t>
      </w:r>
      <w:r w:rsidR="00A13CB7"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bCs/>
          <w:sz w:val="22"/>
          <w:szCs w:val="22"/>
          <w:lang w:eastAsia="en-US"/>
        </w:rPr>
        <w:t>NJZ EDU II</w:t>
      </w:r>
      <w:r w:rsidR="00A13CB7" w:rsidRPr="00C56410">
        <w:rPr>
          <w:rFonts w:asciiTheme="minorHAnsi" w:hAnsiTheme="minorHAnsi"/>
          <w:bCs/>
          <w:sz w:val="22"/>
          <w:szCs w:val="22"/>
          <w:lang w:eastAsia="en-US"/>
        </w:rPr>
        <w:t>, v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A13CB7" w:rsidRPr="00C56410">
        <w:rPr>
          <w:rFonts w:asciiTheme="minorHAnsi" w:hAnsiTheme="minorHAnsi"/>
          <w:bCs/>
          <w:sz w:val="22"/>
          <w:szCs w:val="22"/>
          <w:lang w:eastAsia="en-US"/>
        </w:rPr>
        <w:t>souladu s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A13CB7"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pravidly Evropské unie pro </w:t>
      </w:r>
      <w:r w:rsidR="003D6614">
        <w:rPr>
          <w:rFonts w:asciiTheme="minorHAnsi" w:hAnsiTheme="minorHAnsi"/>
          <w:bCs/>
          <w:sz w:val="22"/>
          <w:szCs w:val="22"/>
          <w:lang w:eastAsia="en-US"/>
        </w:rPr>
        <w:t xml:space="preserve">poskytnutí </w:t>
      </w:r>
      <w:r w:rsidR="00A13CB7" w:rsidRPr="00C56410">
        <w:rPr>
          <w:rFonts w:asciiTheme="minorHAnsi" w:hAnsiTheme="minorHAnsi"/>
          <w:bCs/>
          <w:sz w:val="22"/>
          <w:szCs w:val="22"/>
          <w:lang w:eastAsia="en-US"/>
        </w:rPr>
        <w:t>státní podpor</w:t>
      </w:r>
      <w:r w:rsidR="003D6614">
        <w:rPr>
          <w:rFonts w:asciiTheme="minorHAnsi" w:hAnsiTheme="minorHAnsi"/>
          <w:bCs/>
          <w:sz w:val="22"/>
          <w:szCs w:val="22"/>
          <w:lang w:eastAsia="en-US"/>
        </w:rPr>
        <w:t>y</w:t>
      </w:r>
      <w:bookmarkEnd w:id="0"/>
      <w:r w:rsidR="00320135">
        <w:rPr>
          <w:rFonts w:asciiTheme="minorHAnsi" w:hAnsiTheme="minorHAnsi"/>
          <w:bCs/>
          <w:sz w:val="22"/>
          <w:szCs w:val="22"/>
          <w:lang w:eastAsia="en-US"/>
        </w:rPr>
        <w:t>.</w:t>
      </w:r>
    </w:p>
    <w:p w14:paraId="21941585" w14:textId="310A9876" w:rsidR="00CA02D1" w:rsidRPr="00C56410" w:rsidRDefault="00E37CFC" w:rsidP="00473EA8">
      <w:pPr>
        <w:pStyle w:val="Odstavecseseznamem"/>
        <w:numPr>
          <w:ilvl w:val="0"/>
          <w:numId w:val="26"/>
        </w:numPr>
        <w:spacing w:before="160" w:line="293" w:lineRule="auto"/>
        <w:ind w:left="938" w:hanging="518"/>
        <w:contextualSpacing w:val="0"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  <w:lang w:eastAsia="en-US"/>
        </w:rPr>
        <w:t>D</w:t>
      </w:r>
      <w:r w:rsidR="00CA02D1" w:rsidRPr="00C56410">
        <w:rPr>
          <w:rFonts w:asciiTheme="minorHAnsi" w:hAnsiTheme="minorHAnsi"/>
          <w:bCs/>
          <w:sz w:val="22"/>
          <w:szCs w:val="22"/>
          <w:lang w:eastAsia="en-US"/>
        </w:rPr>
        <w:t>ne 27. července 2022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byl usnesením vlády</w:t>
      </w:r>
      <w:r w:rsidR="00CA02D1"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č. 646 o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CA02D1" w:rsidRPr="00C56410">
        <w:rPr>
          <w:rFonts w:asciiTheme="minorHAnsi" w:hAnsiTheme="minorHAnsi"/>
          <w:bCs/>
          <w:sz w:val="22"/>
          <w:szCs w:val="22"/>
          <w:lang w:eastAsia="en-US"/>
        </w:rPr>
        <w:t>Statutu Stálého výboru pro výstavbu nových jaderných zdrojů v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CA02D1" w:rsidRPr="00C56410">
        <w:rPr>
          <w:rFonts w:asciiTheme="minorHAnsi" w:hAnsiTheme="minorHAnsi"/>
          <w:bCs/>
          <w:sz w:val="22"/>
          <w:szCs w:val="22"/>
          <w:lang w:eastAsia="en-US"/>
        </w:rPr>
        <w:t>České republice schválen nový statut Výboru.</w:t>
      </w:r>
    </w:p>
    <w:p w14:paraId="4BFB8FD7" w14:textId="57DEF53C" w:rsidR="00D02CDC" w:rsidRPr="00C56410" w:rsidRDefault="00D02CDC" w:rsidP="00473EA8">
      <w:pPr>
        <w:pStyle w:val="Odstavecseseznamem"/>
        <w:numPr>
          <w:ilvl w:val="0"/>
          <w:numId w:val="26"/>
        </w:numPr>
        <w:spacing w:before="160" w:line="293" w:lineRule="auto"/>
        <w:ind w:left="938" w:hanging="518"/>
        <w:contextualSpacing w:val="0"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Dne 20. září 2022 proběhlo ustavující zasedání nového složení SVVNJZ, včetně ustavení </w:t>
      </w:r>
      <w:r w:rsidR="00110CC0">
        <w:rPr>
          <w:rFonts w:asciiTheme="minorHAnsi" w:hAnsiTheme="minorHAnsi"/>
          <w:bCs/>
          <w:sz w:val="22"/>
          <w:szCs w:val="22"/>
          <w:lang w:eastAsia="en-US"/>
        </w:rPr>
        <w:t xml:space="preserve">pěti 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Pracovních skupin – </w:t>
      </w:r>
      <w:r w:rsidR="006C0AAB" w:rsidRPr="006C0AAB">
        <w:rPr>
          <w:rFonts w:asciiTheme="minorHAnsi" w:hAnsiTheme="minorHAnsi"/>
          <w:bCs/>
          <w:sz w:val="22"/>
          <w:szCs w:val="22"/>
          <w:lang w:eastAsia="en-US"/>
        </w:rPr>
        <w:t>pro strategii financování</w:t>
      </w:r>
      <w:r w:rsidR="006C0AAB">
        <w:rPr>
          <w:rFonts w:asciiTheme="minorHAnsi" w:hAnsiTheme="minorHAnsi"/>
          <w:bCs/>
          <w:sz w:val="22"/>
          <w:szCs w:val="22"/>
          <w:lang w:eastAsia="en-US"/>
        </w:rPr>
        <w:t xml:space="preserve">, </w:t>
      </w:r>
      <w:r w:rsidR="006C0AAB" w:rsidRPr="006C0AAB">
        <w:rPr>
          <w:rFonts w:asciiTheme="minorHAnsi" w:hAnsiTheme="minorHAnsi"/>
          <w:bCs/>
          <w:sz w:val="22"/>
          <w:szCs w:val="22"/>
          <w:lang w:eastAsia="en-US"/>
        </w:rPr>
        <w:t>legislativně-právní</w:t>
      </w:r>
      <w:r w:rsidR="008A67D9">
        <w:rPr>
          <w:rFonts w:asciiTheme="minorHAnsi" w:hAnsiTheme="minorHAnsi"/>
          <w:bCs/>
          <w:sz w:val="22"/>
          <w:szCs w:val="22"/>
          <w:lang w:eastAsia="en-US"/>
        </w:rPr>
        <w:t>,</w:t>
      </w:r>
      <w:r w:rsidR="006C0AAB" w:rsidRPr="006C0AAB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  <w:proofErr w:type="spellStart"/>
      <w:r w:rsidRPr="00C56410">
        <w:rPr>
          <w:rFonts w:asciiTheme="minorHAnsi" w:hAnsiTheme="minorHAnsi"/>
          <w:bCs/>
          <w:sz w:val="22"/>
          <w:szCs w:val="22"/>
          <w:lang w:eastAsia="en-US"/>
        </w:rPr>
        <w:t>techn</w:t>
      </w:r>
      <w:r w:rsidR="008A67D9">
        <w:rPr>
          <w:rFonts w:asciiTheme="minorHAnsi" w:hAnsiTheme="minorHAnsi"/>
          <w:bCs/>
          <w:sz w:val="22"/>
          <w:szCs w:val="22"/>
          <w:lang w:eastAsia="en-US"/>
        </w:rPr>
        <w:t>i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ck</w:t>
      </w:r>
      <w:r w:rsidR="008A67D9">
        <w:rPr>
          <w:rFonts w:asciiTheme="minorHAnsi" w:hAnsiTheme="minorHAnsi"/>
          <w:bCs/>
          <w:sz w:val="22"/>
          <w:szCs w:val="22"/>
          <w:lang w:eastAsia="en-US"/>
        </w:rPr>
        <w:t>o</w:t>
      </w:r>
      <w:proofErr w:type="spellEnd"/>
      <w:r w:rsidR="008A67D9">
        <w:rPr>
          <w:rFonts w:asciiTheme="minorHAnsi" w:hAnsiTheme="minorHAnsi"/>
          <w:bCs/>
          <w:sz w:val="22"/>
          <w:szCs w:val="22"/>
          <w:lang w:eastAsia="en-US"/>
        </w:rPr>
        <w:t xml:space="preserve"> – </w:t>
      </w:r>
      <w:r w:rsidR="006C0AAB" w:rsidRPr="006C0AAB">
        <w:rPr>
          <w:rFonts w:asciiTheme="minorHAnsi" w:hAnsiTheme="minorHAnsi"/>
          <w:bCs/>
          <w:sz w:val="22"/>
          <w:szCs w:val="22"/>
          <w:lang w:eastAsia="en-US"/>
        </w:rPr>
        <w:t>invest</w:t>
      </w:r>
      <w:r w:rsidR="008A67D9">
        <w:rPr>
          <w:rFonts w:asciiTheme="minorHAnsi" w:hAnsiTheme="minorHAnsi"/>
          <w:bCs/>
          <w:sz w:val="22"/>
          <w:szCs w:val="22"/>
          <w:lang w:eastAsia="en-US"/>
        </w:rPr>
        <w:t xml:space="preserve">iční, </w:t>
      </w:r>
      <w:r w:rsidR="006C0AAB" w:rsidRPr="006C0AAB">
        <w:rPr>
          <w:rFonts w:asciiTheme="minorHAnsi" w:hAnsiTheme="minorHAnsi"/>
          <w:bCs/>
          <w:sz w:val="22"/>
          <w:szCs w:val="22"/>
          <w:lang w:eastAsia="en-US"/>
        </w:rPr>
        <w:t>pro</w:t>
      </w:r>
      <w:r w:rsidR="005317FD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6C0AAB" w:rsidRPr="006C0AAB">
        <w:rPr>
          <w:rFonts w:asciiTheme="minorHAnsi" w:hAnsiTheme="minorHAnsi"/>
          <w:bCs/>
          <w:sz w:val="22"/>
          <w:szCs w:val="22"/>
          <w:lang w:eastAsia="en-US"/>
        </w:rPr>
        <w:t>uplatnitelnost malých a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6C0AAB" w:rsidRPr="006C0AAB">
        <w:rPr>
          <w:rFonts w:asciiTheme="minorHAnsi" w:hAnsiTheme="minorHAnsi"/>
          <w:bCs/>
          <w:sz w:val="22"/>
          <w:szCs w:val="22"/>
          <w:lang w:eastAsia="en-US"/>
        </w:rPr>
        <w:t>středních modulárních reaktorů v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6C0AAB" w:rsidRPr="006C0AAB">
        <w:rPr>
          <w:rFonts w:asciiTheme="minorHAnsi" w:hAnsiTheme="minorHAnsi"/>
          <w:bCs/>
          <w:sz w:val="22"/>
          <w:szCs w:val="22"/>
          <w:lang w:eastAsia="en-US"/>
        </w:rPr>
        <w:t xml:space="preserve">České republice </w:t>
      </w:r>
      <w:r w:rsidR="008A67D9">
        <w:rPr>
          <w:rFonts w:asciiTheme="minorHAnsi" w:hAnsiTheme="minorHAnsi"/>
          <w:bCs/>
          <w:sz w:val="22"/>
          <w:szCs w:val="22"/>
          <w:lang w:eastAsia="en-US"/>
        </w:rPr>
        <w:t>a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6C0AAB" w:rsidRPr="006C0AAB">
        <w:rPr>
          <w:rFonts w:asciiTheme="minorHAnsi" w:hAnsiTheme="minorHAnsi"/>
          <w:bCs/>
          <w:sz w:val="22"/>
          <w:szCs w:val="22"/>
          <w:lang w:eastAsia="en-US"/>
        </w:rPr>
        <w:t>pro</w:t>
      </w:r>
      <w:r w:rsidR="005317FD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6C0AAB" w:rsidRPr="006C0AAB">
        <w:rPr>
          <w:rFonts w:asciiTheme="minorHAnsi" w:hAnsiTheme="minorHAnsi"/>
          <w:bCs/>
          <w:sz w:val="22"/>
          <w:szCs w:val="22"/>
          <w:lang w:eastAsia="en-US"/>
        </w:rPr>
        <w:t>zajištění lidských zdrojů pro rozvoj jaderné energetiky</w:t>
      </w:r>
      <w:r w:rsidR="006C0AAB">
        <w:rPr>
          <w:rFonts w:asciiTheme="minorHAnsi" w:hAnsiTheme="minorHAnsi"/>
          <w:bCs/>
          <w:sz w:val="22"/>
          <w:szCs w:val="22"/>
          <w:lang w:eastAsia="en-US"/>
        </w:rPr>
        <w:t>.</w:t>
      </w:r>
    </w:p>
    <w:p w14:paraId="1371B485" w14:textId="4B5DC22B" w:rsidR="00004B4B" w:rsidRPr="00C56410" w:rsidRDefault="00D02CDC" w:rsidP="00473EA8">
      <w:pPr>
        <w:pStyle w:val="Odstavecseseznamem"/>
        <w:numPr>
          <w:ilvl w:val="0"/>
          <w:numId w:val="26"/>
        </w:numPr>
        <w:spacing w:before="160" w:line="293" w:lineRule="auto"/>
        <w:ind w:left="938" w:hanging="518"/>
        <w:contextualSpacing w:val="0"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Cs/>
          <w:sz w:val="22"/>
          <w:szCs w:val="22"/>
          <w:lang w:eastAsia="en-US"/>
        </w:rPr>
        <w:t>D</w:t>
      </w:r>
      <w:r w:rsidR="002D0D72">
        <w:rPr>
          <w:rFonts w:asciiTheme="minorHAnsi" w:hAnsiTheme="minorHAnsi"/>
          <w:bCs/>
          <w:sz w:val="22"/>
          <w:szCs w:val="22"/>
          <w:lang w:eastAsia="en-US"/>
        </w:rPr>
        <w:t>o stanoveného termínu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30. listopadu 2022</w:t>
      </w:r>
      <w:r w:rsidR="002D0D72">
        <w:rPr>
          <w:rFonts w:asciiTheme="minorHAnsi" w:hAnsiTheme="minorHAnsi"/>
          <w:bCs/>
          <w:sz w:val="22"/>
          <w:szCs w:val="22"/>
          <w:lang w:eastAsia="en-US"/>
        </w:rPr>
        <w:t>,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  <w:r w:rsidR="005317FD">
        <w:rPr>
          <w:rFonts w:asciiTheme="minorHAnsi" w:hAnsiTheme="minorHAnsi"/>
          <w:bCs/>
          <w:sz w:val="22"/>
          <w:szCs w:val="22"/>
          <w:lang w:eastAsia="en-US"/>
        </w:rPr>
        <w:t xml:space="preserve">tedy 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v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souladu s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2D0D72">
        <w:rPr>
          <w:rFonts w:asciiTheme="minorHAnsi" w:hAnsiTheme="minorHAnsi"/>
          <w:bCs/>
          <w:sz w:val="22"/>
          <w:szCs w:val="22"/>
          <w:lang w:eastAsia="en-US"/>
        </w:rPr>
        <w:t xml:space="preserve">podmínkami 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výběrov</w:t>
      </w:r>
      <w:r w:rsidR="002D0D72">
        <w:rPr>
          <w:rFonts w:asciiTheme="minorHAnsi" w:hAnsiTheme="minorHAnsi"/>
          <w:bCs/>
          <w:sz w:val="22"/>
          <w:szCs w:val="22"/>
          <w:lang w:eastAsia="en-US"/>
        </w:rPr>
        <w:t>ého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řízení pro NJZ EDU II, obdržel investor </w:t>
      </w:r>
      <w:r w:rsidR="006A2C16">
        <w:rPr>
          <w:rFonts w:asciiTheme="minorHAnsi" w:hAnsiTheme="minorHAnsi"/>
          <w:bCs/>
          <w:sz w:val="22"/>
          <w:szCs w:val="22"/>
          <w:lang w:eastAsia="en-US"/>
        </w:rPr>
        <w:t>EDUII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od potenciálních dodavatelů (</w:t>
      </w:r>
      <w:proofErr w:type="spellStart"/>
      <w:r w:rsidR="00FB70ED" w:rsidRPr="00C56410">
        <w:rPr>
          <w:rFonts w:asciiTheme="minorHAnsi" w:hAnsiTheme="minorHAnsi"/>
          <w:sz w:val="22"/>
          <w:szCs w:val="22"/>
        </w:rPr>
        <w:t>Électricité</w:t>
      </w:r>
      <w:proofErr w:type="spellEnd"/>
      <w:r w:rsidR="00FB70ED" w:rsidRPr="00C56410">
        <w:rPr>
          <w:rFonts w:asciiTheme="minorHAnsi" w:hAnsiTheme="minorHAnsi"/>
          <w:sz w:val="22"/>
          <w:szCs w:val="22"/>
        </w:rPr>
        <w:t xml:space="preserve"> de France, Korea Hydro and </w:t>
      </w:r>
      <w:proofErr w:type="spellStart"/>
      <w:r w:rsidR="00FB70ED" w:rsidRPr="00C56410">
        <w:rPr>
          <w:rFonts w:asciiTheme="minorHAnsi" w:hAnsiTheme="minorHAnsi"/>
          <w:sz w:val="22"/>
          <w:szCs w:val="22"/>
        </w:rPr>
        <w:t>Nuclear</w:t>
      </w:r>
      <w:proofErr w:type="spellEnd"/>
      <w:r w:rsidR="00FB70ED" w:rsidRPr="00C564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B70ED" w:rsidRPr="00C56410">
        <w:rPr>
          <w:rFonts w:asciiTheme="minorHAnsi" w:hAnsiTheme="minorHAnsi"/>
          <w:sz w:val="22"/>
          <w:szCs w:val="22"/>
        </w:rPr>
        <w:t>Power</w:t>
      </w:r>
      <w:proofErr w:type="spellEnd"/>
      <w:r w:rsidR="00FB70ED" w:rsidRPr="00C564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B70ED" w:rsidRPr="00C56410">
        <w:rPr>
          <w:rFonts w:asciiTheme="minorHAnsi" w:hAnsiTheme="minorHAnsi"/>
          <w:sz w:val="22"/>
          <w:szCs w:val="22"/>
        </w:rPr>
        <w:t>Company</w:t>
      </w:r>
      <w:proofErr w:type="spellEnd"/>
      <w:r w:rsidR="00FB70ED" w:rsidRPr="00C56410">
        <w:rPr>
          <w:rFonts w:asciiTheme="minorHAnsi" w:hAnsiTheme="minorHAnsi"/>
          <w:sz w:val="22"/>
          <w:szCs w:val="22"/>
        </w:rPr>
        <w:t xml:space="preserve"> a</w:t>
      </w:r>
      <w:r w:rsidR="000A060F">
        <w:rPr>
          <w:rFonts w:asciiTheme="minorHAnsi" w:hAnsiTheme="minorHAnsi"/>
          <w:sz w:val="22"/>
          <w:szCs w:val="22"/>
        </w:rPr>
        <w:t> </w:t>
      </w:r>
      <w:proofErr w:type="spellStart"/>
      <w:r w:rsidR="00FB70ED" w:rsidRPr="00C56410">
        <w:rPr>
          <w:rFonts w:asciiTheme="minorHAnsi" w:hAnsiTheme="minorHAnsi"/>
          <w:sz w:val="22"/>
          <w:szCs w:val="22"/>
        </w:rPr>
        <w:t>Westinghouse</w:t>
      </w:r>
      <w:proofErr w:type="spellEnd"/>
      <w:r w:rsidR="00FB70ED" w:rsidRPr="00C56410">
        <w:rPr>
          <w:rFonts w:asciiTheme="minorHAnsi" w:hAnsiTheme="minorHAnsi"/>
          <w:sz w:val="22"/>
          <w:szCs w:val="22"/>
        </w:rPr>
        <w:t xml:space="preserve"> Electric </w:t>
      </w:r>
      <w:proofErr w:type="spellStart"/>
      <w:r w:rsidR="00FB70ED" w:rsidRPr="00C56410">
        <w:rPr>
          <w:rFonts w:asciiTheme="minorHAnsi" w:hAnsiTheme="minorHAnsi"/>
          <w:sz w:val="22"/>
          <w:szCs w:val="22"/>
        </w:rPr>
        <w:t>Company</w:t>
      </w:r>
      <w:proofErr w:type="spellEnd"/>
      <w:r w:rsidR="00FB70ED" w:rsidRPr="00C564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B70ED" w:rsidRPr="00C56410">
        <w:rPr>
          <w:rFonts w:asciiTheme="minorHAnsi" w:hAnsiTheme="minorHAnsi"/>
          <w:sz w:val="22"/>
          <w:szCs w:val="22"/>
        </w:rPr>
        <w:t>LLC</w:t>
      </w:r>
      <w:proofErr w:type="spellEnd"/>
      <w:r w:rsidR="00FB70ED">
        <w:rPr>
          <w:rFonts w:asciiTheme="minorHAnsi" w:hAnsiTheme="minorHAnsi"/>
          <w:sz w:val="22"/>
          <w:szCs w:val="22"/>
        </w:rPr>
        <w:t>)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úvodní nabídky pro realizaci NJZ.</w:t>
      </w:r>
    </w:p>
    <w:p w14:paraId="4E67C005" w14:textId="36A85714" w:rsidR="00620593" w:rsidRPr="00C56410" w:rsidRDefault="00EA6457" w:rsidP="00473EA8">
      <w:pPr>
        <w:pStyle w:val="Odstavecseseznamem"/>
        <w:numPr>
          <w:ilvl w:val="0"/>
          <w:numId w:val="26"/>
        </w:numPr>
        <w:spacing w:before="160" w:line="293" w:lineRule="auto"/>
        <w:ind w:left="851" w:hanging="518"/>
        <w:contextualSpacing w:val="0"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Cs/>
          <w:sz w:val="22"/>
          <w:szCs w:val="22"/>
          <w:lang w:eastAsia="en-US"/>
        </w:rPr>
        <w:t>Dne 14. prosince 2022 vláda přijala usnesení č. 1065 k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dodatku č. 1 k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První prováděcí smlouvě o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spolupráci při výstavbě nového jaderného zdroje v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lokalitě Dukovany v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České republice</w:t>
      </w:r>
      <w:r w:rsidR="00620593" w:rsidRPr="00C56410">
        <w:rPr>
          <w:rFonts w:asciiTheme="minorHAnsi" w:hAnsiTheme="minorHAnsi"/>
          <w:bCs/>
          <w:sz w:val="22"/>
          <w:szCs w:val="22"/>
          <w:lang w:eastAsia="en-US"/>
        </w:rPr>
        <w:t>. Jedná se o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6A2C16">
        <w:rPr>
          <w:rFonts w:asciiTheme="minorHAnsi" w:hAnsiTheme="minorHAnsi"/>
          <w:bCs/>
          <w:sz w:val="22"/>
          <w:szCs w:val="22"/>
          <w:lang w:eastAsia="en-US"/>
        </w:rPr>
        <w:t xml:space="preserve">technický </w:t>
      </w:r>
      <w:r w:rsidR="005F3477">
        <w:rPr>
          <w:rFonts w:asciiTheme="minorHAnsi" w:hAnsiTheme="minorHAnsi"/>
          <w:bCs/>
          <w:sz w:val="22"/>
          <w:szCs w:val="22"/>
          <w:lang w:eastAsia="en-US"/>
        </w:rPr>
        <w:t xml:space="preserve">dodatek, který </w:t>
      </w:r>
      <w:r w:rsidR="00F5157C">
        <w:rPr>
          <w:rFonts w:asciiTheme="minorHAnsi" w:hAnsiTheme="minorHAnsi"/>
          <w:bCs/>
          <w:sz w:val="22"/>
          <w:szCs w:val="22"/>
          <w:lang w:eastAsia="en-US"/>
        </w:rPr>
        <w:t>u</w:t>
      </w:r>
      <w:r w:rsidR="00620593" w:rsidRPr="00C56410">
        <w:rPr>
          <w:rFonts w:asciiTheme="minorHAnsi" w:hAnsiTheme="minorHAnsi"/>
          <w:bCs/>
          <w:sz w:val="22"/>
          <w:szCs w:val="22"/>
          <w:lang w:eastAsia="en-US"/>
        </w:rPr>
        <w:t>prav</w:t>
      </w:r>
      <w:r w:rsidR="005F3477">
        <w:rPr>
          <w:rFonts w:asciiTheme="minorHAnsi" w:hAnsiTheme="minorHAnsi"/>
          <w:bCs/>
          <w:sz w:val="22"/>
          <w:szCs w:val="22"/>
          <w:lang w:eastAsia="en-US"/>
        </w:rPr>
        <w:t>uje</w:t>
      </w:r>
      <w:r w:rsidR="00620593"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  <w:r w:rsidR="005F3477">
        <w:rPr>
          <w:rFonts w:asciiTheme="minorHAnsi" w:hAnsiTheme="minorHAnsi"/>
          <w:bCs/>
          <w:sz w:val="22"/>
          <w:szCs w:val="22"/>
          <w:lang w:eastAsia="en-US"/>
        </w:rPr>
        <w:t xml:space="preserve">výše uvedenou prováděcí </w:t>
      </w:r>
      <w:r w:rsidR="00620593" w:rsidRPr="00C56410">
        <w:rPr>
          <w:rFonts w:asciiTheme="minorHAnsi" w:hAnsiTheme="minorHAnsi"/>
          <w:bCs/>
          <w:sz w:val="22"/>
          <w:szCs w:val="22"/>
          <w:lang w:eastAsia="en-US"/>
        </w:rPr>
        <w:t>smlouv</w:t>
      </w:r>
      <w:r w:rsidR="005F3477">
        <w:rPr>
          <w:rFonts w:asciiTheme="minorHAnsi" w:hAnsiTheme="minorHAnsi"/>
          <w:bCs/>
          <w:sz w:val="22"/>
          <w:szCs w:val="22"/>
          <w:lang w:eastAsia="en-US"/>
        </w:rPr>
        <w:t>u</w:t>
      </w:r>
      <w:r w:rsidR="00620593"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tak, aby </w:t>
      </w:r>
      <w:r w:rsidR="006A2C16">
        <w:rPr>
          <w:rFonts w:asciiTheme="minorHAnsi" w:hAnsiTheme="minorHAnsi"/>
          <w:bCs/>
          <w:sz w:val="22"/>
          <w:szCs w:val="22"/>
          <w:lang w:eastAsia="en-US"/>
        </w:rPr>
        <w:t>harmonogram plnění povinností smluvních stran odpovídal aktuálnímu reálnému harmonogramu výběrového řízení a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6A2C16">
        <w:rPr>
          <w:rFonts w:asciiTheme="minorHAnsi" w:hAnsiTheme="minorHAnsi"/>
          <w:bCs/>
          <w:sz w:val="22"/>
          <w:szCs w:val="22"/>
          <w:lang w:eastAsia="en-US"/>
        </w:rPr>
        <w:t>nav</w:t>
      </w:r>
      <w:r w:rsidR="006A2C16" w:rsidRPr="00605625">
        <w:rPr>
          <w:rFonts w:asciiTheme="minorHAnsi" w:hAnsiTheme="minorHAnsi"/>
          <w:bCs/>
          <w:sz w:val="22"/>
          <w:szCs w:val="22"/>
          <w:lang w:eastAsia="en-US"/>
        </w:rPr>
        <w:t>azujících milníků projektu odpovídajícím vyhlášení výběrového řízení v</w:t>
      </w:r>
      <w:r w:rsidR="000A060F" w:rsidRPr="00605625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6A2C16" w:rsidRPr="00605625">
        <w:rPr>
          <w:rFonts w:asciiTheme="minorHAnsi" w:hAnsiTheme="minorHAnsi"/>
          <w:bCs/>
          <w:sz w:val="22"/>
          <w:szCs w:val="22"/>
          <w:lang w:eastAsia="en-US"/>
        </w:rPr>
        <w:t>březnu 2022</w:t>
      </w:r>
      <w:r w:rsidR="00620593" w:rsidRPr="00605625">
        <w:rPr>
          <w:rFonts w:asciiTheme="minorHAnsi" w:hAnsiTheme="minorHAnsi"/>
          <w:bCs/>
          <w:sz w:val="22"/>
          <w:szCs w:val="22"/>
          <w:lang w:eastAsia="en-US"/>
        </w:rPr>
        <w:t>.</w:t>
      </w:r>
      <w:r w:rsidR="00802FFB" w:rsidRPr="00605625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  <w:r w:rsidR="005317FD">
        <w:rPr>
          <w:rFonts w:asciiTheme="minorHAnsi" w:hAnsiTheme="minorHAnsi"/>
          <w:bCs/>
          <w:sz w:val="22"/>
          <w:szCs w:val="22"/>
          <w:lang w:eastAsia="en-US"/>
        </w:rPr>
        <w:t>P</w:t>
      </w:r>
      <w:r w:rsidR="005317FD" w:rsidRPr="00605625">
        <w:rPr>
          <w:rFonts w:asciiTheme="minorHAnsi" w:hAnsiTheme="minorHAnsi"/>
          <w:bCs/>
          <w:sz w:val="22"/>
          <w:szCs w:val="22"/>
          <w:lang w:eastAsia="en-US"/>
        </w:rPr>
        <w:t>ůvodně stanovený termín 30. červen 2024</w:t>
      </w:r>
      <w:r w:rsidR="005317FD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  <w:r w:rsidR="005317FD" w:rsidRPr="00605625">
        <w:rPr>
          <w:rFonts w:asciiTheme="minorHAnsi" w:hAnsiTheme="minorHAnsi"/>
          <w:bCs/>
          <w:sz w:val="22"/>
          <w:szCs w:val="22"/>
          <w:lang w:eastAsia="en-US"/>
        </w:rPr>
        <w:t>byl upraven na 31. prosince 2024</w:t>
      </w:r>
      <w:r w:rsidR="005317FD">
        <w:rPr>
          <w:rFonts w:asciiTheme="minorHAnsi" w:hAnsiTheme="minorHAnsi"/>
          <w:bCs/>
          <w:sz w:val="22"/>
          <w:szCs w:val="22"/>
          <w:lang w:eastAsia="en-US"/>
        </w:rPr>
        <w:t>; touto změnou n</w:t>
      </w:r>
      <w:r w:rsidR="00802FFB" w:rsidRPr="00605625">
        <w:rPr>
          <w:rFonts w:asciiTheme="minorHAnsi" w:hAnsiTheme="minorHAnsi"/>
          <w:bCs/>
          <w:sz w:val="22"/>
          <w:szCs w:val="22"/>
          <w:lang w:eastAsia="en-US"/>
        </w:rPr>
        <w:t>edo</w:t>
      </w:r>
      <w:r w:rsidR="009F6B58" w:rsidRPr="00605625">
        <w:rPr>
          <w:rFonts w:asciiTheme="minorHAnsi" w:hAnsiTheme="minorHAnsi"/>
          <w:bCs/>
          <w:sz w:val="22"/>
          <w:szCs w:val="22"/>
          <w:lang w:eastAsia="en-US"/>
        </w:rPr>
        <w:t>jde k</w:t>
      </w:r>
      <w:r w:rsidR="000A060F" w:rsidRPr="00605625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802FFB" w:rsidRPr="00605625">
        <w:rPr>
          <w:rFonts w:asciiTheme="minorHAnsi" w:hAnsiTheme="minorHAnsi"/>
          <w:bCs/>
          <w:sz w:val="22"/>
          <w:szCs w:val="22"/>
          <w:lang w:eastAsia="en-US"/>
        </w:rPr>
        <w:t>posunu cílového termínu 2036 pro uvedení elektrárny do provozu</w:t>
      </w:r>
      <w:r w:rsidR="009F6B58" w:rsidRPr="00605625">
        <w:rPr>
          <w:rFonts w:asciiTheme="minorHAnsi" w:hAnsiTheme="minorHAnsi"/>
          <w:bCs/>
          <w:sz w:val="22"/>
          <w:szCs w:val="22"/>
          <w:lang w:eastAsia="en-US"/>
        </w:rPr>
        <w:t xml:space="preserve"> a</w:t>
      </w:r>
      <w:r w:rsidR="000A060F" w:rsidRPr="00605625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802FFB" w:rsidRPr="00605625">
        <w:rPr>
          <w:rFonts w:asciiTheme="minorHAnsi" w:hAnsiTheme="minorHAnsi"/>
          <w:bCs/>
          <w:sz w:val="22"/>
          <w:szCs w:val="22"/>
          <w:lang w:eastAsia="en-US"/>
        </w:rPr>
        <w:t>konec první fáze projektu</w:t>
      </w:r>
      <w:r w:rsidR="009F6B58" w:rsidRPr="00605625">
        <w:rPr>
          <w:rFonts w:asciiTheme="minorHAnsi" w:hAnsiTheme="minorHAnsi"/>
          <w:bCs/>
          <w:sz w:val="22"/>
          <w:szCs w:val="22"/>
          <w:lang w:eastAsia="en-US"/>
        </w:rPr>
        <w:t xml:space="preserve"> nepřekročí rok 2024</w:t>
      </w:r>
      <w:r w:rsidR="005317FD">
        <w:rPr>
          <w:rFonts w:asciiTheme="minorHAnsi" w:hAnsiTheme="minorHAnsi"/>
          <w:bCs/>
          <w:sz w:val="22"/>
          <w:szCs w:val="22"/>
          <w:lang w:eastAsia="en-US"/>
        </w:rPr>
        <w:t>.</w:t>
      </w:r>
      <w:r w:rsidR="009F6B58" w:rsidRPr="00605625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</w:p>
    <w:p w14:paraId="6208B0C8" w14:textId="77777777" w:rsidR="00063731" w:rsidRPr="00C56410" w:rsidRDefault="00063731" w:rsidP="00473EA8">
      <w:pPr>
        <w:keepNext/>
        <w:keepLines/>
        <w:spacing w:before="160" w:line="293" w:lineRule="auto"/>
        <w:ind w:left="360"/>
        <w:jc w:val="both"/>
        <w:outlineLvl w:val="0"/>
        <w:rPr>
          <w:rFonts w:ascii="Cambria" w:hAnsi="Cambria"/>
          <w:color w:val="365F91"/>
          <w:sz w:val="32"/>
          <w:szCs w:val="32"/>
        </w:rPr>
      </w:pPr>
    </w:p>
    <w:p w14:paraId="5A6EF543" w14:textId="73A2240E" w:rsidR="003449C6" w:rsidRPr="00C56410" w:rsidRDefault="00382CAB" w:rsidP="00473EA8">
      <w:pPr>
        <w:keepNext/>
        <w:keepLines/>
        <w:numPr>
          <w:ilvl w:val="0"/>
          <w:numId w:val="4"/>
        </w:numPr>
        <w:spacing w:before="160" w:line="293" w:lineRule="auto"/>
        <w:jc w:val="both"/>
        <w:outlineLvl w:val="0"/>
        <w:rPr>
          <w:rFonts w:ascii="Cambria" w:hAnsi="Cambria"/>
          <w:color w:val="365F91"/>
          <w:sz w:val="32"/>
          <w:szCs w:val="32"/>
        </w:rPr>
      </w:pPr>
      <w:r w:rsidRPr="00C56410">
        <w:rPr>
          <w:rFonts w:ascii="Cambria" w:hAnsi="Cambria"/>
          <w:color w:val="365F91"/>
          <w:sz w:val="32"/>
          <w:szCs w:val="32"/>
        </w:rPr>
        <w:t xml:space="preserve">Jednání SVVNJZ </w:t>
      </w:r>
      <w:r w:rsidR="00390B16" w:rsidRPr="00C56410">
        <w:rPr>
          <w:rFonts w:ascii="Cambria" w:hAnsi="Cambria"/>
          <w:color w:val="365F91"/>
          <w:sz w:val="32"/>
          <w:szCs w:val="32"/>
        </w:rPr>
        <w:t>v</w:t>
      </w:r>
      <w:r w:rsidR="000A060F">
        <w:rPr>
          <w:rFonts w:ascii="Cambria" w:hAnsi="Cambria"/>
          <w:color w:val="365F91"/>
          <w:sz w:val="32"/>
          <w:szCs w:val="32"/>
        </w:rPr>
        <w:t> </w:t>
      </w:r>
      <w:r w:rsidRPr="00C56410">
        <w:rPr>
          <w:rFonts w:ascii="Cambria" w:hAnsi="Cambria"/>
          <w:color w:val="365F91"/>
          <w:sz w:val="32"/>
          <w:szCs w:val="32"/>
        </w:rPr>
        <w:t>roce 202</w:t>
      </w:r>
      <w:r w:rsidR="00461C0B" w:rsidRPr="00C56410">
        <w:rPr>
          <w:rFonts w:ascii="Cambria" w:hAnsi="Cambria"/>
          <w:color w:val="365F91"/>
          <w:sz w:val="32"/>
          <w:szCs w:val="32"/>
        </w:rPr>
        <w:t>2</w:t>
      </w:r>
    </w:p>
    <w:p w14:paraId="3E4D3407" w14:textId="56A95A58" w:rsidR="003449C6" w:rsidRDefault="003449C6" w:rsidP="00473EA8">
      <w:pPr>
        <w:pStyle w:val="Normlnodsazen"/>
        <w:tabs>
          <w:tab w:val="left" w:pos="567"/>
          <w:tab w:val="left" w:pos="851"/>
        </w:tabs>
        <w:spacing w:before="160" w:after="0" w:line="293" w:lineRule="auto"/>
        <w:ind w:left="378"/>
        <w:jc w:val="both"/>
        <w:rPr>
          <w:bCs/>
          <w:szCs w:val="22"/>
        </w:rPr>
      </w:pPr>
      <w:r w:rsidRPr="00C56410">
        <w:rPr>
          <w:bCs/>
          <w:szCs w:val="22"/>
        </w:rPr>
        <w:t>V roce 202</w:t>
      </w:r>
      <w:r w:rsidR="002E13DE" w:rsidRPr="00C56410">
        <w:rPr>
          <w:bCs/>
          <w:szCs w:val="22"/>
        </w:rPr>
        <w:t>2</w:t>
      </w:r>
      <w:r w:rsidRPr="00C56410">
        <w:rPr>
          <w:bCs/>
          <w:szCs w:val="22"/>
        </w:rPr>
        <w:t xml:space="preserve"> se uskutečnilo </w:t>
      </w:r>
      <w:r w:rsidR="00211A70">
        <w:rPr>
          <w:bCs/>
          <w:szCs w:val="22"/>
        </w:rPr>
        <w:t>jedno zasedání</w:t>
      </w:r>
      <w:r w:rsidR="00BB5AE0">
        <w:rPr>
          <w:bCs/>
          <w:szCs w:val="22"/>
        </w:rPr>
        <w:t xml:space="preserve"> </w:t>
      </w:r>
      <w:r w:rsidRPr="00C56410">
        <w:rPr>
          <w:bCs/>
          <w:szCs w:val="22"/>
        </w:rPr>
        <w:t>SVVNJZ</w:t>
      </w:r>
      <w:r w:rsidR="00B22184">
        <w:rPr>
          <w:bCs/>
          <w:szCs w:val="22"/>
        </w:rPr>
        <w:t>. Po schválení aktualizace Statutu Výboru vládou se Výbor v</w:t>
      </w:r>
      <w:r w:rsidR="000A060F">
        <w:rPr>
          <w:bCs/>
          <w:szCs w:val="22"/>
        </w:rPr>
        <w:t> </w:t>
      </w:r>
      <w:r w:rsidR="00B22184">
        <w:rPr>
          <w:bCs/>
          <w:szCs w:val="22"/>
        </w:rPr>
        <w:t>novém složení sešel dne 20. září 2022 na svém 6.</w:t>
      </w:r>
      <w:r w:rsidRPr="00C56410">
        <w:rPr>
          <w:bCs/>
          <w:szCs w:val="22"/>
        </w:rPr>
        <w:t xml:space="preserve"> </w:t>
      </w:r>
      <w:r w:rsidR="00B22184">
        <w:rPr>
          <w:bCs/>
          <w:szCs w:val="22"/>
        </w:rPr>
        <w:t>jednání</w:t>
      </w:r>
      <w:r w:rsidR="005317FD">
        <w:rPr>
          <w:bCs/>
          <w:szCs w:val="22"/>
        </w:rPr>
        <w:t xml:space="preserve"> a projednal tyto</w:t>
      </w:r>
      <w:r w:rsidRPr="00C56410">
        <w:rPr>
          <w:bCs/>
          <w:szCs w:val="22"/>
        </w:rPr>
        <w:t xml:space="preserve"> </w:t>
      </w:r>
      <w:r w:rsidR="005317FD">
        <w:rPr>
          <w:bCs/>
          <w:szCs w:val="22"/>
        </w:rPr>
        <w:t>programové okruhy</w:t>
      </w:r>
      <w:r w:rsidRPr="00C56410">
        <w:rPr>
          <w:bCs/>
          <w:szCs w:val="22"/>
        </w:rPr>
        <w:t>:</w:t>
      </w:r>
    </w:p>
    <w:p w14:paraId="334BEFE5" w14:textId="62B5C912" w:rsidR="009D50E0" w:rsidRPr="00C9773D" w:rsidRDefault="009D50E0" w:rsidP="00473EA8">
      <w:pPr>
        <w:pStyle w:val="Odstavecseseznamem"/>
        <w:numPr>
          <w:ilvl w:val="0"/>
          <w:numId w:val="6"/>
        </w:numPr>
        <w:spacing w:before="160" w:line="293" w:lineRule="auto"/>
        <w:ind w:left="882" w:hanging="448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9773D">
        <w:rPr>
          <w:rFonts w:asciiTheme="minorHAnsi" w:hAnsiTheme="minorHAnsi"/>
          <w:b/>
          <w:sz w:val="22"/>
          <w:szCs w:val="22"/>
        </w:rPr>
        <w:t>Organizační záležitosti a</w:t>
      </w:r>
      <w:r w:rsidR="000A060F">
        <w:rPr>
          <w:rFonts w:asciiTheme="minorHAnsi" w:hAnsiTheme="minorHAnsi"/>
          <w:b/>
          <w:sz w:val="22"/>
          <w:szCs w:val="22"/>
        </w:rPr>
        <w:t> </w:t>
      </w:r>
      <w:r w:rsidRPr="00C9773D">
        <w:rPr>
          <w:rFonts w:asciiTheme="minorHAnsi" w:hAnsiTheme="minorHAnsi"/>
          <w:b/>
          <w:sz w:val="22"/>
          <w:szCs w:val="22"/>
        </w:rPr>
        <w:t>revize pracovních skupin</w:t>
      </w:r>
    </w:p>
    <w:p w14:paraId="2BE3E719" w14:textId="3932385F" w:rsidR="008A4C38" w:rsidRPr="004827DE" w:rsidRDefault="008A4C38" w:rsidP="00AD3709">
      <w:pPr>
        <w:spacing w:before="160" w:line="293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4827DE">
        <w:rPr>
          <w:rFonts w:asciiTheme="minorHAnsi" w:hAnsiTheme="minorHAnsi"/>
          <w:sz w:val="22"/>
          <w:szCs w:val="22"/>
        </w:rPr>
        <w:t>V souladu se Statutem tohoto Výboru bylo odsouhlaseno nové složení Výboru</w:t>
      </w:r>
      <w:r w:rsidR="005317FD">
        <w:rPr>
          <w:rFonts w:asciiTheme="minorHAnsi" w:hAnsiTheme="minorHAnsi"/>
          <w:sz w:val="22"/>
          <w:szCs w:val="22"/>
        </w:rPr>
        <w:t xml:space="preserve"> (</w:t>
      </w:r>
      <w:r w:rsidRPr="004827DE">
        <w:rPr>
          <w:rFonts w:asciiTheme="minorHAnsi" w:hAnsiTheme="minorHAnsi"/>
          <w:sz w:val="22"/>
          <w:szCs w:val="22"/>
        </w:rPr>
        <w:t>viz tabulka</w:t>
      </w:r>
      <w:r w:rsidR="005317FD">
        <w:rPr>
          <w:rFonts w:asciiTheme="minorHAnsi" w:hAnsiTheme="minorHAnsi"/>
          <w:sz w:val="22"/>
          <w:szCs w:val="22"/>
        </w:rPr>
        <w:t>)</w:t>
      </w:r>
      <w:r w:rsidRPr="004827DE">
        <w:rPr>
          <w:rFonts w:asciiTheme="minorHAnsi" w:hAnsiTheme="minorHAnsi"/>
          <w:sz w:val="22"/>
          <w:szCs w:val="22"/>
        </w:rPr>
        <w:t>. Výbor je nyní 16členný a</w:t>
      </w:r>
      <w:r w:rsidR="000A060F">
        <w:rPr>
          <w:rFonts w:asciiTheme="minorHAnsi" w:hAnsiTheme="minorHAnsi"/>
          <w:sz w:val="22"/>
          <w:szCs w:val="22"/>
        </w:rPr>
        <w:t> </w:t>
      </w:r>
      <w:r w:rsidR="005317FD">
        <w:rPr>
          <w:rFonts w:asciiTheme="minorHAnsi" w:hAnsiTheme="minorHAnsi"/>
          <w:sz w:val="22"/>
          <w:szCs w:val="22"/>
        </w:rPr>
        <w:t>po</w:t>
      </w:r>
      <w:r w:rsidRPr="004827DE">
        <w:rPr>
          <w:rFonts w:asciiTheme="minorHAnsi" w:hAnsiTheme="minorHAnsi"/>
          <w:sz w:val="22"/>
          <w:szCs w:val="22"/>
        </w:rPr>
        <w:t xml:space="preserve">dle </w:t>
      </w:r>
      <w:r w:rsidR="005317FD">
        <w:rPr>
          <w:rFonts w:asciiTheme="minorHAnsi" w:hAnsiTheme="minorHAnsi"/>
          <w:sz w:val="22"/>
          <w:szCs w:val="22"/>
        </w:rPr>
        <w:t xml:space="preserve">čl. 6 odst. 7 </w:t>
      </w:r>
      <w:r w:rsidRPr="004827DE">
        <w:rPr>
          <w:rFonts w:asciiTheme="minorHAnsi" w:hAnsiTheme="minorHAnsi"/>
          <w:sz w:val="22"/>
          <w:szCs w:val="22"/>
        </w:rPr>
        <w:t>Statutu Výboru rozhoduje nadpoloviční většinou přítomných</w:t>
      </w:r>
      <w:r w:rsidR="007F637C" w:rsidRPr="004827DE">
        <w:rPr>
          <w:rFonts w:asciiTheme="minorHAnsi" w:hAnsiTheme="minorHAnsi"/>
          <w:sz w:val="22"/>
          <w:szCs w:val="22"/>
        </w:rPr>
        <w:t xml:space="preserve"> členů</w:t>
      </w:r>
      <w:r w:rsidRPr="004827DE">
        <w:rPr>
          <w:rFonts w:asciiTheme="minorHAnsi" w:hAnsiTheme="minorHAnsi"/>
          <w:sz w:val="22"/>
          <w:szCs w:val="22"/>
        </w:rPr>
        <w:t xml:space="preserve">. </w:t>
      </w:r>
    </w:p>
    <w:p w14:paraId="19D52920" w14:textId="13955BF1" w:rsidR="00211A70" w:rsidRDefault="008A4C38" w:rsidP="00AD3709">
      <w:pPr>
        <w:spacing w:before="160" w:line="293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4827DE">
        <w:rPr>
          <w:rFonts w:asciiTheme="minorHAnsi" w:hAnsiTheme="minorHAnsi"/>
          <w:sz w:val="22"/>
          <w:szCs w:val="22"/>
        </w:rPr>
        <w:lastRenderedPageBreak/>
        <w:t>Periodicita zasedání bude cca 2</w:t>
      </w:r>
      <w:r w:rsidR="00E42859" w:rsidRPr="004827DE">
        <w:rPr>
          <w:rFonts w:asciiTheme="minorHAnsi" w:hAnsiTheme="minorHAnsi"/>
          <w:sz w:val="22"/>
          <w:szCs w:val="22"/>
        </w:rPr>
        <w:t>x až</w:t>
      </w:r>
      <w:r w:rsidR="00F5157C" w:rsidRPr="004827DE">
        <w:rPr>
          <w:rFonts w:asciiTheme="minorHAnsi" w:hAnsiTheme="minorHAnsi"/>
          <w:sz w:val="22"/>
          <w:szCs w:val="22"/>
        </w:rPr>
        <w:t xml:space="preserve"> </w:t>
      </w:r>
      <w:r w:rsidRPr="004827DE">
        <w:rPr>
          <w:rFonts w:asciiTheme="minorHAnsi" w:hAnsiTheme="minorHAnsi"/>
          <w:sz w:val="22"/>
          <w:szCs w:val="22"/>
        </w:rPr>
        <w:t>4x ročně. Organizaci SVVNJZ zajišťuje Sekce jaderné energetiky MPO, která zároveň spravuje rozpočet na plnění úkolů Národního akčního plánu rozvoje jaderné energetiky v</w:t>
      </w:r>
      <w:r w:rsidR="000A060F">
        <w:rPr>
          <w:rFonts w:asciiTheme="minorHAnsi" w:hAnsiTheme="minorHAnsi"/>
          <w:sz w:val="22"/>
          <w:szCs w:val="22"/>
        </w:rPr>
        <w:t> </w:t>
      </w:r>
      <w:r w:rsidRPr="004827DE">
        <w:rPr>
          <w:rFonts w:asciiTheme="minorHAnsi" w:hAnsiTheme="minorHAnsi"/>
          <w:sz w:val="22"/>
          <w:szCs w:val="22"/>
        </w:rPr>
        <w:t>ČR (NAP JE), resp. poradenské služby pro účely přípravy NJZ</w:t>
      </w:r>
      <w:r w:rsidR="0069502E" w:rsidRPr="004827DE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4827DE">
        <w:rPr>
          <w:rFonts w:asciiTheme="minorHAnsi" w:hAnsiTheme="minorHAnsi"/>
          <w:sz w:val="22"/>
          <w:szCs w:val="22"/>
        </w:rPr>
        <w:t>EDU</w:t>
      </w:r>
      <w:r w:rsidR="0069502E" w:rsidRPr="004827DE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4827DE">
        <w:rPr>
          <w:rFonts w:asciiTheme="minorHAnsi" w:hAnsiTheme="minorHAnsi"/>
          <w:sz w:val="22"/>
          <w:szCs w:val="22"/>
        </w:rPr>
        <w:t>II a</w:t>
      </w:r>
      <w:r w:rsidR="000A060F">
        <w:rPr>
          <w:rFonts w:asciiTheme="minorHAnsi" w:hAnsiTheme="minorHAnsi"/>
          <w:sz w:val="22"/>
          <w:szCs w:val="22"/>
        </w:rPr>
        <w:t> </w:t>
      </w:r>
      <w:r w:rsidRPr="004827DE">
        <w:rPr>
          <w:rFonts w:asciiTheme="minorHAnsi" w:hAnsiTheme="minorHAnsi"/>
          <w:sz w:val="22"/>
          <w:szCs w:val="22"/>
        </w:rPr>
        <w:t>podpory státu.</w:t>
      </w:r>
    </w:p>
    <w:p w14:paraId="7C95C34D" w14:textId="5A3FE07F" w:rsidR="00211A70" w:rsidRPr="002E1218" w:rsidRDefault="00211A70" w:rsidP="00473EA8">
      <w:pPr>
        <w:spacing w:before="160" w:line="293" w:lineRule="auto"/>
        <w:jc w:val="both"/>
        <w:rPr>
          <w:rFonts w:asciiTheme="minorHAnsi" w:hAnsiTheme="minorHAnsi"/>
          <w:b/>
          <w:sz w:val="22"/>
          <w:szCs w:val="22"/>
        </w:rPr>
      </w:pPr>
      <w:r w:rsidRPr="002E1218">
        <w:rPr>
          <w:rFonts w:asciiTheme="minorHAnsi" w:hAnsiTheme="minorHAnsi"/>
          <w:b/>
          <w:sz w:val="22"/>
          <w:szCs w:val="22"/>
        </w:rPr>
        <w:t>Seznam členů SVVNJZ</w:t>
      </w:r>
    </w:p>
    <w:tbl>
      <w:tblPr>
        <w:tblpPr w:leftFromText="45" w:rightFromText="45" w:topFromText="225" w:bottomFromText="225" w:vertAnchor="text" w:horzAnchor="margin" w:tblpY="229"/>
        <w:tblW w:w="9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721"/>
        <w:gridCol w:w="1458"/>
      </w:tblGrid>
      <w:tr w:rsidR="00211A70" w:rsidRPr="00CA2456" w14:paraId="34DF6DFD" w14:textId="77777777" w:rsidTr="00211A70">
        <w:trPr>
          <w:trHeight w:val="383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871720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Ing. Jozef Síkela</w:t>
            </w:r>
          </w:p>
        </w:tc>
        <w:tc>
          <w:tcPr>
            <w:tcW w:w="5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8F0F14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MPO, ministr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422DAE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předseda</w:t>
            </w:r>
          </w:p>
        </w:tc>
      </w:tr>
      <w:tr w:rsidR="00211A70" w:rsidRPr="00CA2456" w14:paraId="6CD1E1BA" w14:textId="77777777" w:rsidTr="00211A70">
        <w:trPr>
          <w:trHeight w:val="391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8B4D76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PhDr. Tomáš Ehler, MBA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279DCE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MPO, náměstek sekce jaderná energetika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DBE15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místopředseda</w:t>
            </w:r>
          </w:p>
        </w:tc>
      </w:tr>
      <w:tr w:rsidR="00211A70" w:rsidRPr="00CA2456" w14:paraId="37932C8C" w14:textId="77777777" w:rsidTr="00211A70">
        <w:trPr>
          <w:trHeight w:val="383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CD7BF4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Ing. et Ing. René Neděla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192252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MPO, náměstek sekce energetiky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468619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</w:t>
            </w:r>
          </w:p>
        </w:tc>
      </w:tr>
      <w:tr w:rsidR="00211A70" w:rsidRPr="00CA2456" w14:paraId="1772077C" w14:textId="77777777" w:rsidTr="00211A70">
        <w:trPr>
          <w:trHeight w:val="39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20CAEE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Ing. Dana Drábová, Ph.D.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15DEA9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SÚJB, předsedkyně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0BB6D5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členka</w:t>
            </w:r>
          </w:p>
        </w:tc>
      </w:tr>
      <w:tr w:rsidR="00211A70" w:rsidRPr="00CA2456" w14:paraId="651DD649" w14:textId="77777777" w:rsidTr="00211A70">
        <w:trPr>
          <w:trHeight w:val="383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5EE80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Mgr. Roman Binder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EB5ECB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MF, náměstek ministra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A077B9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</w:t>
            </w:r>
          </w:p>
        </w:tc>
      </w:tr>
      <w:tr w:rsidR="00211A70" w:rsidRPr="00CA2456" w14:paraId="6C2CE515" w14:textId="77777777" w:rsidTr="00211A70">
        <w:trPr>
          <w:trHeight w:val="383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B2A5CE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Mgr. Leona </w:t>
            </w:r>
            <w:proofErr w:type="spellStart"/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Gergelová</w:t>
            </w:r>
            <w:proofErr w:type="spellEnd"/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Šteigrová</w:t>
            </w:r>
            <w:proofErr w:type="spellEnd"/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8FB046" w14:textId="4839F090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MMR, náměstkyně pro řízení sekce bydlení, výstavby a</w:t>
            </w:r>
            <w:r w:rsidR="000A06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veřejného investování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6A1823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členka</w:t>
            </w:r>
          </w:p>
        </w:tc>
      </w:tr>
      <w:tr w:rsidR="00211A70" w:rsidRPr="00CA2456" w14:paraId="39BA37BC" w14:textId="77777777" w:rsidTr="00211A70">
        <w:trPr>
          <w:trHeight w:val="383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5D45D3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JUDr. Ing. Jiří Nováček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4C7868" w14:textId="1EFAAB51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MV, 1. náměstek ministra vnitra pro řízení sekce vnitřní bezpečnosti a</w:t>
            </w:r>
            <w:r w:rsidR="000A06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policejního vzdělávání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B415EF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</w:t>
            </w:r>
          </w:p>
        </w:tc>
      </w:tr>
      <w:tr w:rsidR="00211A70" w:rsidRPr="00CA2456" w14:paraId="0CFDB256" w14:textId="77777777" w:rsidTr="00211A70">
        <w:trPr>
          <w:trHeight w:val="383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F8ECD5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PhDr. Martin </w:t>
            </w:r>
            <w:proofErr w:type="spellStart"/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Povejšil</w:t>
            </w:r>
            <w:proofErr w:type="spellEnd"/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A2706F" w14:textId="1C5BA155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MZV, náměstek pro řízení sekce bezpečnostní a</w:t>
            </w:r>
            <w:r w:rsidR="000A06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multilaterální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C02FFB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</w:t>
            </w:r>
          </w:p>
        </w:tc>
      </w:tr>
      <w:tr w:rsidR="00211A70" w:rsidRPr="00CA2456" w14:paraId="7FA1E3FC" w14:textId="77777777" w:rsidTr="00211A70">
        <w:trPr>
          <w:trHeight w:val="383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AF5445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JUDr. Jan Dusík, </w:t>
            </w:r>
            <w:proofErr w:type="spellStart"/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MSc</w:t>
            </w:r>
            <w:proofErr w:type="spellEnd"/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40E2C4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MŽP, náměstek pro řízení sekce ochrany klimatu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482AE2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</w:t>
            </w:r>
          </w:p>
        </w:tc>
      </w:tr>
      <w:tr w:rsidR="00211A70" w:rsidRPr="00CA2456" w14:paraId="25F149BB" w14:textId="77777777" w:rsidTr="00211A70">
        <w:trPr>
          <w:trHeight w:val="383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B42A1F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Tomáš Vrbík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C08636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MD, náměstek člena vlády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E979C4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</w:t>
            </w:r>
          </w:p>
        </w:tc>
      </w:tr>
      <w:tr w:rsidR="00211A70" w:rsidRPr="00CA2456" w14:paraId="34D7A6CE" w14:textId="77777777" w:rsidTr="00211A70">
        <w:trPr>
          <w:trHeight w:val="55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A64DEC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PhDr. Štěpán Černý</w:t>
            </w:r>
          </w:p>
          <w:p w14:paraId="6B08190B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(Mgr. Tomáš Pojar, PhD)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B5B1AF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MEZ, nebo náměstek pro řízení Sekce pro evropské záležitosti ÚV ČR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6E55A0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</w:t>
            </w:r>
          </w:p>
        </w:tc>
      </w:tr>
      <w:tr w:rsidR="00211A70" w:rsidRPr="00CA2456" w14:paraId="6BDF6C9C" w14:textId="77777777" w:rsidTr="00211A70">
        <w:trPr>
          <w:trHeight w:val="383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26F1D8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Ing.  Jakub </w:t>
            </w:r>
            <w:proofErr w:type="spellStart"/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Kajzler</w:t>
            </w:r>
            <w:proofErr w:type="spellEnd"/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18D07A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ÚV ČR, poradce předsedy vlády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02861A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</w:t>
            </w:r>
          </w:p>
        </w:tc>
      </w:tr>
      <w:tr w:rsidR="00211A70" w:rsidRPr="00CA2456" w14:paraId="412568C4" w14:textId="77777777" w:rsidTr="00211A70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5687DB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Ing. Daniel Beneš, MBA</w:t>
            </w:r>
          </w:p>
          <w:p w14:paraId="13A6C370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(Ing. Tomáš Pleskač, MBA)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A4624C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ČEZ, a. s., předseda představenstva nebo ředitel divize Nová energetika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5BE9CE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</w:t>
            </w:r>
          </w:p>
        </w:tc>
      </w:tr>
      <w:tr w:rsidR="00211A70" w:rsidRPr="00CA2456" w14:paraId="71A2E68B" w14:textId="77777777" w:rsidTr="00211A70">
        <w:trPr>
          <w:trHeight w:val="383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30F461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Ing. Petr Závodský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1C0A87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lektrárna Dukovany</w:t>
            </w: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II, a. s., předseda představenstva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CC95FE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</w:t>
            </w:r>
          </w:p>
        </w:tc>
      </w:tr>
      <w:tr w:rsidR="00211A70" w:rsidRPr="00CA2456" w14:paraId="63FB5415" w14:textId="77777777" w:rsidTr="00211A70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736852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Doc. Ing. Karel Havlíček, Ph.D., MBA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75D527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Poslanecký klub ANO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7EF7F6" w14:textId="77777777" w:rsidR="00211A70" w:rsidRPr="00CA2456" w:rsidRDefault="00211A70" w:rsidP="00211A70">
            <w:pPr>
              <w:pStyle w:val="Normlnweb"/>
              <w:spacing w:before="160" w:beforeAutospacing="0" w:after="0" w:afterAutospacing="0" w:line="293" w:lineRule="auto"/>
              <w:rPr>
                <w:rFonts w:ascii="Calibri" w:hAnsi="Calibri" w:cs="Calibri"/>
                <w:color w:val="4D4D4D"/>
                <w:sz w:val="20"/>
                <w:szCs w:val="20"/>
              </w:rPr>
            </w:pPr>
            <w:r w:rsidRPr="00CA2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</w:t>
            </w:r>
          </w:p>
        </w:tc>
      </w:tr>
    </w:tbl>
    <w:p w14:paraId="50396752" w14:textId="77777777" w:rsidR="00211A70" w:rsidRDefault="00211A70" w:rsidP="00FE7C92">
      <w:pPr>
        <w:pStyle w:val="Odstavecseseznamem"/>
        <w:ind w:left="28"/>
        <w:contextualSpacing w:val="0"/>
        <w:jc w:val="both"/>
        <w:rPr>
          <w:rFonts w:asciiTheme="minorHAnsi" w:hAnsiTheme="minorHAnsi"/>
          <w:i/>
          <w:sz w:val="20"/>
          <w:szCs w:val="20"/>
        </w:rPr>
      </w:pPr>
    </w:p>
    <w:p w14:paraId="7308096C" w14:textId="41D0A4F1" w:rsidR="00F5157C" w:rsidRPr="00F5157C" w:rsidRDefault="00F5157C" w:rsidP="00FE7C92">
      <w:pPr>
        <w:pStyle w:val="Odstavecseseznamem"/>
        <w:ind w:left="28"/>
        <w:contextualSpacing w:val="0"/>
        <w:jc w:val="both"/>
        <w:rPr>
          <w:rFonts w:asciiTheme="minorHAnsi" w:hAnsiTheme="minorHAnsi"/>
          <w:i/>
          <w:sz w:val="20"/>
          <w:szCs w:val="20"/>
        </w:rPr>
      </w:pPr>
      <w:r w:rsidRPr="00F5157C">
        <w:rPr>
          <w:rFonts w:asciiTheme="minorHAnsi" w:hAnsiTheme="minorHAnsi"/>
          <w:i/>
          <w:sz w:val="20"/>
          <w:szCs w:val="20"/>
        </w:rPr>
        <w:t xml:space="preserve">Pozn.: </w:t>
      </w:r>
      <w:r w:rsidR="00860C9F">
        <w:rPr>
          <w:rFonts w:asciiTheme="minorHAnsi" w:hAnsiTheme="minorHAnsi"/>
          <w:i/>
          <w:sz w:val="20"/>
          <w:szCs w:val="20"/>
        </w:rPr>
        <w:t xml:space="preserve">  </w:t>
      </w:r>
      <w:r w:rsidRPr="00F5157C">
        <w:rPr>
          <w:rFonts w:asciiTheme="minorHAnsi" w:hAnsiTheme="minorHAnsi"/>
          <w:i/>
          <w:sz w:val="20"/>
          <w:szCs w:val="20"/>
        </w:rPr>
        <w:t>MEZ – Ministerstvo pro evropské záležitosti</w:t>
      </w:r>
    </w:p>
    <w:p w14:paraId="00373BA8" w14:textId="4B3BBE55" w:rsidR="00F5157C" w:rsidRPr="00F5157C" w:rsidRDefault="00F5157C" w:rsidP="00FE7C92">
      <w:pPr>
        <w:pStyle w:val="Odstavecseseznamem"/>
        <w:ind w:left="630"/>
        <w:contextualSpacing w:val="0"/>
        <w:jc w:val="both"/>
        <w:rPr>
          <w:rFonts w:asciiTheme="minorHAnsi" w:hAnsiTheme="minorHAnsi"/>
          <w:i/>
          <w:sz w:val="20"/>
          <w:szCs w:val="20"/>
        </w:rPr>
      </w:pPr>
      <w:r w:rsidRPr="00F5157C">
        <w:rPr>
          <w:rFonts w:asciiTheme="minorHAnsi" w:hAnsiTheme="minorHAnsi"/>
          <w:i/>
          <w:sz w:val="20"/>
          <w:szCs w:val="20"/>
        </w:rPr>
        <w:t>SÚJB – Státní úřad pro jadernou bezpečnost</w:t>
      </w:r>
    </w:p>
    <w:p w14:paraId="50B3459B" w14:textId="1EC62AFF" w:rsidR="00CA2456" w:rsidRPr="00F5157C" w:rsidRDefault="00F5157C" w:rsidP="00FE7C92">
      <w:pPr>
        <w:pStyle w:val="Odstavecseseznamem"/>
        <w:ind w:left="630"/>
        <w:contextualSpacing w:val="0"/>
        <w:jc w:val="both"/>
        <w:rPr>
          <w:rFonts w:asciiTheme="minorHAnsi" w:hAnsiTheme="minorHAnsi"/>
          <w:i/>
          <w:sz w:val="20"/>
          <w:szCs w:val="20"/>
        </w:rPr>
      </w:pPr>
      <w:r w:rsidRPr="00F5157C">
        <w:rPr>
          <w:rFonts w:asciiTheme="minorHAnsi" w:hAnsiTheme="minorHAnsi"/>
          <w:i/>
          <w:sz w:val="20"/>
          <w:szCs w:val="20"/>
        </w:rPr>
        <w:t>ÚV ČR – Úřad vlády České republiky</w:t>
      </w:r>
    </w:p>
    <w:p w14:paraId="287D4366" w14:textId="77777777" w:rsidR="00F5157C" w:rsidRDefault="00F5157C" w:rsidP="00473EA8">
      <w:pPr>
        <w:pStyle w:val="Odstavecseseznamem"/>
        <w:spacing w:before="160" w:line="293" w:lineRule="auto"/>
        <w:ind w:left="910" w:firstLine="28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59B4AECE" w14:textId="03427B35" w:rsidR="00F5157C" w:rsidRDefault="00F5157C" w:rsidP="00473EA8">
      <w:pPr>
        <w:pStyle w:val="Odstavecseseznamem"/>
        <w:spacing w:before="160" w:line="293" w:lineRule="auto"/>
        <w:ind w:left="910" w:firstLine="28"/>
        <w:contextualSpacing w:val="0"/>
        <w:jc w:val="both"/>
        <w:rPr>
          <w:rFonts w:asciiTheme="minorHAnsi" w:hAnsiTheme="minorHAnsi"/>
          <w:sz w:val="22"/>
          <w:szCs w:val="22"/>
        </w:rPr>
        <w:sectPr w:rsidR="00F5157C" w:rsidSect="008A4C38"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276" w:left="1417" w:header="708" w:footer="708" w:gutter="0"/>
          <w:cols w:space="708"/>
          <w:titlePg/>
          <w:docGrid w:linePitch="360"/>
        </w:sectPr>
      </w:pPr>
    </w:p>
    <w:p w14:paraId="271532A4" w14:textId="0B0A32BC" w:rsidR="008B41A9" w:rsidRDefault="008B41A9" w:rsidP="00AD3709">
      <w:pPr>
        <w:pStyle w:val="Odstavecseseznamem"/>
        <w:spacing w:before="160" w:line="293" w:lineRule="auto"/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56410">
        <w:rPr>
          <w:rFonts w:asciiTheme="minorHAnsi" w:hAnsiTheme="minorHAnsi"/>
          <w:sz w:val="22"/>
          <w:szCs w:val="22"/>
        </w:rPr>
        <w:lastRenderedPageBreak/>
        <w:t>V</w:t>
      </w:r>
      <w:r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souladu s</w:t>
      </w:r>
      <w:r w:rsidR="000A060F">
        <w:rPr>
          <w:rFonts w:asciiTheme="minorHAnsi" w:hAnsiTheme="minorHAnsi"/>
          <w:sz w:val="22"/>
          <w:szCs w:val="22"/>
        </w:rPr>
        <w:t> </w:t>
      </w:r>
      <w:r w:rsidRPr="00C56410">
        <w:rPr>
          <w:rFonts w:asciiTheme="minorHAnsi" w:hAnsiTheme="minorHAnsi"/>
          <w:sz w:val="22"/>
          <w:szCs w:val="22"/>
        </w:rPr>
        <w:t>čl. 7 Statutu Výbor schválil (potvrdil či ustanovil) pracovní skupiny</w:t>
      </w:r>
      <w:r w:rsidR="00096E40">
        <w:rPr>
          <w:rFonts w:asciiTheme="minorHAnsi" w:hAnsiTheme="minorHAnsi"/>
          <w:sz w:val="22"/>
          <w:szCs w:val="22"/>
        </w:rPr>
        <w:t xml:space="preserve"> (</w:t>
      </w:r>
      <w:r w:rsidRPr="00C56410">
        <w:rPr>
          <w:rFonts w:asciiTheme="minorHAnsi" w:hAnsiTheme="minorHAnsi"/>
          <w:sz w:val="22"/>
          <w:szCs w:val="22"/>
        </w:rPr>
        <w:t>viz tabulka</w:t>
      </w:r>
      <w:r w:rsidR="00096E40">
        <w:rPr>
          <w:rFonts w:asciiTheme="minorHAnsi" w:hAnsiTheme="minorHAnsi"/>
          <w:sz w:val="22"/>
          <w:szCs w:val="22"/>
        </w:rPr>
        <w:t>)</w:t>
      </w:r>
      <w:r w:rsidRPr="00C56410">
        <w:rPr>
          <w:rFonts w:asciiTheme="minorHAnsi" w:hAnsiTheme="minorHAnsi"/>
          <w:sz w:val="22"/>
          <w:szCs w:val="22"/>
        </w:rPr>
        <w:t>,</w:t>
      </w:r>
      <w:r w:rsidRPr="008B41A9">
        <w:t xml:space="preserve"> </w:t>
      </w:r>
      <w:r w:rsidRPr="008B41A9">
        <w:rPr>
          <w:rFonts w:asciiTheme="minorHAnsi" w:hAnsiTheme="minorHAnsi"/>
          <w:sz w:val="22"/>
          <w:szCs w:val="22"/>
        </w:rPr>
        <w:t>jejich předsedy, strukturu a</w:t>
      </w:r>
      <w:r w:rsidR="000A060F">
        <w:rPr>
          <w:rFonts w:asciiTheme="minorHAnsi" w:hAnsiTheme="minorHAnsi"/>
          <w:sz w:val="22"/>
          <w:szCs w:val="22"/>
        </w:rPr>
        <w:t> </w:t>
      </w:r>
      <w:r w:rsidRPr="008B41A9">
        <w:rPr>
          <w:rFonts w:asciiTheme="minorHAnsi" w:hAnsiTheme="minorHAnsi"/>
          <w:sz w:val="22"/>
          <w:szCs w:val="22"/>
        </w:rPr>
        <w:t>mandát/agend.</w:t>
      </w:r>
    </w:p>
    <w:tbl>
      <w:tblPr>
        <w:tblW w:w="95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898"/>
        <w:gridCol w:w="4101"/>
      </w:tblGrid>
      <w:tr w:rsidR="00D42929" w:rsidRPr="00C56410" w14:paraId="2FFB6927" w14:textId="77777777" w:rsidTr="00D42929">
        <w:trPr>
          <w:trHeight w:val="380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D4D6D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Stálá pracovní skupina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00333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Předseda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82A2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Struktura</w:t>
            </w:r>
          </w:p>
        </w:tc>
      </w:tr>
      <w:tr w:rsidR="00D42929" w:rsidRPr="00C56410" w14:paraId="33E8EE6B" w14:textId="77777777" w:rsidTr="00D42929">
        <w:trPr>
          <w:trHeight w:val="464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D103" w14:textId="21490D39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096E40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pro strategii financování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843BE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sz w:val="20"/>
                <w:szCs w:val="20"/>
              </w:rPr>
              <w:t>Luděk Janoušek, VO MF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C031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sz w:val="20"/>
                <w:szCs w:val="20"/>
              </w:rPr>
              <w:t>MF, MPO, ČEZ/EDUII, ÚV (</w:t>
            </w: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existující PS)</w:t>
            </w:r>
          </w:p>
        </w:tc>
      </w:tr>
      <w:tr w:rsidR="00D42929" w:rsidRPr="00C56410" w14:paraId="35C2DCDB" w14:textId="77777777" w:rsidTr="00D42929">
        <w:trPr>
          <w:trHeight w:val="716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F57D1" w14:textId="0A8CFCA8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096E40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legislativně-právní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9158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sz w:val="20"/>
                <w:szCs w:val="20"/>
              </w:rPr>
              <w:t>Žanet Hadžić, ŘO OSŘ MMR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9B16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sz w:val="20"/>
                <w:szCs w:val="20"/>
              </w:rPr>
              <w:t>MMR, ČEZ/EDUII, SUJB, MPO, MŽP, ÚV</w:t>
            </w:r>
          </w:p>
          <w:p w14:paraId="043664BA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(existující PS)</w:t>
            </w:r>
          </w:p>
        </w:tc>
      </w:tr>
      <w:tr w:rsidR="00D42929" w:rsidRPr="00C56410" w14:paraId="7176594F" w14:textId="77777777" w:rsidTr="00D42929">
        <w:trPr>
          <w:trHeight w:val="924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F9A9F" w14:textId="5DC56E4E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="00096E40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651E5">
              <w:rPr>
                <w:rFonts w:asciiTheme="minorHAnsi" w:hAnsiTheme="minorHAnsi"/>
                <w:b/>
                <w:bCs/>
                <w:sz w:val="20"/>
                <w:szCs w:val="20"/>
              </w:rPr>
              <w:t>technicko</w:t>
            </w: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  <w:r w:rsidR="00F651E5">
              <w:rPr>
                <w:rFonts w:asciiTheme="minorHAnsi" w:hAnsiTheme="minorHAnsi"/>
                <w:b/>
                <w:bCs/>
                <w:sz w:val="20"/>
                <w:szCs w:val="20"/>
              </w:rPr>
              <w:t>investiční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902A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sz w:val="20"/>
                <w:szCs w:val="20"/>
              </w:rPr>
              <w:t xml:space="preserve">Vojtěch Michalec, </w:t>
            </w:r>
            <w:r w:rsidRPr="00CA2456">
              <w:rPr>
                <w:rFonts w:asciiTheme="minorHAnsi" w:hAnsiTheme="minorHAnsi"/>
                <w:sz w:val="20"/>
                <w:szCs w:val="20"/>
                <w:lang w:val="de-DE"/>
              </w:rPr>
              <w:t>EDUII</w:t>
            </w:r>
            <w:r w:rsidRPr="00CA245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A2456">
              <w:rPr>
                <w:rFonts w:asciiTheme="minorHAnsi" w:hAnsiTheme="minorHAnsi"/>
                <w:sz w:val="20"/>
                <w:szCs w:val="20"/>
                <w:lang w:val="de-DE"/>
              </w:rPr>
              <w:t>a. s.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68342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sz w:val="20"/>
                <w:szCs w:val="20"/>
              </w:rPr>
              <w:t>MPO, ČEZ, MD, ÚV (ev. jím nominovaný odborník na energetiku), ČEPS, SÚJB (</w:t>
            </w: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existující PS)</w:t>
            </w:r>
          </w:p>
        </w:tc>
      </w:tr>
      <w:tr w:rsidR="00D42929" w:rsidRPr="00C56410" w14:paraId="03D6051B" w14:textId="77777777" w:rsidTr="00D42929">
        <w:trPr>
          <w:trHeight w:val="1204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D1FD6" w14:textId="7A2585CB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  <w:r w:rsidR="00096E40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pro uplatnitelnost malých a</w:t>
            </w:r>
            <w:r w:rsidR="000A060F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středních modulárních reaktorů v</w:t>
            </w:r>
            <w:r w:rsidR="000A060F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České republice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438F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sz w:val="20"/>
                <w:szCs w:val="20"/>
              </w:rPr>
              <w:t>Jan Prášil, ŘO MPO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B796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sz w:val="20"/>
                <w:szCs w:val="20"/>
              </w:rPr>
              <w:t>MMR, ČEZ/EDUII, SUJB, MPO, MŽP, ÚV, ÚJV</w:t>
            </w:r>
          </w:p>
          <w:p w14:paraId="62EEF265" w14:textId="3BF87912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(nově navrhovaná</w:t>
            </w:r>
            <w:r w:rsidRPr="00CA245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CA2456">
              <w:rPr>
                <w:rFonts w:asciiTheme="minorHAnsi" w:hAnsiTheme="minorHAnsi"/>
                <w:i/>
                <w:iCs/>
                <w:sz w:val="20"/>
                <w:szCs w:val="20"/>
              </w:rPr>
              <w:t>zřízena MPO v</w:t>
            </w:r>
            <w:r w:rsidR="000A060F">
              <w:rPr>
                <w:rFonts w:asciiTheme="minorHAnsi" w:hAnsiTheme="minorHAnsi"/>
                <w:i/>
                <w:iCs/>
                <w:sz w:val="20"/>
                <w:szCs w:val="20"/>
              </w:rPr>
              <w:t> </w:t>
            </w:r>
            <w:r w:rsidRPr="00CA2456">
              <w:rPr>
                <w:rFonts w:asciiTheme="minorHAnsi" w:hAnsiTheme="minorHAnsi"/>
                <w:i/>
                <w:iCs/>
                <w:sz w:val="20"/>
                <w:szCs w:val="20"/>
              </w:rPr>
              <w:t>rámci pracovní skupiny technické k</w:t>
            </w:r>
            <w:r w:rsidR="000A060F">
              <w:rPr>
                <w:rFonts w:asciiTheme="minorHAnsi" w:hAnsiTheme="minorHAnsi"/>
                <w:i/>
                <w:iCs/>
                <w:sz w:val="20"/>
                <w:szCs w:val="20"/>
              </w:rPr>
              <w:t> </w:t>
            </w:r>
            <w:r w:rsidRPr="00CA2456">
              <w:rPr>
                <w:rFonts w:asciiTheme="minorHAnsi" w:hAnsiTheme="minorHAnsi"/>
                <w:i/>
                <w:iCs/>
                <w:sz w:val="20"/>
                <w:szCs w:val="20"/>
              </w:rPr>
              <w:t>25. 11. 2021</w:t>
            </w:r>
            <w:r w:rsidRPr="00CA2456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  <w:tr w:rsidR="00D42929" w:rsidRPr="00C56410" w14:paraId="370D7A48" w14:textId="77777777" w:rsidTr="00D42929">
        <w:trPr>
          <w:trHeight w:val="1064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E8C50" w14:textId="0C8AA653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="00096E40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pro zajištění lidských zdrojů pro rozvoj jaderné energetiky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B90C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sz w:val="20"/>
                <w:szCs w:val="20"/>
              </w:rPr>
              <w:t>Jan Mareš, NM MŠMT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CCEFD" w14:textId="77777777" w:rsidR="00D42929" w:rsidRPr="00CA2456" w:rsidRDefault="00D42929" w:rsidP="00473EA8">
            <w:pPr>
              <w:pStyle w:val="Odstavecseseznamem"/>
              <w:spacing w:before="160" w:line="293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2456">
              <w:rPr>
                <w:rFonts w:asciiTheme="minorHAnsi" w:hAnsiTheme="minorHAnsi"/>
                <w:sz w:val="20"/>
                <w:szCs w:val="20"/>
              </w:rPr>
              <w:t xml:space="preserve">MŠMT, MPO, MPSV, ČEZ/EDUII, ČSZE, CPIA, SPS, HKČR, zástupci VŠ </w:t>
            </w:r>
            <w:r w:rsidRPr="00CA2456">
              <w:rPr>
                <w:rFonts w:asciiTheme="minorHAnsi" w:hAnsiTheme="minorHAnsi"/>
                <w:b/>
                <w:bCs/>
                <w:sz w:val="20"/>
                <w:szCs w:val="20"/>
              </w:rPr>
              <w:t>(nově navrhovaná)</w:t>
            </w:r>
          </w:p>
        </w:tc>
      </w:tr>
    </w:tbl>
    <w:p w14:paraId="5996720F" w14:textId="77777777" w:rsidR="00D42929" w:rsidRPr="00C56410" w:rsidRDefault="00D42929" w:rsidP="00473EA8">
      <w:pPr>
        <w:pStyle w:val="Odstavecseseznamem"/>
        <w:spacing w:before="160" w:line="293" w:lineRule="auto"/>
        <w:ind w:left="882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406AC257" w14:textId="4C0057C1" w:rsidR="003449C6" w:rsidRPr="00C56410" w:rsidRDefault="00CE3FF7" w:rsidP="00473EA8">
      <w:pPr>
        <w:pStyle w:val="Odstavecseseznamem"/>
        <w:numPr>
          <w:ilvl w:val="0"/>
          <w:numId w:val="6"/>
        </w:numPr>
        <w:spacing w:before="160" w:line="293" w:lineRule="auto"/>
        <w:ind w:left="882" w:hanging="448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56410">
        <w:rPr>
          <w:rFonts w:asciiTheme="minorHAnsi" w:hAnsiTheme="minorHAnsi"/>
          <w:b/>
          <w:sz w:val="22"/>
          <w:szCs w:val="22"/>
        </w:rPr>
        <w:t>NJZ EDU II</w:t>
      </w:r>
    </w:p>
    <w:p w14:paraId="50B9B3D5" w14:textId="0C8DBC92" w:rsidR="004B0B71" w:rsidRPr="004827DE" w:rsidRDefault="00926395" w:rsidP="00AD3709">
      <w:pPr>
        <w:spacing w:before="160" w:line="293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4827DE">
        <w:rPr>
          <w:rFonts w:asciiTheme="minorHAnsi" w:hAnsiTheme="minorHAnsi"/>
          <w:sz w:val="22"/>
          <w:szCs w:val="22"/>
        </w:rPr>
        <w:t xml:space="preserve">Zástupce investora </w:t>
      </w:r>
      <w:r w:rsidR="00072522" w:rsidRPr="004827DE">
        <w:rPr>
          <w:rFonts w:asciiTheme="minorHAnsi" w:hAnsiTheme="minorHAnsi"/>
          <w:sz w:val="22"/>
          <w:szCs w:val="22"/>
        </w:rPr>
        <w:t>informoval o</w:t>
      </w:r>
      <w:r w:rsidR="000A060F">
        <w:rPr>
          <w:rFonts w:asciiTheme="minorHAnsi" w:hAnsiTheme="minorHAnsi"/>
          <w:sz w:val="22"/>
          <w:szCs w:val="22"/>
        </w:rPr>
        <w:t> </w:t>
      </w:r>
      <w:r w:rsidR="00072522" w:rsidRPr="004827DE">
        <w:rPr>
          <w:rFonts w:asciiTheme="minorHAnsi" w:hAnsiTheme="minorHAnsi"/>
          <w:sz w:val="22"/>
          <w:szCs w:val="22"/>
        </w:rPr>
        <w:t>aktuální</w:t>
      </w:r>
      <w:r w:rsidR="00FF3E32" w:rsidRPr="004827DE">
        <w:rPr>
          <w:rFonts w:asciiTheme="minorHAnsi" w:hAnsiTheme="minorHAnsi"/>
          <w:sz w:val="22"/>
          <w:szCs w:val="22"/>
        </w:rPr>
        <w:t>m</w:t>
      </w:r>
      <w:r w:rsidR="00072522" w:rsidRPr="004827DE">
        <w:rPr>
          <w:rFonts w:asciiTheme="minorHAnsi" w:hAnsiTheme="minorHAnsi"/>
          <w:sz w:val="22"/>
          <w:szCs w:val="22"/>
        </w:rPr>
        <w:t xml:space="preserve"> průběhu výběrového řízení na dodavatele NJZ EDU</w:t>
      </w:r>
      <w:r w:rsidR="00FF3E32" w:rsidRPr="004827DE">
        <w:rPr>
          <w:rFonts w:asciiTheme="minorHAnsi" w:hAnsiTheme="minorHAnsi"/>
          <w:i/>
          <w:sz w:val="22"/>
          <w:szCs w:val="22"/>
        </w:rPr>
        <w:t> </w:t>
      </w:r>
      <w:r w:rsidR="00072522" w:rsidRPr="004827DE">
        <w:rPr>
          <w:rFonts w:asciiTheme="minorHAnsi" w:hAnsiTheme="minorHAnsi"/>
          <w:sz w:val="22"/>
          <w:szCs w:val="22"/>
        </w:rPr>
        <w:t xml:space="preserve">II. </w:t>
      </w:r>
    </w:p>
    <w:p w14:paraId="1C87B570" w14:textId="13548BD7" w:rsidR="006555C5" w:rsidRPr="004827DE" w:rsidRDefault="006555C5" w:rsidP="00AD3709">
      <w:pPr>
        <w:spacing w:before="160" w:line="293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4827DE">
        <w:rPr>
          <w:rFonts w:asciiTheme="minorHAnsi" w:hAnsiTheme="minorHAnsi"/>
          <w:sz w:val="22"/>
          <w:szCs w:val="22"/>
        </w:rPr>
        <w:t xml:space="preserve">SVVNJZ na </w:t>
      </w:r>
      <w:r w:rsidR="007030C5" w:rsidRPr="004827DE">
        <w:rPr>
          <w:rFonts w:asciiTheme="minorHAnsi" w:hAnsiTheme="minorHAnsi"/>
          <w:sz w:val="22"/>
          <w:szCs w:val="22"/>
        </w:rPr>
        <w:t>6</w:t>
      </w:r>
      <w:r w:rsidRPr="004827DE">
        <w:rPr>
          <w:rFonts w:asciiTheme="minorHAnsi" w:hAnsiTheme="minorHAnsi"/>
          <w:sz w:val="22"/>
          <w:szCs w:val="22"/>
        </w:rPr>
        <w:t xml:space="preserve">. </w:t>
      </w:r>
      <w:r w:rsidR="007030C5" w:rsidRPr="004827DE">
        <w:rPr>
          <w:rFonts w:asciiTheme="minorHAnsi" w:hAnsiTheme="minorHAnsi"/>
          <w:sz w:val="22"/>
          <w:szCs w:val="22"/>
        </w:rPr>
        <w:t>jednání</w:t>
      </w:r>
      <w:r w:rsidRPr="004827DE">
        <w:rPr>
          <w:rFonts w:asciiTheme="minorHAnsi" w:hAnsiTheme="minorHAnsi"/>
          <w:sz w:val="22"/>
          <w:szCs w:val="22"/>
        </w:rPr>
        <w:t xml:space="preserve"> </w:t>
      </w:r>
      <w:r w:rsidR="000012FC" w:rsidRPr="004827DE">
        <w:rPr>
          <w:rFonts w:asciiTheme="minorHAnsi" w:hAnsiTheme="minorHAnsi"/>
          <w:sz w:val="22"/>
          <w:szCs w:val="22"/>
        </w:rPr>
        <w:t>s</w:t>
      </w:r>
      <w:r w:rsidRPr="004827DE">
        <w:rPr>
          <w:rFonts w:asciiTheme="minorHAnsi" w:hAnsiTheme="minorHAnsi"/>
          <w:sz w:val="22"/>
          <w:szCs w:val="22"/>
        </w:rPr>
        <w:t>chválil následující usnesení:</w:t>
      </w:r>
    </w:p>
    <w:p w14:paraId="5BEFB505" w14:textId="78306821" w:rsidR="00072522" w:rsidRPr="006D1171" w:rsidRDefault="00072522" w:rsidP="00AD3709">
      <w:pPr>
        <w:pStyle w:val="Odstavecseseznamem"/>
        <w:numPr>
          <w:ilvl w:val="0"/>
          <w:numId w:val="38"/>
        </w:numPr>
        <w:spacing w:before="160" w:line="293" w:lineRule="auto"/>
        <w:ind w:left="851" w:hanging="322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6D1171">
        <w:rPr>
          <w:rFonts w:asciiTheme="minorHAnsi" w:hAnsiTheme="minorHAnsi"/>
          <w:i/>
          <w:sz w:val="22"/>
          <w:szCs w:val="22"/>
        </w:rPr>
        <w:t>SVVNJZ v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souladu s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čl. 7 Statutu schvaluje pracovní skupiny, jejich předsedy, strukturu a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mandát/agendu dle uvedeného návrhu.</w:t>
      </w:r>
    </w:p>
    <w:p w14:paraId="17B4882B" w14:textId="3E1B6F15" w:rsidR="00072522" w:rsidRPr="006D1171" w:rsidRDefault="00072522" w:rsidP="00AD3709">
      <w:pPr>
        <w:pStyle w:val="Odstavecseseznamem"/>
        <w:numPr>
          <w:ilvl w:val="0"/>
          <w:numId w:val="38"/>
        </w:numPr>
        <w:spacing w:before="160" w:line="293" w:lineRule="auto"/>
        <w:ind w:left="851" w:hanging="322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6D1171">
        <w:rPr>
          <w:rFonts w:asciiTheme="minorHAnsi" w:hAnsiTheme="minorHAnsi"/>
          <w:i/>
          <w:sz w:val="22"/>
          <w:szCs w:val="22"/>
        </w:rPr>
        <w:t>SVVNJZ bere na vědomí informaci o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přípravě dalších NJZ a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ukládá pracovní skupině pro</w:t>
      </w:r>
      <w:r w:rsidR="000168C9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strategii financování a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 xml:space="preserve">pracovní skupině </w:t>
      </w:r>
      <w:proofErr w:type="spellStart"/>
      <w:r w:rsidR="00F651E5" w:rsidRPr="00F651E5">
        <w:rPr>
          <w:rFonts w:asciiTheme="minorHAnsi" w:hAnsiTheme="minorHAnsi"/>
          <w:i/>
          <w:sz w:val="22"/>
          <w:szCs w:val="22"/>
        </w:rPr>
        <w:t>technicko</w:t>
      </w:r>
      <w:proofErr w:type="spellEnd"/>
      <w:r w:rsidR="00F651E5" w:rsidRPr="00F651E5">
        <w:rPr>
          <w:rFonts w:asciiTheme="minorHAnsi" w:hAnsiTheme="minorHAnsi"/>
          <w:i/>
          <w:sz w:val="22"/>
          <w:szCs w:val="22"/>
        </w:rPr>
        <w:t xml:space="preserve"> – investičn</w:t>
      </w:r>
      <w:r w:rsidR="00F651E5">
        <w:rPr>
          <w:rFonts w:asciiTheme="minorHAnsi" w:hAnsiTheme="minorHAnsi"/>
          <w:i/>
          <w:sz w:val="22"/>
          <w:szCs w:val="22"/>
        </w:rPr>
        <w:t>í</w:t>
      </w:r>
      <w:r w:rsidRPr="006D1171">
        <w:rPr>
          <w:rFonts w:asciiTheme="minorHAnsi" w:hAnsiTheme="minorHAnsi"/>
          <w:i/>
          <w:sz w:val="22"/>
          <w:szCs w:val="22"/>
        </w:rPr>
        <w:t xml:space="preserve"> předložit obecně-technický podkladový materiál pro rozhodnutí o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dalších blocích ve stávajících jaderných lokalitách Temelín a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Dukovany do konce roku 2022 a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do konce března 2023 předložit finální verzi materiálu doplněnou o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informace z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úvodních nabídek a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notifikace veřejné podpory. Přípravu materiálu bude koordinovat MPO.</w:t>
      </w:r>
    </w:p>
    <w:p w14:paraId="73343B55" w14:textId="6DB1447F" w:rsidR="00072522" w:rsidRPr="006D1171" w:rsidRDefault="00AE0571" w:rsidP="00AD3709">
      <w:pPr>
        <w:pStyle w:val="Odstavecseseznamem"/>
        <w:spacing w:before="160" w:line="293" w:lineRule="auto"/>
        <w:ind w:left="851" w:firstLine="28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AE0571">
        <w:rPr>
          <w:rFonts w:asciiTheme="minorHAnsi" w:hAnsiTheme="minorHAnsi"/>
          <w:i/>
          <w:sz w:val="22"/>
          <w:szCs w:val="22"/>
        </w:rPr>
        <w:t>Zodpovídá</w:t>
      </w:r>
      <w:r w:rsidR="00072522" w:rsidRPr="00AE0571">
        <w:rPr>
          <w:rFonts w:asciiTheme="minorHAnsi" w:hAnsiTheme="minorHAnsi"/>
          <w:i/>
          <w:sz w:val="22"/>
          <w:szCs w:val="22"/>
        </w:rPr>
        <w:t xml:space="preserve"> MPO</w:t>
      </w:r>
      <w:r w:rsidR="00072522" w:rsidRPr="006D1171">
        <w:rPr>
          <w:rFonts w:asciiTheme="minorHAnsi" w:hAnsiTheme="minorHAnsi"/>
          <w:i/>
          <w:sz w:val="22"/>
          <w:szCs w:val="22"/>
        </w:rPr>
        <w:t>, ČEZ, PS pro strategii financování a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="00072522" w:rsidRPr="006D1171">
        <w:rPr>
          <w:rFonts w:asciiTheme="minorHAnsi" w:hAnsiTheme="minorHAnsi"/>
          <w:i/>
          <w:sz w:val="22"/>
          <w:szCs w:val="22"/>
        </w:rPr>
        <w:t xml:space="preserve">PS </w:t>
      </w:r>
      <w:proofErr w:type="spellStart"/>
      <w:r w:rsidR="00F651E5" w:rsidRPr="00F651E5">
        <w:rPr>
          <w:rFonts w:asciiTheme="minorHAnsi" w:hAnsiTheme="minorHAnsi"/>
          <w:i/>
          <w:sz w:val="22"/>
          <w:szCs w:val="22"/>
        </w:rPr>
        <w:t>technicko</w:t>
      </w:r>
      <w:proofErr w:type="spellEnd"/>
      <w:r w:rsidR="00F651E5" w:rsidRPr="00F651E5">
        <w:rPr>
          <w:rFonts w:asciiTheme="minorHAnsi" w:hAnsiTheme="minorHAnsi"/>
          <w:i/>
          <w:sz w:val="22"/>
          <w:szCs w:val="22"/>
        </w:rPr>
        <w:t xml:space="preserve"> – investičn</w:t>
      </w:r>
      <w:r w:rsidR="00F651E5">
        <w:rPr>
          <w:rFonts w:asciiTheme="minorHAnsi" w:hAnsiTheme="minorHAnsi"/>
          <w:i/>
          <w:sz w:val="22"/>
          <w:szCs w:val="22"/>
        </w:rPr>
        <w:t>í</w:t>
      </w:r>
    </w:p>
    <w:p w14:paraId="0552DDCE" w14:textId="23099101" w:rsidR="00072522" w:rsidRPr="006D1171" w:rsidRDefault="00072522" w:rsidP="00AD3709">
      <w:pPr>
        <w:pStyle w:val="Odstavecseseznamem"/>
        <w:numPr>
          <w:ilvl w:val="0"/>
          <w:numId w:val="38"/>
        </w:numPr>
        <w:spacing w:before="160" w:line="293" w:lineRule="auto"/>
        <w:ind w:left="851" w:hanging="294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6D1171">
        <w:rPr>
          <w:rFonts w:asciiTheme="minorHAnsi" w:hAnsiTheme="minorHAnsi"/>
          <w:i/>
          <w:sz w:val="22"/>
          <w:szCs w:val="22"/>
        </w:rPr>
        <w:t>SVVNJZ bere na vědomí informaci o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činnostech MPO a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práci PS SMR a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ukládá ji v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návaznosti na programové prohlášení vlády ČR vypracovat koncepci využití SMR v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ČR (vstup do Státní energetické koncepce a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Národního akčního plánu rozvoje jaderné energetiky v</w:t>
      </w:r>
      <w:r w:rsidR="000A060F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ČR) do</w:t>
      </w:r>
      <w:r w:rsidR="000168C9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30.</w:t>
      </w:r>
      <w:r w:rsidR="000168C9">
        <w:rPr>
          <w:rFonts w:asciiTheme="minorHAnsi" w:hAnsiTheme="minorHAnsi"/>
          <w:i/>
          <w:sz w:val="22"/>
          <w:szCs w:val="22"/>
        </w:rPr>
        <w:t> </w:t>
      </w:r>
      <w:r w:rsidRPr="006D1171">
        <w:rPr>
          <w:rFonts w:asciiTheme="minorHAnsi" w:hAnsiTheme="minorHAnsi"/>
          <w:i/>
          <w:sz w:val="22"/>
          <w:szCs w:val="22"/>
        </w:rPr>
        <w:t>dubna 2023. Přípravu materiálu bude koordinovat MPO.</w:t>
      </w:r>
    </w:p>
    <w:p w14:paraId="5713ECFE" w14:textId="3C67CA78" w:rsidR="00072522" w:rsidRDefault="00072522" w:rsidP="00AD3709">
      <w:pPr>
        <w:pStyle w:val="Odstavecseseznamem"/>
        <w:spacing w:before="160" w:line="293" w:lineRule="auto"/>
        <w:ind w:left="851" w:firstLine="44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AE0571">
        <w:rPr>
          <w:rFonts w:asciiTheme="minorHAnsi" w:hAnsiTheme="minorHAnsi"/>
          <w:i/>
          <w:sz w:val="22"/>
          <w:szCs w:val="22"/>
        </w:rPr>
        <w:t>Z</w:t>
      </w:r>
      <w:r w:rsidR="00AE0571" w:rsidRPr="00AE0571">
        <w:rPr>
          <w:rFonts w:asciiTheme="minorHAnsi" w:hAnsiTheme="minorHAnsi"/>
          <w:i/>
          <w:sz w:val="22"/>
          <w:szCs w:val="22"/>
        </w:rPr>
        <w:t>odpovídá</w:t>
      </w:r>
      <w:r w:rsidRPr="00AE0571">
        <w:rPr>
          <w:rFonts w:asciiTheme="minorHAnsi" w:hAnsiTheme="minorHAnsi"/>
          <w:i/>
          <w:sz w:val="22"/>
          <w:szCs w:val="22"/>
        </w:rPr>
        <w:t>:</w:t>
      </w:r>
      <w:r w:rsidRPr="006D1171">
        <w:rPr>
          <w:rFonts w:asciiTheme="minorHAnsi" w:hAnsiTheme="minorHAnsi"/>
          <w:i/>
          <w:sz w:val="22"/>
          <w:szCs w:val="22"/>
        </w:rPr>
        <w:t xml:space="preserve"> PS SMR, MPO</w:t>
      </w:r>
    </w:p>
    <w:p w14:paraId="58FE1F99" w14:textId="77777777" w:rsidR="002E1218" w:rsidRPr="006D1171" w:rsidRDefault="002E1218" w:rsidP="00AD3709">
      <w:pPr>
        <w:pStyle w:val="Odstavecseseznamem"/>
        <w:spacing w:before="160" w:line="293" w:lineRule="auto"/>
        <w:ind w:left="851" w:firstLine="44"/>
        <w:contextualSpacing w:val="0"/>
        <w:jc w:val="both"/>
        <w:rPr>
          <w:rFonts w:asciiTheme="minorHAnsi" w:hAnsiTheme="minorHAnsi"/>
          <w:i/>
          <w:sz w:val="22"/>
          <w:szCs w:val="22"/>
        </w:rPr>
      </w:pPr>
    </w:p>
    <w:p w14:paraId="7AAC70A5" w14:textId="6C8AB37E" w:rsidR="002274E7" w:rsidRPr="00C56410" w:rsidRDefault="002274E7" w:rsidP="00473EA8">
      <w:pPr>
        <w:pStyle w:val="Odstavecseseznamem"/>
        <w:numPr>
          <w:ilvl w:val="0"/>
          <w:numId w:val="6"/>
        </w:numPr>
        <w:spacing w:before="160" w:line="293" w:lineRule="auto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56410">
        <w:rPr>
          <w:rFonts w:asciiTheme="minorHAnsi" w:hAnsiTheme="minorHAnsi"/>
          <w:b/>
          <w:sz w:val="22"/>
          <w:szCs w:val="22"/>
        </w:rPr>
        <w:lastRenderedPageBreak/>
        <w:t>Další NJZ</w:t>
      </w:r>
    </w:p>
    <w:p w14:paraId="6696A7E9" w14:textId="22347210" w:rsidR="002274E7" w:rsidRPr="00605625" w:rsidRDefault="002274E7" w:rsidP="00AD3709">
      <w:pPr>
        <w:spacing w:before="160" w:line="293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4827DE">
        <w:rPr>
          <w:rFonts w:asciiTheme="minorHAnsi" w:hAnsiTheme="minorHAnsi"/>
          <w:sz w:val="22"/>
          <w:szCs w:val="22"/>
        </w:rPr>
        <w:t>Na základě provedených a</w:t>
      </w:r>
      <w:r w:rsidRPr="00605625">
        <w:rPr>
          <w:rFonts w:asciiTheme="minorHAnsi" w:hAnsiTheme="minorHAnsi"/>
          <w:sz w:val="22"/>
          <w:szCs w:val="22"/>
        </w:rPr>
        <w:t>nalýz ČEPS je zřejmé, že</w:t>
      </w:r>
      <w:r w:rsidR="00C56079" w:rsidRPr="00605625">
        <w:rPr>
          <w:rFonts w:asciiTheme="minorHAnsi" w:hAnsiTheme="minorHAnsi"/>
          <w:sz w:val="22"/>
          <w:szCs w:val="22"/>
        </w:rPr>
        <w:t xml:space="preserve"> elektrizační soustava ČR (ES ČR) se k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="00C56079" w:rsidRPr="00605625">
        <w:rPr>
          <w:rFonts w:asciiTheme="minorHAnsi" w:hAnsiTheme="minorHAnsi"/>
          <w:sz w:val="22"/>
          <w:szCs w:val="22"/>
        </w:rPr>
        <w:t xml:space="preserve">horizontu roku 2040 </w:t>
      </w:r>
      <w:r w:rsidRPr="00605625">
        <w:rPr>
          <w:rFonts w:asciiTheme="minorHAnsi" w:hAnsiTheme="minorHAnsi"/>
          <w:sz w:val="22"/>
          <w:szCs w:val="22"/>
        </w:rPr>
        <w:t>st</w:t>
      </w:r>
      <w:r w:rsidR="00FF3E32" w:rsidRPr="00605625">
        <w:rPr>
          <w:rFonts w:asciiTheme="minorHAnsi" w:hAnsiTheme="minorHAnsi"/>
          <w:sz w:val="22"/>
          <w:szCs w:val="22"/>
        </w:rPr>
        <w:t>a</w:t>
      </w:r>
      <w:r w:rsidR="006D1171" w:rsidRPr="00605625">
        <w:rPr>
          <w:rFonts w:asciiTheme="minorHAnsi" w:hAnsiTheme="minorHAnsi"/>
          <w:sz w:val="22"/>
          <w:szCs w:val="22"/>
        </w:rPr>
        <w:t>ne</w:t>
      </w:r>
      <w:r w:rsidRPr="00605625">
        <w:rPr>
          <w:rFonts w:asciiTheme="minorHAnsi" w:hAnsiTheme="minorHAnsi"/>
          <w:sz w:val="22"/>
          <w:szCs w:val="22"/>
        </w:rPr>
        <w:t xml:space="preserve"> silně deficitní soustavou</w:t>
      </w:r>
      <w:r w:rsidR="000168C9">
        <w:rPr>
          <w:rFonts w:asciiTheme="minorHAnsi" w:hAnsiTheme="minorHAnsi"/>
          <w:sz w:val="22"/>
          <w:szCs w:val="22"/>
        </w:rPr>
        <w:t>.</w:t>
      </w:r>
      <w:r w:rsidRPr="00605625">
        <w:rPr>
          <w:rFonts w:asciiTheme="minorHAnsi" w:hAnsiTheme="minorHAnsi"/>
          <w:sz w:val="22"/>
          <w:szCs w:val="22"/>
        </w:rPr>
        <w:t xml:space="preserve"> </w:t>
      </w:r>
      <w:r w:rsidR="000168C9">
        <w:rPr>
          <w:rFonts w:asciiTheme="minorHAnsi" w:hAnsiTheme="minorHAnsi"/>
          <w:sz w:val="22"/>
          <w:szCs w:val="22"/>
        </w:rPr>
        <w:t>C</w:t>
      </w:r>
      <w:r w:rsidRPr="00605625">
        <w:rPr>
          <w:rFonts w:asciiTheme="minorHAnsi" w:hAnsiTheme="minorHAnsi"/>
          <w:sz w:val="22"/>
          <w:szCs w:val="22"/>
        </w:rPr>
        <w:t>hybějící energie pro pokrytí tuzemské poptávky přesahuje 25</w:t>
      </w:r>
      <w:r w:rsidR="000475EC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TWh, což je výrazně za hranicí technických možností PS</w:t>
      </w:r>
      <w:r w:rsidR="006D1171" w:rsidRPr="00605625">
        <w:rPr>
          <w:rFonts w:asciiTheme="minorHAnsi" w:hAnsiTheme="minorHAnsi"/>
          <w:sz w:val="22"/>
          <w:szCs w:val="22"/>
        </w:rPr>
        <w:t xml:space="preserve"> (přenosové soustavy)</w:t>
      </w:r>
      <w:r w:rsidRPr="00605625">
        <w:rPr>
          <w:rFonts w:asciiTheme="minorHAnsi" w:hAnsiTheme="minorHAnsi"/>
          <w:sz w:val="22"/>
          <w:szCs w:val="22"/>
        </w:rPr>
        <w:t xml:space="preserve"> pro</w:t>
      </w:r>
      <w:r w:rsidR="000168C9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import elektřiny. S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ohledem na aktuální situaci a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energetickou politiku EU s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důrazem na</w:t>
      </w:r>
      <w:r w:rsidR="000168C9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odklon od fosilních paliv bude hlavní prioritou pro sousední státy na pokrytí vlastních rostoucích národních potřeb. Tím se výrazně snižuje možnost garantovaného importu ze zahraničí a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nedostatek energie bude muset být řešen v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rámci ES ČR s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využitím technických</w:t>
      </w:r>
      <w:r w:rsidR="00C56079" w:rsidRPr="00605625">
        <w:rPr>
          <w:rFonts w:asciiTheme="minorHAnsi" w:hAnsiTheme="minorHAnsi"/>
          <w:sz w:val="22"/>
          <w:szCs w:val="22"/>
        </w:rPr>
        <w:t xml:space="preserve"> </w:t>
      </w:r>
      <w:r w:rsidRPr="00605625">
        <w:rPr>
          <w:rFonts w:asciiTheme="minorHAnsi" w:hAnsiTheme="minorHAnsi"/>
          <w:sz w:val="22"/>
          <w:szCs w:val="22"/>
        </w:rPr>
        <w:t>a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organizačních opatření (regulační a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vypínací plány, popř. i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stavy nouze).</w:t>
      </w:r>
      <w:r w:rsidR="00C56079" w:rsidRPr="00605625">
        <w:rPr>
          <w:rFonts w:asciiTheme="minorHAnsi" w:hAnsiTheme="minorHAnsi"/>
          <w:sz w:val="22"/>
          <w:szCs w:val="22"/>
        </w:rPr>
        <w:t xml:space="preserve"> </w:t>
      </w:r>
      <w:r w:rsidRPr="00605625">
        <w:rPr>
          <w:rFonts w:asciiTheme="minorHAnsi" w:hAnsiTheme="minorHAnsi"/>
          <w:sz w:val="22"/>
          <w:szCs w:val="22"/>
        </w:rPr>
        <w:t>Bez nových (jaderných) výrobních kapacit nelze zajistit energetickou soběstačnost ČR (2040-2050)</w:t>
      </w:r>
      <w:r w:rsidR="00C56079" w:rsidRPr="00605625">
        <w:rPr>
          <w:rFonts w:asciiTheme="minorHAnsi" w:hAnsiTheme="minorHAnsi"/>
          <w:sz w:val="22"/>
          <w:szCs w:val="22"/>
        </w:rPr>
        <w:t xml:space="preserve">. </w:t>
      </w:r>
      <w:r w:rsidRPr="00605625">
        <w:rPr>
          <w:rFonts w:asciiTheme="minorHAnsi" w:hAnsiTheme="minorHAnsi"/>
          <w:sz w:val="22"/>
          <w:szCs w:val="22"/>
        </w:rPr>
        <w:t>Je reálná výrazná závislost na</w:t>
      </w:r>
      <w:r w:rsidR="000168C9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dovozu elektrické energie</w:t>
      </w:r>
      <w:r w:rsidR="00C56079" w:rsidRPr="00605625">
        <w:rPr>
          <w:rFonts w:asciiTheme="minorHAnsi" w:hAnsiTheme="minorHAnsi"/>
          <w:sz w:val="22"/>
          <w:szCs w:val="22"/>
        </w:rPr>
        <w:t xml:space="preserve">, </w:t>
      </w:r>
      <w:r w:rsidRPr="00605625">
        <w:rPr>
          <w:rFonts w:asciiTheme="minorHAnsi" w:hAnsiTheme="minorHAnsi"/>
          <w:sz w:val="22"/>
          <w:szCs w:val="22"/>
        </w:rPr>
        <w:t>ČR není výkonově zabezpečená ani při dovozu elektrické energie</w:t>
      </w:r>
      <w:r w:rsidR="00C56079" w:rsidRPr="00605625">
        <w:rPr>
          <w:rFonts w:asciiTheme="minorHAnsi" w:hAnsiTheme="minorHAnsi"/>
          <w:sz w:val="22"/>
          <w:szCs w:val="22"/>
        </w:rPr>
        <w:t>.</w:t>
      </w:r>
    </w:p>
    <w:p w14:paraId="2014D9D8" w14:textId="4AABEC51" w:rsidR="002274E7" w:rsidRPr="004827DE" w:rsidRDefault="002274E7" w:rsidP="00AD3709">
      <w:pPr>
        <w:spacing w:before="160" w:line="293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05625">
        <w:rPr>
          <w:rFonts w:asciiTheme="minorHAnsi" w:hAnsiTheme="minorHAnsi"/>
          <w:sz w:val="22"/>
          <w:szCs w:val="22"/>
        </w:rPr>
        <w:t>ČEPS analyzoval optimální velikost jednotkového výkonu bloků NJZ na základě kritéria N-1 a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dospěl k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>doporučení realizovat bloky NJZ o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 xml:space="preserve">výkonu </w:t>
      </w:r>
      <w:r w:rsidR="005B50D0" w:rsidRPr="00605625">
        <w:rPr>
          <w:rFonts w:asciiTheme="minorHAnsi" w:hAnsiTheme="minorHAnsi"/>
          <w:sz w:val="22"/>
          <w:szCs w:val="22"/>
        </w:rPr>
        <w:t xml:space="preserve">do </w:t>
      </w:r>
      <w:r w:rsidRPr="00605625">
        <w:rPr>
          <w:rFonts w:asciiTheme="minorHAnsi" w:hAnsiTheme="minorHAnsi"/>
          <w:sz w:val="22"/>
          <w:szCs w:val="22"/>
        </w:rPr>
        <w:t>1200</w:t>
      </w:r>
      <w:r w:rsidR="00C56079" w:rsidRPr="00605625">
        <w:rPr>
          <w:rFonts w:asciiTheme="minorHAnsi" w:hAnsiTheme="minorHAnsi"/>
          <w:sz w:val="22"/>
          <w:szCs w:val="22"/>
        </w:rPr>
        <w:t xml:space="preserve"> </w:t>
      </w:r>
      <w:r w:rsidRPr="00605625">
        <w:rPr>
          <w:rFonts w:asciiTheme="minorHAnsi" w:hAnsiTheme="minorHAnsi"/>
          <w:sz w:val="22"/>
          <w:szCs w:val="22"/>
        </w:rPr>
        <w:t>MWe. Při uvažování principu elektroenergetické nezávislosti ČR dospěl k</w:t>
      </w:r>
      <w:r w:rsidR="000A060F" w:rsidRPr="00605625">
        <w:rPr>
          <w:rFonts w:asciiTheme="minorHAnsi" w:hAnsiTheme="minorHAnsi"/>
          <w:sz w:val="22"/>
          <w:szCs w:val="22"/>
        </w:rPr>
        <w:t> </w:t>
      </w:r>
      <w:r w:rsidRPr="00605625">
        <w:rPr>
          <w:rFonts w:asciiTheme="minorHAnsi" w:hAnsiTheme="minorHAnsi"/>
          <w:sz w:val="22"/>
          <w:szCs w:val="22"/>
        </w:rPr>
        <w:t xml:space="preserve">doporučení realizovat </w:t>
      </w:r>
      <w:r w:rsidRPr="004827DE">
        <w:rPr>
          <w:rFonts w:asciiTheme="minorHAnsi" w:hAnsiTheme="minorHAnsi"/>
          <w:sz w:val="22"/>
          <w:szCs w:val="22"/>
        </w:rPr>
        <w:t>max. 5 bloků této velikosti a</w:t>
      </w:r>
      <w:r w:rsidR="000A060F">
        <w:rPr>
          <w:rFonts w:asciiTheme="minorHAnsi" w:hAnsiTheme="minorHAnsi"/>
          <w:sz w:val="22"/>
          <w:szCs w:val="22"/>
        </w:rPr>
        <w:t> </w:t>
      </w:r>
      <w:r w:rsidRPr="004827DE">
        <w:rPr>
          <w:rFonts w:asciiTheme="minorHAnsi" w:hAnsiTheme="minorHAnsi"/>
          <w:sz w:val="22"/>
          <w:szCs w:val="22"/>
        </w:rPr>
        <w:t>pro</w:t>
      </w:r>
      <w:r w:rsidR="000168C9">
        <w:rPr>
          <w:rFonts w:asciiTheme="minorHAnsi" w:hAnsiTheme="minorHAnsi"/>
          <w:sz w:val="22"/>
          <w:szCs w:val="22"/>
        </w:rPr>
        <w:t> </w:t>
      </w:r>
      <w:r w:rsidRPr="004827DE">
        <w:rPr>
          <w:rFonts w:asciiTheme="minorHAnsi" w:hAnsiTheme="minorHAnsi"/>
          <w:sz w:val="22"/>
          <w:szCs w:val="22"/>
        </w:rPr>
        <w:t>případnou další výstavbu realizovat</w:t>
      </w:r>
      <w:r w:rsidR="005B4160">
        <w:rPr>
          <w:rFonts w:asciiTheme="minorHAnsi" w:hAnsiTheme="minorHAnsi"/>
          <w:sz w:val="22"/>
          <w:szCs w:val="22"/>
        </w:rPr>
        <w:t xml:space="preserve"> </w:t>
      </w:r>
      <w:r w:rsidR="005B4160" w:rsidRPr="004827DE">
        <w:rPr>
          <w:rFonts w:asciiTheme="minorHAnsi" w:hAnsiTheme="minorHAnsi"/>
          <w:sz w:val="22"/>
          <w:szCs w:val="22"/>
        </w:rPr>
        <w:t>SMR</w:t>
      </w:r>
      <w:r w:rsidRPr="004827DE">
        <w:rPr>
          <w:rFonts w:asciiTheme="minorHAnsi" w:hAnsiTheme="minorHAnsi"/>
          <w:sz w:val="22"/>
          <w:szCs w:val="22"/>
        </w:rPr>
        <w:t xml:space="preserve"> bloky s</w:t>
      </w:r>
      <w:r w:rsidR="000A060F">
        <w:rPr>
          <w:rFonts w:asciiTheme="minorHAnsi" w:hAnsiTheme="minorHAnsi"/>
          <w:sz w:val="22"/>
          <w:szCs w:val="22"/>
        </w:rPr>
        <w:t> </w:t>
      </w:r>
      <w:bookmarkStart w:id="1" w:name="_GoBack"/>
      <w:r w:rsidRPr="004827DE">
        <w:rPr>
          <w:rFonts w:asciiTheme="minorHAnsi" w:hAnsiTheme="minorHAnsi"/>
          <w:sz w:val="22"/>
          <w:szCs w:val="22"/>
        </w:rPr>
        <w:t>nižším jednotkovým výkonem od 50</w:t>
      </w:r>
      <w:r w:rsidR="00C56079" w:rsidRPr="004827DE">
        <w:rPr>
          <w:rFonts w:asciiTheme="minorHAnsi" w:hAnsiTheme="minorHAnsi"/>
          <w:sz w:val="22"/>
          <w:szCs w:val="22"/>
        </w:rPr>
        <w:t xml:space="preserve"> </w:t>
      </w:r>
      <w:r w:rsidRPr="004827DE">
        <w:rPr>
          <w:rFonts w:asciiTheme="minorHAnsi" w:hAnsiTheme="minorHAnsi"/>
          <w:sz w:val="22"/>
          <w:szCs w:val="22"/>
        </w:rPr>
        <w:t>MWe do 300</w:t>
      </w:r>
      <w:r w:rsidR="00C56079" w:rsidRPr="004827DE">
        <w:rPr>
          <w:rFonts w:asciiTheme="minorHAnsi" w:hAnsiTheme="minorHAnsi"/>
          <w:sz w:val="22"/>
          <w:szCs w:val="22"/>
        </w:rPr>
        <w:t xml:space="preserve"> </w:t>
      </w:r>
      <w:r w:rsidRPr="004827DE">
        <w:rPr>
          <w:rFonts w:asciiTheme="minorHAnsi" w:hAnsiTheme="minorHAnsi"/>
          <w:sz w:val="22"/>
          <w:szCs w:val="22"/>
        </w:rPr>
        <w:t>MWe</w:t>
      </w:r>
      <w:r w:rsidR="00C56079" w:rsidRPr="004827DE">
        <w:rPr>
          <w:rFonts w:asciiTheme="minorHAnsi" w:hAnsiTheme="minorHAnsi"/>
          <w:sz w:val="22"/>
          <w:szCs w:val="22"/>
        </w:rPr>
        <w:t>. Výbor proto rozhodl o</w:t>
      </w:r>
      <w:r w:rsidR="000A060F">
        <w:rPr>
          <w:rFonts w:asciiTheme="minorHAnsi" w:hAnsiTheme="minorHAnsi"/>
          <w:sz w:val="22"/>
          <w:szCs w:val="22"/>
        </w:rPr>
        <w:t> </w:t>
      </w:r>
      <w:r w:rsidR="00C56079" w:rsidRPr="004827DE">
        <w:rPr>
          <w:rFonts w:asciiTheme="minorHAnsi" w:hAnsiTheme="minorHAnsi"/>
          <w:sz w:val="22"/>
          <w:szCs w:val="22"/>
        </w:rPr>
        <w:t>p</w:t>
      </w:r>
      <w:r w:rsidRPr="004827DE">
        <w:rPr>
          <w:rFonts w:asciiTheme="minorHAnsi" w:hAnsiTheme="minorHAnsi"/>
          <w:sz w:val="22"/>
          <w:szCs w:val="22"/>
        </w:rPr>
        <w:t>ř</w:t>
      </w:r>
      <w:r w:rsidR="00C56079" w:rsidRPr="004827DE">
        <w:rPr>
          <w:rFonts w:asciiTheme="minorHAnsi" w:hAnsiTheme="minorHAnsi"/>
          <w:sz w:val="22"/>
          <w:szCs w:val="22"/>
        </w:rPr>
        <w:t>í</w:t>
      </w:r>
      <w:r w:rsidRPr="004827DE">
        <w:rPr>
          <w:rFonts w:asciiTheme="minorHAnsi" w:hAnsiTheme="minorHAnsi"/>
          <w:sz w:val="22"/>
          <w:szCs w:val="22"/>
        </w:rPr>
        <w:t>prav</w:t>
      </w:r>
      <w:r w:rsidR="00C56079" w:rsidRPr="004827DE">
        <w:rPr>
          <w:rFonts w:asciiTheme="minorHAnsi" w:hAnsiTheme="minorHAnsi"/>
          <w:sz w:val="22"/>
          <w:szCs w:val="22"/>
        </w:rPr>
        <w:t>ě</w:t>
      </w:r>
      <w:r w:rsidRPr="004827DE">
        <w:rPr>
          <w:rFonts w:asciiTheme="minorHAnsi" w:hAnsiTheme="minorHAnsi"/>
          <w:sz w:val="22"/>
          <w:szCs w:val="22"/>
        </w:rPr>
        <w:t xml:space="preserve"> pod</w:t>
      </w:r>
      <w:r w:rsidRPr="00EE18B1">
        <w:rPr>
          <w:rFonts w:asciiTheme="minorHAnsi" w:hAnsiTheme="minorHAnsi"/>
          <w:sz w:val="22"/>
          <w:szCs w:val="22"/>
        </w:rPr>
        <w:t>klad</w:t>
      </w:r>
      <w:r w:rsidR="00C56079" w:rsidRPr="00EE18B1">
        <w:rPr>
          <w:rFonts w:asciiTheme="minorHAnsi" w:hAnsiTheme="minorHAnsi"/>
          <w:sz w:val="22"/>
          <w:szCs w:val="22"/>
        </w:rPr>
        <w:t>ů</w:t>
      </w:r>
      <w:r w:rsidRPr="00EE18B1">
        <w:rPr>
          <w:rFonts w:asciiTheme="minorHAnsi" w:hAnsiTheme="minorHAnsi"/>
          <w:sz w:val="22"/>
          <w:szCs w:val="22"/>
        </w:rPr>
        <w:t xml:space="preserve"> pro rozhodnutí o</w:t>
      </w:r>
      <w:r w:rsidR="000A060F" w:rsidRPr="00EE18B1">
        <w:rPr>
          <w:rFonts w:asciiTheme="minorHAnsi" w:hAnsiTheme="minorHAnsi"/>
          <w:sz w:val="22"/>
          <w:szCs w:val="22"/>
        </w:rPr>
        <w:t> </w:t>
      </w:r>
      <w:r w:rsidRPr="00EE18B1">
        <w:rPr>
          <w:rFonts w:asciiTheme="minorHAnsi" w:hAnsiTheme="minorHAnsi"/>
          <w:sz w:val="22"/>
          <w:szCs w:val="22"/>
        </w:rPr>
        <w:t>dalších blocích ve</w:t>
      </w:r>
      <w:r w:rsidR="000168C9" w:rsidRPr="00EE18B1">
        <w:rPr>
          <w:rFonts w:asciiTheme="minorHAnsi" w:hAnsiTheme="minorHAnsi"/>
          <w:sz w:val="22"/>
          <w:szCs w:val="22"/>
        </w:rPr>
        <w:t> </w:t>
      </w:r>
      <w:r w:rsidRPr="00EE18B1">
        <w:rPr>
          <w:rFonts w:asciiTheme="minorHAnsi" w:hAnsiTheme="minorHAnsi"/>
          <w:sz w:val="22"/>
          <w:szCs w:val="22"/>
        </w:rPr>
        <w:t>stávajících jaderných lokalitách Temelín a</w:t>
      </w:r>
      <w:r w:rsidR="000A060F" w:rsidRPr="00EE18B1">
        <w:rPr>
          <w:rFonts w:asciiTheme="minorHAnsi" w:hAnsiTheme="minorHAnsi"/>
          <w:sz w:val="22"/>
          <w:szCs w:val="22"/>
        </w:rPr>
        <w:t> </w:t>
      </w:r>
      <w:r w:rsidRPr="00EE18B1">
        <w:rPr>
          <w:rFonts w:asciiTheme="minorHAnsi" w:hAnsiTheme="minorHAnsi"/>
          <w:sz w:val="22"/>
          <w:szCs w:val="22"/>
        </w:rPr>
        <w:t>Dukovany</w:t>
      </w:r>
      <w:r w:rsidR="002A6756" w:rsidRPr="00EE18B1">
        <w:rPr>
          <w:rFonts w:asciiTheme="minorHAnsi" w:hAnsiTheme="minorHAnsi"/>
          <w:sz w:val="22"/>
          <w:szCs w:val="22"/>
        </w:rPr>
        <w:t>.</w:t>
      </w:r>
      <w:bookmarkEnd w:id="1"/>
    </w:p>
    <w:p w14:paraId="4D20A55B" w14:textId="068B6CA2" w:rsidR="00FB6CB0" w:rsidRPr="004827DE" w:rsidRDefault="005B4160" w:rsidP="00AD3709">
      <w:pPr>
        <w:spacing w:before="160" w:line="293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Výbor se rovněž shodl na potřebě </w:t>
      </w:r>
      <w:r w:rsidR="00FB6CB0" w:rsidRPr="004827DE">
        <w:rPr>
          <w:rFonts w:asciiTheme="minorHAnsi" w:hAnsiTheme="minorHAnsi"/>
          <w:sz w:val="22"/>
          <w:szCs w:val="22"/>
        </w:rPr>
        <w:t>nastavení efektivního legislativního rámce pro povolovací procesy NJZ a</w:t>
      </w:r>
      <w:r w:rsidR="000A060F">
        <w:rPr>
          <w:rFonts w:asciiTheme="minorHAnsi" w:hAnsiTheme="minorHAnsi"/>
          <w:sz w:val="22"/>
          <w:szCs w:val="22"/>
        </w:rPr>
        <w:t> </w:t>
      </w:r>
      <w:r w:rsidR="00FB6CB0" w:rsidRPr="004827DE">
        <w:rPr>
          <w:rFonts w:asciiTheme="minorHAnsi" w:hAnsiTheme="minorHAnsi"/>
          <w:sz w:val="22"/>
          <w:szCs w:val="22"/>
        </w:rPr>
        <w:t>připrav</w:t>
      </w:r>
      <w:r w:rsidR="00FF3E32" w:rsidRPr="004827DE">
        <w:rPr>
          <w:rFonts w:asciiTheme="minorHAnsi" w:hAnsiTheme="minorHAnsi"/>
          <w:sz w:val="22"/>
          <w:szCs w:val="22"/>
        </w:rPr>
        <w:t>ení</w:t>
      </w:r>
      <w:r w:rsidR="00FB6CB0" w:rsidRPr="004827DE">
        <w:rPr>
          <w:rFonts w:asciiTheme="minorHAnsi" w:hAnsiTheme="minorHAnsi"/>
          <w:sz w:val="22"/>
          <w:szCs w:val="22"/>
        </w:rPr>
        <w:t xml:space="preserve"> komplexní úprav</w:t>
      </w:r>
      <w:r w:rsidR="00FF3E32" w:rsidRPr="004827DE">
        <w:rPr>
          <w:rFonts w:asciiTheme="minorHAnsi" w:hAnsiTheme="minorHAnsi"/>
          <w:sz w:val="22"/>
          <w:szCs w:val="22"/>
        </w:rPr>
        <w:t>y</w:t>
      </w:r>
      <w:r w:rsidR="00FB6CB0" w:rsidRPr="004827DE">
        <w:rPr>
          <w:rFonts w:asciiTheme="minorHAnsi" w:hAnsiTheme="minorHAnsi"/>
          <w:sz w:val="22"/>
          <w:szCs w:val="22"/>
        </w:rPr>
        <w:t xml:space="preserve"> povolovacích procesů se zaměření na nízkouhlíkové zdroje</w:t>
      </w:r>
      <w:r w:rsidR="00CF6FDE" w:rsidRPr="004827DE">
        <w:rPr>
          <w:rFonts w:asciiTheme="minorHAnsi" w:hAnsiTheme="minorHAnsi"/>
          <w:sz w:val="22"/>
          <w:szCs w:val="22"/>
        </w:rPr>
        <w:t>,</w:t>
      </w:r>
      <w:r w:rsidR="00FB6CB0" w:rsidRPr="004827DE">
        <w:rPr>
          <w:rFonts w:asciiTheme="minorHAnsi" w:hAnsiTheme="minorHAnsi"/>
          <w:sz w:val="22"/>
          <w:szCs w:val="22"/>
        </w:rPr>
        <w:t xml:space="preserve"> a</w:t>
      </w:r>
      <w:r w:rsidR="000A060F">
        <w:rPr>
          <w:rFonts w:asciiTheme="minorHAnsi" w:hAnsiTheme="minorHAnsi"/>
          <w:sz w:val="22"/>
          <w:szCs w:val="22"/>
        </w:rPr>
        <w:t> </w:t>
      </w:r>
      <w:r w:rsidR="00FB6CB0" w:rsidRPr="004827DE">
        <w:rPr>
          <w:rFonts w:asciiTheme="minorHAnsi" w:hAnsiTheme="minorHAnsi"/>
          <w:sz w:val="22"/>
          <w:szCs w:val="22"/>
        </w:rPr>
        <w:t>to včetně staveb a</w:t>
      </w:r>
      <w:r w:rsidR="000A060F">
        <w:rPr>
          <w:rFonts w:asciiTheme="minorHAnsi" w:hAnsiTheme="minorHAnsi"/>
          <w:sz w:val="22"/>
          <w:szCs w:val="22"/>
        </w:rPr>
        <w:t> </w:t>
      </w:r>
      <w:r w:rsidR="00FB6CB0" w:rsidRPr="004827DE">
        <w:rPr>
          <w:rFonts w:asciiTheme="minorHAnsi" w:hAnsiTheme="minorHAnsi"/>
          <w:sz w:val="22"/>
          <w:szCs w:val="22"/>
        </w:rPr>
        <w:t>technických zařízení zajišťující fungování výroben</w:t>
      </w:r>
      <w:r w:rsidR="001E2247" w:rsidRPr="004827DE">
        <w:rPr>
          <w:rFonts w:asciiTheme="minorHAnsi" w:hAnsiTheme="minorHAnsi"/>
          <w:sz w:val="22"/>
          <w:szCs w:val="22"/>
        </w:rPr>
        <w:t>,</w:t>
      </w:r>
      <w:r w:rsidR="00CF6FDE" w:rsidRPr="00C56410">
        <w:t xml:space="preserve"> </w:t>
      </w:r>
      <w:r w:rsidR="00CF6FDE" w:rsidRPr="004827DE">
        <w:rPr>
          <w:rFonts w:asciiTheme="minorHAnsi" w:hAnsiTheme="minorHAnsi"/>
          <w:sz w:val="22"/>
          <w:szCs w:val="22"/>
        </w:rPr>
        <w:t>zdroj</w:t>
      </w:r>
      <w:r w:rsidR="001E2247" w:rsidRPr="004827DE">
        <w:rPr>
          <w:rFonts w:asciiTheme="minorHAnsi" w:hAnsiTheme="minorHAnsi"/>
          <w:sz w:val="22"/>
          <w:szCs w:val="22"/>
        </w:rPr>
        <w:t>ů</w:t>
      </w:r>
      <w:r w:rsidR="00CF6FDE" w:rsidRPr="004827DE">
        <w:rPr>
          <w:rFonts w:asciiTheme="minorHAnsi" w:hAnsiTheme="minorHAnsi"/>
          <w:sz w:val="22"/>
          <w:szCs w:val="22"/>
        </w:rPr>
        <w:t xml:space="preserve"> a</w:t>
      </w:r>
      <w:r w:rsidR="000A060F">
        <w:rPr>
          <w:rFonts w:asciiTheme="minorHAnsi" w:hAnsiTheme="minorHAnsi"/>
          <w:sz w:val="22"/>
          <w:szCs w:val="22"/>
        </w:rPr>
        <w:t> </w:t>
      </w:r>
      <w:r w:rsidR="00CF6FDE" w:rsidRPr="004827DE">
        <w:rPr>
          <w:rFonts w:asciiTheme="minorHAnsi" w:hAnsiTheme="minorHAnsi"/>
          <w:sz w:val="22"/>
          <w:szCs w:val="22"/>
        </w:rPr>
        <w:t>těžb</w:t>
      </w:r>
      <w:r w:rsidR="001E2247" w:rsidRPr="004827DE">
        <w:rPr>
          <w:rFonts w:asciiTheme="minorHAnsi" w:hAnsiTheme="minorHAnsi"/>
          <w:sz w:val="22"/>
          <w:szCs w:val="22"/>
        </w:rPr>
        <w:t>y</w:t>
      </w:r>
      <w:r w:rsidR="00CF6FDE" w:rsidRPr="004827DE">
        <w:rPr>
          <w:rFonts w:asciiTheme="minorHAnsi" w:hAnsiTheme="minorHAnsi"/>
          <w:sz w:val="22"/>
          <w:szCs w:val="22"/>
        </w:rPr>
        <w:t xml:space="preserve"> nezbytných surovin k</w:t>
      </w:r>
      <w:r w:rsidR="000A060F">
        <w:rPr>
          <w:rFonts w:asciiTheme="minorHAnsi" w:hAnsiTheme="minorHAnsi"/>
          <w:sz w:val="22"/>
          <w:szCs w:val="22"/>
        </w:rPr>
        <w:t> </w:t>
      </w:r>
      <w:r w:rsidR="00CF6FDE" w:rsidRPr="004827DE">
        <w:rPr>
          <w:rFonts w:asciiTheme="minorHAnsi" w:hAnsiTheme="minorHAnsi"/>
          <w:sz w:val="22"/>
          <w:szCs w:val="22"/>
        </w:rPr>
        <w:t>transformaci hospodářství.</w:t>
      </w:r>
    </w:p>
    <w:p w14:paraId="3780E3D0" w14:textId="1952B0EF" w:rsidR="002274E7" w:rsidRPr="00C56410" w:rsidRDefault="002274E7" w:rsidP="00473EA8">
      <w:pPr>
        <w:pStyle w:val="Odstavecseseznamem"/>
        <w:numPr>
          <w:ilvl w:val="0"/>
          <w:numId w:val="6"/>
        </w:numPr>
        <w:spacing w:before="160" w:line="293" w:lineRule="auto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56410">
        <w:rPr>
          <w:rFonts w:asciiTheme="minorHAnsi" w:hAnsiTheme="minorHAnsi"/>
          <w:b/>
          <w:sz w:val="22"/>
          <w:szCs w:val="22"/>
        </w:rPr>
        <w:t>Malé modulární reaktory</w:t>
      </w:r>
    </w:p>
    <w:p w14:paraId="145A7BF2" w14:textId="18FADBA9" w:rsidR="00D57C23" w:rsidRPr="004827DE" w:rsidRDefault="00D57C23" w:rsidP="00AD3709">
      <w:pPr>
        <w:spacing w:before="160" w:line="293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4827DE">
        <w:rPr>
          <w:rFonts w:asciiTheme="minorHAnsi" w:hAnsiTheme="minorHAnsi"/>
          <w:sz w:val="22"/>
          <w:szCs w:val="22"/>
        </w:rPr>
        <w:t>SVVNJZ uložil PS SMR v</w:t>
      </w:r>
      <w:r w:rsidR="000A060F">
        <w:rPr>
          <w:rFonts w:asciiTheme="minorHAnsi" w:hAnsiTheme="minorHAnsi"/>
          <w:sz w:val="22"/>
          <w:szCs w:val="22"/>
        </w:rPr>
        <w:t> </w:t>
      </w:r>
      <w:r w:rsidRPr="004827DE">
        <w:rPr>
          <w:rFonts w:asciiTheme="minorHAnsi" w:hAnsiTheme="minorHAnsi"/>
          <w:sz w:val="22"/>
          <w:szCs w:val="22"/>
        </w:rPr>
        <w:t xml:space="preserve">návaznosti na programové prohlášení vlády ČR vypracovat koncepci využití </w:t>
      </w:r>
      <w:proofErr w:type="spellStart"/>
      <w:r w:rsidRPr="004827DE">
        <w:rPr>
          <w:rFonts w:asciiTheme="minorHAnsi" w:hAnsiTheme="minorHAnsi"/>
          <w:sz w:val="22"/>
          <w:szCs w:val="22"/>
        </w:rPr>
        <w:t>SMR</w:t>
      </w:r>
      <w:proofErr w:type="spellEnd"/>
      <w:r w:rsidRPr="004827DE">
        <w:rPr>
          <w:rFonts w:asciiTheme="minorHAnsi" w:hAnsiTheme="minorHAnsi"/>
          <w:sz w:val="22"/>
          <w:szCs w:val="22"/>
        </w:rPr>
        <w:t xml:space="preserve"> v</w:t>
      </w:r>
      <w:r w:rsidR="000168C9">
        <w:rPr>
          <w:rFonts w:asciiTheme="minorHAnsi" w:hAnsiTheme="minorHAnsi"/>
          <w:sz w:val="22"/>
          <w:szCs w:val="22"/>
        </w:rPr>
        <w:t> </w:t>
      </w:r>
      <w:r w:rsidRPr="004827DE">
        <w:rPr>
          <w:rFonts w:asciiTheme="minorHAnsi" w:hAnsiTheme="minorHAnsi"/>
          <w:sz w:val="22"/>
          <w:szCs w:val="22"/>
        </w:rPr>
        <w:t>ČR</w:t>
      </w:r>
      <w:r w:rsidR="000168C9">
        <w:rPr>
          <w:rFonts w:asciiTheme="minorHAnsi" w:hAnsiTheme="minorHAnsi"/>
          <w:sz w:val="22"/>
          <w:szCs w:val="22"/>
        </w:rPr>
        <w:t xml:space="preserve"> (</w:t>
      </w:r>
      <w:r w:rsidR="000936AE" w:rsidRPr="004827DE">
        <w:rPr>
          <w:rFonts w:asciiTheme="minorHAnsi" w:hAnsiTheme="minorHAnsi"/>
          <w:sz w:val="22"/>
          <w:szCs w:val="22"/>
        </w:rPr>
        <w:t>viz více kap. činnost PS SMR</w:t>
      </w:r>
      <w:r w:rsidR="000168C9">
        <w:rPr>
          <w:rFonts w:asciiTheme="minorHAnsi" w:hAnsiTheme="minorHAnsi"/>
          <w:sz w:val="22"/>
          <w:szCs w:val="22"/>
        </w:rPr>
        <w:t>)</w:t>
      </w:r>
      <w:r w:rsidR="000936AE" w:rsidRPr="004827DE">
        <w:rPr>
          <w:rFonts w:asciiTheme="minorHAnsi" w:hAnsiTheme="minorHAnsi"/>
          <w:sz w:val="22"/>
          <w:szCs w:val="22"/>
        </w:rPr>
        <w:t>.</w:t>
      </w:r>
    </w:p>
    <w:p w14:paraId="2232C7DD" w14:textId="5ABE32BA" w:rsidR="00CF6FDE" w:rsidRPr="00C56410" w:rsidRDefault="00CF6FDE" w:rsidP="00473EA8">
      <w:pPr>
        <w:pStyle w:val="Odstavecseseznamem"/>
        <w:numPr>
          <w:ilvl w:val="0"/>
          <w:numId w:val="6"/>
        </w:numPr>
        <w:spacing w:before="160" w:line="293" w:lineRule="auto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56410">
        <w:rPr>
          <w:rFonts w:asciiTheme="minorHAnsi" w:hAnsiTheme="minorHAnsi"/>
          <w:b/>
          <w:sz w:val="22"/>
          <w:szCs w:val="22"/>
        </w:rPr>
        <w:t>Ostatní</w:t>
      </w:r>
    </w:p>
    <w:p w14:paraId="68E64389" w14:textId="0CD3CE2D" w:rsidR="00EC0BCD" w:rsidRPr="004827DE" w:rsidRDefault="00CF6FDE" w:rsidP="00AD3709">
      <w:pPr>
        <w:spacing w:before="160" w:line="293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4827DE">
        <w:rPr>
          <w:rFonts w:asciiTheme="minorHAnsi" w:hAnsiTheme="minorHAnsi"/>
          <w:sz w:val="22"/>
          <w:szCs w:val="22"/>
        </w:rPr>
        <w:t xml:space="preserve">Na základě procesu implementace </w:t>
      </w:r>
      <w:r w:rsidR="00EC0BCD" w:rsidRPr="004827DE">
        <w:rPr>
          <w:rFonts w:asciiTheme="minorHAnsi" w:hAnsiTheme="minorHAnsi"/>
          <w:sz w:val="22"/>
          <w:szCs w:val="22"/>
        </w:rPr>
        <w:t>delegovaného aktu Evropské komise k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4827DE">
        <w:rPr>
          <w:rFonts w:asciiTheme="minorHAnsi" w:hAnsiTheme="minorHAnsi"/>
          <w:sz w:val="22"/>
          <w:szCs w:val="22"/>
        </w:rPr>
        <w:t xml:space="preserve">tzv. taxonomii udržitelných financí </w:t>
      </w:r>
      <w:r w:rsidR="000168C9">
        <w:rPr>
          <w:rFonts w:asciiTheme="minorHAnsi" w:hAnsiTheme="minorHAnsi" w:cstheme="minorHAnsi"/>
          <w:sz w:val="22"/>
          <w:szCs w:val="22"/>
        </w:rPr>
        <w:t>[n</w:t>
      </w:r>
      <w:r w:rsidR="00EC0BCD" w:rsidRPr="004827DE">
        <w:rPr>
          <w:rFonts w:asciiTheme="minorHAnsi" w:hAnsiTheme="minorHAnsi"/>
          <w:sz w:val="22"/>
          <w:szCs w:val="22"/>
        </w:rPr>
        <w:t>ařízení Komise v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4827DE">
        <w:rPr>
          <w:rFonts w:asciiTheme="minorHAnsi" w:hAnsiTheme="minorHAnsi"/>
          <w:sz w:val="22"/>
          <w:szCs w:val="22"/>
        </w:rPr>
        <w:t>přenesené pravomoci (EU) 2022/1214 ze dne 9. března 2022, kterým se mění nařízení v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4827DE">
        <w:rPr>
          <w:rFonts w:asciiTheme="minorHAnsi" w:hAnsiTheme="minorHAnsi"/>
          <w:sz w:val="22"/>
          <w:szCs w:val="22"/>
        </w:rPr>
        <w:t>přenesené pravomoci (EU) 2021/2139, pokud jde o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4827DE">
        <w:rPr>
          <w:rFonts w:asciiTheme="minorHAnsi" w:hAnsiTheme="minorHAnsi"/>
          <w:sz w:val="22"/>
          <w:szCs w:val="22"/>
        </w:rPr>
        <w:t>hospodářské činnosti v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4827DE">
        <w:rPr>
          <w:rFonts w:asciiTheme="minorHAnsi" w:hAnsiTheme="minorHAnsi"/>
          <w:sz w:val="22"/>
          <w:szCs w:val="22"/>
        </w:rPr>
        <w:t>některých odvětvích energetiky, a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4827DE">
        <w:rPr>
          <w:rFonts w:asciiTheme="minorHAnsi" w:hAnsiTheme="minorHAnsi"/>
          <w:sz w:val="22"/>
          <w:szCs w:val="22"/>
        </w:rPr>
        <w:t>nařízení v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4827DE">
        <w:rPr>
          <w:rFonts w:asciiTheme="minorHAnsi" w:hAnsiTheme="minorHAnsi"/>
          <w:sz w:val="22"/>
          <w:szCs w:val="22"/>
        </w:rPr>
        <w:t>přenesené pravomoci (EU) 2021/2178, pokud jde o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4827DE">
        <w:rPr>
          <w:rFonts w:asciiTheme="minorHAnsi" w:hAnsiTheme="minorHAnsi"/>
          <w:sz w:val="22"/>
          <w:szCs w:val="22"/>
        </w:rPr>
        <w:t>specifické zveřejňování informací v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4827DE">
        <w:rPr>
          <w:rFonts w:asciiTheme="minorHAnsi" w:hAnsiTheme="minorHAnsi"/>
          <w:sz w:val="22"/>
          <w:szCs w:val="22"/>
        </w:rPr>
        <w:t>souvislosti s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4827DE">
        <w:rPr>
          <w:rFonts w:asciiTheme="minorHAnsi" w:hAnsiTheme="minorHAnsi"/>
          <w:sz w:val="22"/>
          <w:szCs w:val="22"/>
        </w:rPr>
        <w:t>těmito hospodářskými činnostmi</w:t>
      </w:r>
      <w:r w:rsidR="000168C9">
        <w:rPr>
          <w:rFonts w:asciiTheme="minorHAnsi" w:hAnsiTheme="minorHAnsi" w:cstheme="minorHAnsi"/>
          <w:sz w:val="22"/>
          <w:szCs w:val="22"/>
        </w:rPr>
        <w:t>]</w:t>
      </w:r>
      <w:r w:rsidR="00EC0BCD" w:rsidRPr="004827DE">
        <w:rPr>
          <w:rFonts w:asciiTheme="minorHAnsi" w:hAnsiTheme="minorHAnsi"/>
          <w:sz w:val="22"/>
          <w:szCs w:val="22"/>
        </w:rPr>
        <w:t xml:space="preserve"> byla přijata opatření:</w:t>
      </w:r>
    </w:p>
    <w:p w14:paraId="7E47151F" w14:textId="7853D096" w:rsidR="00EC0BCD" w:rsidRPr="00C56410" w:rsidRDefault="000168C9" w:rsidP="00AD3709">
      <w:pPr>
        <w:pStyle w:val="Odstavecseseznamem"/>
        <w:numPr>
          <w:ilvl w:val="0"/>
          <w:numId w:val="39"/>
        </w:numPr>
        <w:spacing w:before="160" w:line="293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aps/>
          <w:sz w:val="22"/>
          <w:szCs w:val="22"/>
        </w:rPr>
        <w:t>n</w:t>
      </w:r>
      <w:r w:rsidR="00EC0BCD" w:rsidRPr="00C56410">
        <w:rPr>
          <w:rFonts w:asciiTheme="minorHAnsi" w:hAnsiTheme="minorHAnsi"/>
          <w:sz w:val="22"/>
          <w:szCs w:val="22"/>
        </w:rPr>
        <w:t>oveliz</w:t>
      </w:r>
      <w:r w:rsidR="006D1171">
        <w:rPr>
          <w:rFonts w:asciiTheme="minorHAnsi" w:hAnsiTheme="minorHAnsi"/>
          <w:sz w:val="22"/>
          <w:szCs w:val="22"/>
        </w:rPr>
        <w:t>ovat</w:t>
      </w:r>
      <w:r w:rsidR="00EC0BCD" w:rsidRPr="00C56410">
        <w:rPr>
          <w:rFonts w:asciiTheme="minorHAnsi" w:hAnsiTheme="minorHAnsi"/>
          <w:sz w:val="22"/>
          <w:szCs w:val="22"/>
        </w:rPr>
        <w:t xml:space="preserve"> vyhlášk</w:t>
      </w:r>
      <w:r w:rsidR="006D1171">
        <w:rPr>
          <w:rFonts w:asciiTheme="minorHAnsi" w:hAnsiTheme="minorHAnsi"/>
          <w:sz w:val="22"/>
          <w:szCs w:val="22"/>
        </w:rPr>
        <w:t>u</w:t>
      </w:r>
      <w:r w:rsidR="00EC0BCD" w:rsidRPr="00C56410">
        <w:rPr>
          <w:rFonts w:asciiTheme="minorHAnsi" w:hAnsiTheme="minorHAnsi"/>
          <w:sz w:val="22"/>
          <w:szCs w:val="22"/>
        </w:rPr>
        <w:t xml:space="preserve"> č. 250/2020</w:t>
      </w:r>
      <w:r w:rsidR="00934B0B">
        <w:rPr>
          <w:rFonts w:asciiTheme="minorHAnsi" w:hAnsiTheme="minorHAnsi"/>
          <w:sz w:val="22"/>
          <w:szCs w:val="22"/>
        </w:rPr>
        <w:t xml:space="preserve"> Sb.,</w:t>
      </w:r>
      <w:r w:rsidR="00EC0BCD" w:rsidRPr="00C56410">
        <w:rPr>
          <w:rFonts w:asciiTheme="minorHAnsi" w:hAnsiTheme="minorHAnsi"/>
          <w:sz w:val="22"/>
          <w:szCs w:val="22"/>
        </w:rPr>
        <w:t xml:space="preserve"> o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C56410">
        <w:rPr>
          <w:rFonts w:asciiTheme="minorHAnsi" w:hAnsiTheme="minorHAnsi"/>
          <w:sz w:val="22"/>
          <w:szCs w:val="22"/>
        </w:rPr>
        <w:t>způsobu stanovení rezervy na vyřazování z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C56410">
        <w:rPr>
          <w:rFonts w:asciiTheme="minorHAnsi" w:hAnsiTheme="minorHAnsi"/>
          <w:sz w:val="22"/>
          <w:szCs w:val="22"/>
        </w:rPr>
        <w:t>provozu jaderného zařízení a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C56410">
        <w:rPr>
          <w:rFonts w:asciiTheme="minorHAnsi" w:hAnsiTheme="minorHAnsi"/>
          <w:sz w:val="22"/>
          <w:szCs w:val="22"/>
        </w:rPr>
        <w:t>pracoviště III. kategorie a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C56410">
        <w:rPr>
          <w:rFonts w:asciiTheme="minorHAnsi" w:hAnsiTheme="minorHAnsi"/>
          <w:sz w:val="22"/>
          <w:szCs w:val="22"/>
        </w:rPr>
        <w:t xml:space="preserve">pracoviště IV. </w:t>
      </w:r>
      <w:r w:rsidR="000475EC">
        <w:rPr>
          <w:rFonts w:asciiTheme="minorHAnsi" w:hAnsiTheme="minorHAnsi"/>
          <w:sz w:val="22"/>
          <w:szCs w:val="22"/>
        </w:rPr>
        <w:t>k</w:t>
      </w:r>
      <w:r w:rsidR="00EC0BCD" w:rsidRPr="00C56410">
        <w:rPr>
          <w:rFonts w:asciiTheme="minorHAnsi" w:hAnsiTheme="minorHAnsi"/>
          <w:sz w:val="22"/>
          <w:szCs w:val="22"/>
        </w:rPr>
        <w:t>ategorie</w:t>
      </w:r>
      <w:r>
        <w:rPr>
          <w:rFonts w:asciiTheme="minorHAnsi" w:hAnsiTheme="minorHAnsi"/>
          <w:sz w:val="22"/>
          <w:szCs w:val="22"/>
        </w:rPr>
        <w:t>,</w:t>
      </w:r>
    </w:p>
    <w:p w14:paraId="35C28ECE" w14:textId="45EF7B8D" w:rsidR="00EC0BCD" w:rsidRPr="00C56410" w:rsidRDefault="000168C9" w:rsidP="00AD3709">
      <w:pPr>
        <w:pStyle w:val="Odstavecseseznamem"/>
        <w:numPr>
          <w:ilvl w:val="0"/>
          <w:numId w:val="39"/>
        </w:numPr>
        <w:spacing w:before="160" w:line="293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aps/>
          <w:sz w:val="22"/>
          <w:szCs w:val="22"/>
        </w:rPr>
        <w:t>v</w:t>
      </w:r>
      <w:r w:rsidR="00EC0BCD" w:rsidRPr="00C56410">
        <w:rPr>
          <w:rFonts w:asciiTheme="minorHAnsi" w:hAnsiTheme="minorHAnsi"/>
          <w:sz w:val="22"/>
          <w:szCs w:val="22"/>
        </w:rPr>
        <w:t xml:space="preserve"> rámci aktualizace Koncepce nakládání s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C56410">
        <w:rPr>
          <w:rFonts w:asciiTheme="minorHAnsi" w:hAnsiTheme="minorHAnsi"/>
          <w:sz w:val="22"/>
          <w:szCs w:val="22"/>
        </w:rPr>
        <w:t>RAO a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C56410">
        <w:rPr>
          <w:rFonts w:asciiTheme="minorHAnsi" w:hAnsiTheme="minorHAnsi"/>
          <w:sz w:val="22"/>
          <w:szCs w:val="22"/>
        </w:rPr>
        <w:t>VJP zohlednit požadavek na zprovoznění HÚRAO v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C56410">
        <w:rPr>
          <w:rFonts w:asciiTheme="minorHAnsi" w:hAnsiTheme="minorHAnsi"/>
          <w:sz w:val="22"/>
          <w:szCs w:val="22"/>
        </w:rPr>
        <w:t>r. 2050 a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C56410">
        <w:rPr>
          <w:rFonts w:asciiTheme="minorHAnsi" w:hAnsiTheme="minorHAnsi"/>
          <w:sz w:val="22"/>
          <w:szCs w:val="22"/>
        </w:rPr>
        <w:t>další technické požadavky + ev. úprava legislativy pro urychlení povolovacích procesů</w:t>
      </w:r>
      <w:r>
        <w:rPr>
          <w:rFonts w:asciiTheme="minorHAnsi" w:hAnsiTheme="minorHAnsi"/>
          <w:sz w:val="22"/>
          <w:szCs w:val="22"/>
        </w:rPr>
        <w:t>,</w:t>
      </w:r>
    </w:p>
    <w:p w14:paraId="3D834726" w14:textId="7D941893" w:rsidR="00CA04A2" w:rsidRPr="00C56410" w:rsidRDefault="000168C9" w:rsidP="00AD3709">
      <w:pPr>
        <w:pStyle w:val="Odstavecseseznamem"/>
        <w:numPr>
          <w:ilvl w:val="0"/>
          <w:numId w:val="39"/>
        </w:numPr>
        <w:tabs>
          <w:tab w:val="left" w:pos="1146"/>
        </w:tabs>
        <w:spacing w:before="160" w:line="293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aps/>
          <w:sz w:val="22"/>
          <w:szCs w:val="22"/>
        </w:rPr>
        <w:t>z</w:t>
      </w:r>
      <w:r w:rsidR="00EC0BCD" w:rsidRPr="00C56410">
        <w:rPr>
          <w:rFonts w:asciiTheme="minorHAnsi" w:hAnsiTheme="minorHAnsi"/>
          <w:sz w:val="22"/>
          <w:szCs w:val="22"/>
        </w:rPr>
        <w:t>aji</w:t>
      </w:r>
      <w:r w:rsidR="006D1171">
        <w:rPr>
          <w:rFonts w:asciiTheme="minorHAnsi" w:hAnsiTheme="minorHAnsi"/>
          <w:sz w:val="22"/>
          <w:szCs w:val="22"/>
        </w:rPr>
        <w:t>s</w:t>
      </w:r>
      <w:r w:rsidR="00EC0BCD" w:rsidRPr="00C56410">
        <w:rPr>
          <w:rFonts w:asciiTheme="minorHAnsi" w:hAnsiTheme="minorHAnsi"/>
          <w:sz w:val="22"/>
          <w:szCs w:val="22"/>
        </w:rPr>
        <w:t>t</w:t>
      </w:r>
      <w:r w:rsidR="006D1171">
        <w:rPr>
          <w:rFonts w:asciiTheme="minorHAnsi" w:hAnsiTheme="minorHAnsi"/>
          <w:sz w:val="22"/>
          <w:szCs w:val="22"/>
        </w:rPr>
        <w:t>it</w:t>
      </w:r>
      <w:r w:rsidR="00EC0BCD" w:rsidRPr="00C56410">
        <w:rPr>
          <w:rFonts w:asciiTheme="minorHAnsi" w:hAnsiTheme="minorHAnsi"/>
          <w:sz w:val="22"/>
          <w:szCs w:val="22"/>
        </w:rPr>
        <w:t xml:space="preserve"> úložiště </w:t>
      </w:r>
      <w:proofErr w:type="spellStart"/>
      <w:r w:rsidR="00EC0BCD" w:rsidRPr="00C56410">
        <w:rPr>
          <w:rFonts w:asciiTheme="minorHAnsi" w:hAnsiTheme="minorHAnsi"/>
          <w:sz w:val="22"/>
          <w:szCs w:val="22"/>
        </w:rPr>
        <w:t>NSRAO</w:t>
      </w:r>
      <w:proofErr w:type="spellEnd"/>
      <w:r w:rsidR="00EC0BCD" w:rsidRPr="00C56410">
        <w:rPr>
          <w:rFonts w:asciiTheme="minorHAnsi" w:hAnsiTheme="minorHAnsi"/>
          <w:sz w:val="22"/>
          <w:szCs w:val="22"/>
        </w:rPr>
        <w:t xml:space="preserve"> v</w:t>
      </w:r>
      <w:r w:rsidR="000A060F">
        <w:rPr>
          <w:rFonts w:asciiTheme="minorHAnsi" w:hAnsiTheme="minorHAnsi"/>
          <w:sz w:val="22"/>
          <w:szCs w:val="22"/>
        </w:rPr>
        <w:t> </w:t>
      </w:r>
      <w:r w:rsidR="00EC0BCD" w:rsidRPr="00C56410">
        <w:rPr>
          <w:rFonts w:asciiTheme="minorHAnsi" w:hAnsiTheme="minorHAnsi"/>
          <w:sz w:val="22"/>
          <w:szCs w:val="22"/>
        </w:rPr>
        <w:t xml:space="preserve">návaznosti na harmonogram zprovoznění </w:t>
      </w:r>
      <w:proofErr w:type="spellStart"/>
      <w:r w:rsidR="00EC0BCD" w:rsidRPr="00C56410">
        <w:rPr>
          <w:rFonts w:asciiTheme="minorHAnsi" w:hAnsiTheme="minorHAnsi"/>
          <w:sz w:val="22"/>
          <w:szCs w:val="22"/>
        </w:rPr>
        <w:t>NJZ</w:t>
      </w:r>
      <w:proofErr w:type="spellEnd"/>
      <w:r w:rsidR="00EC0BCD" w:rsidRPr="00C56410">
        <w:rPr>
          <w:rFonts w:asciiTheme="minorHAnsi" w:hAnsiTheme="minorHAnsi"/>
          <w:sz w:val="22"/>
          <w:szCs w:val="22"/>
        </w:rPr>
        <w:t>, lokality EDU/</w:t>
      </w:r>
      <w:proofErr w:type="spellStart"/>
      <w:r w:rsidR="00EC0BCD" w:rsidRPr="00C56410">
        <w:rPr>
          <w:rFonts w:asciiTheme="minorHAnsi" w:hAnsiTheme="minorHAnsi"/>
          <w:sz w:val="22"/>
          <w:szCs w:val="22"/>
        </w:rPr>
        <w:t>ETE</w:t>
      </w:r>
      <w:proofErr w:type="spellEnd"/>
      <w:r w:rsidR="00EC0BCD" w:rsidRPr="00C56410">
        <w:rPr>
          <w:rFonts w:asciiTheme="minorHAnsi" w:hAnsiTheme="minorHAnsi"/>
          <w:sz w:val="22"/>
          <w:szCs w:val="22"/>
        </w:rPr>
        <w:t>/jiné</w:t>
      </w:r>
      <w:r>
        <w:rPr>
          <w:rFonts w:asciiTheme="minorHAnsi" w:hAnsiTheme="minorHAnsi"/>
          <w:sz w:val="22"/>
          <w:szCs w:val="22"/>
        </w:rPr>
        <w:t>,</w:t>
      </w:r>
    </w:p>
    <w:p w14:paraId="22AF67D4" w14:textId="3D9BD262" w:rsidR="00CA04A2" w:rsidRPr="00C56410" w:rsidRDefault="000168C9" w:rsidP="00AD3709">
      <w:pPr>
        <w:pStyle w:val="Odstavecseseznamem"/>
        <w:numPr>
          <w:ilvl w:val="0"/>
          <w:numId w:val="39"/>
        </w:numPr>
        <w:spacing w:before="160" w:line="293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aps/>
          <w:sz w:val="22"/>
          <w:szCs w:val="22"/>
        </w:rPr>
        <w:lastRenderedPageBreak/>
        <w:t>p</w:t>
      </w:r>
      <w:r w:rsidR="00CA04A2" w:rsidRPr="00C56410">
        <w:rPr>
          <w:rFonts w:asciiTheme="minorHAnsi" w:hAnsiTheme="minorHAnsi"/>
          <w:sz w:val="22"/>
          <w:szCs w:val="22"/>
        </w:rPr>
        <w:t>ersonáln</w:t>
      </w:r>
      <w:r w:rsidR="006D1171">
        <w:rPr>
          <w:rFonts w:asciiTheme="minorHAnsi" w:hAnsiTheme="minorHAnsi"/>
          <w:sz w:val="22"/>
          <w:szCs w:val="22"/>
        </w:rPr>
        <w:t>ě</w:t>
      </w:r>
      <w:r w:rsidR="00CA04A2" w:rsidRPr="00C56410">
        <w:rPr>
          <w:rFonts w:asciiTheme="minorHAnsi" w:hAnsiTheme="minorHAnsi"/>
          <w:sz w:val="22"/>
          <w:szCs w:val="22"/>
        </w:rPr>
        <w:t xml:space="preserve"> posíl</w:t>
      </w:r>
      <w:r w:rsidR="006D1171">
        <w:rPr>
          <w:rFonts w:asciiTheme="minorHAnsi" w:hAnsiTheme="minorHAnsi"/>
          <w:sz w:val="22"/>
          <w:szCs w:val="22"/>
        </w:rPr>
        <w:t>it</w:t>
      </w:r>
      <w:r w:rsidR="00CA04A2" w:rsidRPr="00C56410">
        <w:rPr>
          <w:rFonts w:asciiTheme="minorHAnsi" w:hAnsiTheme="minorHAnsi"/>
          <w:sz w:val="22"/>
          <w:szCs w:val="22"/>
        </w:rPr>
        <w:t xml:space="preserve"> </w:t>
      </w:r>
      <w:r w:rsidR="006D1171">
        <w:rPr>
          <w:rFonts w:asciiTheme="minorHAnsi" w:hAnsiTheme="minorHAnsi"/>
          <w:sz w:val="22"/>
          <w:szCs w:val="22"/>
        </w:rPr>
        <w:t xml:space="preserve">kapacity na straně státu - </w:t>
      </w:r>
      <w:r w:rsidR="00CA04A2" w:rsidRPr="00C56410">
        <w:rPr>
          <w:rFonts w:asciiTheme="minorHAnsi" w:hAnsiTheme="minorHAnsi"/>
          <w:sz w:val="22"/>
          <w:szCs w:val="22"/>
        </w:rPr>
        <w:t>zejm. SÚJB</w:t>
      </w:r>
      <w:r w:rsidR="006D1171" w:rsidRPr="006D1171">
        <w:rPr>
          <w:rFonts w:asciiTheme="minorHAnsi" w:hAnsiTheme="minorHAnsi"/>
          <w:sz w:val="22"/>
          <w:szCs w:val="22"/>
        </w:rPr>
        <w:t xml:space="preserve"> </w:t>
      </w:r>
      <w:r w:rsidR="006D1171" w:rsidRPr="00C56410">
        <w:rPr>
          <w:rFonts w:asciiTheme="minorHAnsi" w:hAnsiTheme="minorHAnsi"/>
          <w:sz w:val="22"/>
          <w:szCs w:val="22"/>
        </w:rPr>
        <w:t>a</w:t>
      </w:r>
      <w:r w:rsidR="000A060F">
        <w:rPr>
          <w:rFonts w:asciiTheme="minorHAnsi" w:hAnsiTheme="minorHAnsi"/>
          <w:sz w:val="22"/>
          <w:szCs w:val="22"/>
        </w:rPr>
        <w:t> </w:t>
      </w:r>
      <w:r w:rsidR="006D1171">
        <w:rPr>
          <w:rFonts w:asciiTheme="minorHAnsi" w:hAnsiTheme="minorHAnsi"/>
          <w:sz w:val="22"/>
          <w:szCs w:val="22"/>
        </w:rPr>
        <w:t xml:space="preserve">navýšit jejich </w:t>
      </w:r>
      <w:r w:rsidR="006D1171" w:rsidRPr="00C56410">
        <w:rPr>
          <w:rFonts w:asciiTheme="minorHAnsi" w:hAnsiTheme="minorHAnsi"/>
          <w:sz w:val="22"/>
          <w:szCs w:val="22"/>
        </w:rPr>
        <w:t>rozpoč</w:t>
      </w:r>
      <w:r w:rsidR="006D1171">
        <w:rPr>
          <w:rFonts w:asciiTheme="minorHAnsi" w:hAnsiTheme="minorHAnsi"/>
          <w:sz w:val="22"/>
          <w:szCs w:val="22"/>
        </w:rPr>
        <w:t>e</w:t>
      </w:r>
      <w:r w:rsidR="006D1171" w:rsidRPr="00C56410">
        <w:rPr>
          <w:rFonts w:asciiTheme="minorHAnsi" w:hAnsiTheme="minorHAnsi"/>
          <w:sz w:val="22"/>
          <w:szCs w:val="22"/>
        </w:rPr>
        <w:t>t</w:t>
      </w:r>
      <w:r w:rsidR="006D1171">
        <w:rPr>
          <w:rFonts w:asciiTheme="minorHAnsi" w:hAnsiTheme="minorHAnsi"/>
          <w:sz w:val="22"/>
          <w:szCs w:val="22"/>
        </w:rPr>
        <w:t>.</w:t>
      </w:r>
    </w:p>
    <w:p w14:paraId="32CE9C62" w14:textId="1E825ADA" w:rsidR="003449C6" w:rsidRPr="00C56410" w:rsidRDefault="003449C6" w:rsidP="00473EA8">
      <w:pPr>
        <w:pStyle w:val="Odstavecseseznamem"/>
        <w:spacing w:before="160" w:line="293" w:lineRule="auto"/>
        <w:ind w:left="1506"/>
        <w:contextualSpacing w:val="0"/>
        <w:jc w:val="both"/>
        <w:rPr>
          <w:rFonts w:ascii="Cambria" w:hAnsi="Cambria"/>
          <w:color w:val="365F91"/>
          <w:sz w:val="32"/>
          <w:szCs w:val="32"/>
        </w:rPr>
      </w:pPr>
    </w:p>
    <w:p w14:paraId="261063C5" w14:textId="73ABF78D" w:rsidR="00F73219" w:rsidRPr="00C56410" w:rsidRDefault="00645E54" w:rsidP="00473EA8">
      <w:pPr>
        <w:keepNext/>
        <w:keepLines/>
        <w:numPr>
          <w:ilvl w:val="0"/>
          <w:numId w:val="4"/>
        </w:numPr>
        <w:spacing w:before="160" w:line="293" w:lineRule="auto"/>
        <w:jc w:val="both"/>
        <w:outlineLvl w:val="0"/>
        <w:rPr>
          <w:rFonts w:ascii="Cambria" w:hAnsi="Cambria"/>
          <w:color w:val="365F91"/>
          <w:sz w:val="32"/>
          <w:szCs w:val="32"/>
        </w:rPr>
      </w:pPr>
      <w:r w:rsidRPr="00C56410">
        <w:rPr>
          <w:rFonts w:ascii="Cambria" w:hAnsi="Cambria"/>
          <w:color w:val="365F91"/>
          <w:sz w:val="32"/>
          <w:szCs w:val="32"/>
        </w:rPr>
        <w:t>Další č</w:t>
      </w:r>
      <w:r w:rsidR="00F73219" w:rsidRPr="00C56410">
        <w:rPr>
          <w:rFonts w:ascii="Cambria" w:hAnsi="Cambria"/>
          <w:color w:val="365F91"/>
          <w:sz w:val="32"/>
          <w:szCs w:val="32"/>
        </w:rPr>
        <w:t>innosti SV</w:t>
      </w:r>
      <w:r w:rsidR="00215EB7" w:rsidRPr="00C56410">
        <w:rPr>
          <w:rFonts w:ascii="Cambria" w:hAnsi="Cambria"/>
          <w:color w:val="365F91"/>
          <w:sz w:val="32"/>
          <w:szCs w:val="32"/>
        </w:rPr>
        <w:t>VNJZ</w:t>
      </w:r>
      <w:r w:rsidR="00F73219" w:rsidRPr="00C56410">
        <w:rPr>
          <w:rFonts w:ascii="Cambria" w:hAnsi="Cambria"/>
          <w:color w:val="365F91"/>
          <w:sz w:val="32"/>
          <w:szCs w:val="32"/>
        </w:rPr>
        <w:t xml:space="preserve"> v</w:t>
      </w:r>
      <w:r w:rsidR="000A060F">
        <w:rPr>
          <w:rFonts w:ascii="Cambria" w:hAnsi="Cambria"/>
          <w:color w:val="365F91"/>
          <w:sz w:val="32"/>
          <w:szCs w:val="32"/>
        </w:rPr>
        <w:t> </w:t>
      </w:r>
      <w:r w:rsidR="00F73219" w:rsidRPr="00C56410">
        <w:rPr>
          <w:rFonts w:ascii="Cambria" w:hAnsi="Cambria"/>
          <w:color w:val="365F91"/>
          <w:sz w:val="32"/>
          <w:szCs w:val="32"/>
        </w:rPr>
        <w:t xml:space="preserve">období leden </w:t>
      </w:r>
      <w:proofErr w:type="gramStart"/>
      <w:r w:rsidR="00DC22E3" w:rsidRPr="00C56410">
        <w:rPr>
          <w:rFonts w:ascii="Cambria" w:hAnsi="Cambria"/>
          <w:color w:val="365F91"/>
          <w:sz w:val="32"/>
          <w:szCs w:val="32"/>
        </w:rPr>
        <w:t>202</w:t>
      </w:r>
      <w:r w:rsidR="00393159" w:rsidRPr="00C56410">
        <w:rPr>
          <w:rFonts w:ascii="Cambria" w:hAnsi="Cambria"/>
          <w:color w:val="365F91"/>
          <w:sz w:val="32"/>
          <w:szCs w:val="32"/>
        </w:rPr>
        <w:t>2</w:t>
      </w:r>
      <w:r w:rsidR="00EE43A9" w:rsidRPr="00C56410">
        <w:rPr>
          <w:rFonts w:ascii="Cambria" w:hAnsi="Cambria"/>
          <w:color w:val="365F91"/>
          <w:sz w:val="32"/>
          <w:szCs w:val="32"/>
        </w:rPr>
        <w:t xml:space="preserve"> </w:t>
      </w:r>
      <w:r w:rsidR="0006249B" w:rsidRPr="00C56410">
        <w:rPr>
          <w:rFonts w:ascii="Cambria" w:hAnsi="Cambria"/>
          <w:color w:val="365F91"/>
          <w:sz w:val="32"/>
          <w:szCs w:val="32"/>
        </w:rPr>
        <w:t>-</w:t>
      </w:r>
      <w:r w:rsidR="00F73219" w:rsidRPr="00C56410">
        <w:rPr>
          <w:rFonts w:ascii="Cambria" w:hAnsi="Cambria"/>
          <w:color w:val="365F91"/>
          <w:sz w:val="32"/>
          <w:szCs w:val="32"/>
        </w:rPr>
        <w:t xml:space="preserve"> </w:t>
      </w:r>
      <w:r w:rsidR="00EE43A9" w:rsidRPr="00C56410">
        <w:rPr>
          <w:rFonts w:ascii="Cambria" w:hAnsi="Cambria"/>
          <w:color w:val="365F91"/>
          <w:sz w:val="32"/>
          <w:szCs w:val="32"/>
        </w:rPr>
        <w:t>prosinec</w:t>
      </w:r>
      <w:proofErr w:type="gramEnd"/>
      <w:r w:rsidR="00EE43A9" w:rsidRPr="00C56410">
        <w:rPr>
          <w:rFonts w:ascii="Cambria" w:hAnsi="Cambria"/>
          <w:color w:val="365F91"/>
          <w:sz w:val="32"/>
          <w:szCs w:val="32"/>
        </w:rPr>
        <w:t xml:space="preserve"> </w:t>
      </w:r>
      <w:r w:rsidR="00DC22E3" w:rsidRPr="00C56410">
        <w:rPr>
          <w:rFonts w:ascii="Cambria" w:hAnsi="Cambria"/>
          <w:color w:val="365F91"/>
          <w:sz w:val="32"/>
          <w:szCs w:val="32"/>
        </w:rPr>
        <w:t>202</w:t>
      </w:r>
      <w:r w:rsidR="00393159" w:rsidRPr="00C56410">
        <w:rPr>
          <w:rFonts w:ascii="Cambria" w:hAnsi="Cambria"/>
          <w:color w:val="365F91"/>
          <w:sz w:val="32"/>
          <w:szCs w:val="32"/>
        </w:rPr>
        <w:t>2</w:t>
      </w:r>
    </w:p>
    <w:p w14:paraId="2048E065" w14:textId="09371D26" w:rsidR="00B61EC7" w:rsidRPr="00C56410" w:rsidRDefault="000402C1" w:rsidP="00473EA8">
      <w:pPr>
        <w:pStyle w:val="Odstavecseseznamem"/>
        <w:numPr>
          <w:ilvl w:val="0"/>
          <w:numId w:val="6"/>
        </w:numPr>
        <w:spacing w:before="160" w:line="293" w:lineRule="auto"/>
        <w:ind w:left="782" w:hanging="357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bookmarkStart w:id="2" w:name="_Hlk103597742"/>
      <w:bookmarkStart w:id="3" w:name="_Hlk103597756"/>
      <w:r w:rsidRPr="00C56410">
        <w:rPr>
          <w:rFonts w:asciiTheme="minorHAnsi" w:hAnsiTheme="minorHAnsi"/>
          <w:b/>
          <w:sz w:val="22"/>
          <w:szCs w:val="22"/>
        </w:rPr>
        <w:t>P</w:t>
      </w:r>
      <w:bookmarkEnd w:id="2"/>
      <w:r w:rsidR="00F64402" w:rsidRPr="00C56410">
        <w:rPr>
          <w:rFonts w:asciiTheme="minorHAnsi" w:hAnsiTheme="minorHAnsi"/>
          <w:b/>
          <w:sz w:val="22"/>
          <w:szCs w:val="22"/>
        </w:rPr>
        <w:t>ovolovací</w:t>
      </w:r>
      <w:r w:rsidR="003332F6" w:rsidRPr="00C56410">
        <w:rPr>
          <w:rFonts w:asciiTheme="minorHAnsi" w:hAnsiTheme="minorHAnsi"/>
          <w:b/>
          <w:sz w:val="22"/>
          <w:szCs w:val="22"/>
        </w:rPr>
        <w:t xml:space="preserve"> </w:t>
      </w:r>
      <w:r w:rsidR="00F64402" w:rsidRPr="00C56410">
        <w:rPr>
          <w:rFonts w:asciiTheme="minorHAnsi" w:hAnsiTheme="minorHAnsi"/>
          <w:b/>
          <w:sz w:val="22"/>
          <w:szCs w:val="22"/>
        </w:rPr>
        <w:t>proces</w:t>
      </w:r>
      <w:r w:rsidR="003332F6" w:rsidRPr="00C56410">
        <w:rPr>
          <w:rFonts w:asciiTheme="minorHAnsi" w:hAnsiTheme="minorHAnsi"/>
          <w:b/>
          <w:sz w:val="22"/>
          <w:szCs w:val="22"/>
        </w:rPr>
        <w:t xml:space="preserve"> NJZ EDU </w:t>
      </w:r>
      <w:proofErr w:type="gramStart"/>
      <w:r w:rsidR="00F64402" w:rsidRPr="00C56410">
        <w:rPr>
          <w:rFonts w:asciiTheme="minorHAnsi" w:hAnsiTheme="minorHAnsi"/>
          <w:b/>
          <w:sz w:val="22"/>
          <w:szCs w:val="22"/>
        </w:rPr>
        <w:t>II</w:t>
      </w:r>
      <w:r w:rsidR="00B61EC7" w:rsidRPr="00C56410">
        <w:rPr>
          <w:rFonts w:asciiTheme="minorHAnsi" w:hAnsiTheme="minorHAnsi"/>
          <w:b/>
          <w:sz w:val="22"/>
          <w:szCs w:val="22"/>
        </w:rPr>
        <w:t xml:space="preserve"> - územní</w:t>
      </w:r>
      <w:proofErr w:type="gramEnd"/>
      <w:r w:rsidR="00B61EC7" w:rsidRPr="00C56410">
        <w:rPr>
          <w:rFonts w:asciiTheme="minorHAnsi" w:hAnsiTheme="minorHAnsi"/>
          <w:b/>
          <w:sz w:val="22"/>
          <w:szCs w:val="22"/>
        </w:rPr>
        <w:t xml:space="preserve"> </w:t>
      </w:r>
      <w:r w:rsidRPr="00C56410">
        <w:rPr>
          <w:rFonts w:asciiTheme="minorHAnsi" w:hAnsiTheme="minorHAnsi"/>
          <w:b/>
          <w:sz w:val="22"/>
          <w:szCs w:val="22"/>
        </w:rPr>
        <w:t>řízení</w:t>
      </w:r>
      <w:r w:rsidR="00B61EC7" w:rsidRPr="00C56410">
        <w:rPr>
          <w:rFonts w:asciiTheme="minorHAnsi" w:hAnsiTheme="minorHAnsi"/>
          <w:b/>
          <w:sz w:val="22"/>
          <w:szCs w:val="22"/>
        </w:rPr>
        <w:t xml:space="preserve"> </w:t>
      </w:r>
    </w:p>
    <w:p w14:paraId="7790FEC5" w14:textId="0B077B73" w:rsidR="00393159" w:rsidRPr="00605625" w:rsidRDefault="007D0010" w:rsidP="000A060F">
      <w:pPr>
        <w:pStyle w:val="Odstavecseseznamem"/>
        <w:numPr>
          <w:ilvl w:val="0"/>
          <w:numId w:val="8"/>
        </w:numPr>
        <w:tabs>
          <w:tab w:val="clear" w:pos="928"/>
          <w:tab w:val="num" w:pos="1134"/>
        </w:tabs>
        <w:overflowPunct w:val="0"/>
        <w:autoSpaceDE w:val="0"/>
        <w:autoSpaceDN w:val="0"/>
        <w:adjustRightInd w:val="0"/>
        <w:spacing w:before="160" w:line="293" w:lineRule="auto"/>
        <w:ind w:left="1134" w:hanging="322"/>
        <w:contextualSpacing w:val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bookmarkStart w:id="4" w:name="_Hlk63351440"/>
      <w:r w:rsidRPr="00605625">
        <w:rPr>
          <w:rFonts w:asciiTheme="minorHAnsi" w:hAnsiTheme="minorHAnsi"/>
          <w:i/>
          <w:sz w:val="22"/>
          <w:szCs w:val="22"/>
        </w:rPr>
        <w:t>Proces územního řízení pro projekt NJZ EDU II je v</w:t>
      </w:r>
      <w:r w:rsidR="000A060F" w:rsidRPr="00605625">
        <w:rPr>
          <w:rFonts w:asciiTheme="minorHAnsi" w:hAnsiTheme="minorHAnsi"/>
          <w:i/>
          <w:sz w:val="22"/>
          <w:szCs w:val="22"/>
        </w:rPr>
        <w:t> </w:t>
      </w:r>
      <w:r w:rsidRPr="00605625">
        <w:rPr>
          <w:rFonts w:asciiTheme="minorHAnsi" w:hAnsiTheme="minorHAnsi"/>
          <w:i/>
          <w:sz w:val="22"/>
          <w:szCs w:val="22"/>
        </w:rPr>
        <w:t xml:space="preserve">souladu se </w:t>
      </w:r>
      <w:r w:rsidR="00AE0571" w:rsidRPr="00AE0571">
        <w:rPr>
          <w:rFonts w:asciiTheme="minorHAnsi" w:hAnsiTheme="minorHAnsi"/>
          <w:i/>
          <w:sz w:val="22"/>
          <w:szCs w:val="22"/>
        </w:rPr>
        <w:t>se souvisejícími stavebními předpisy</w:t>
      </w:r>
      <w:r w:rsidRPr="00605625">
        <w:rPr>
          <w:rFonts w:asciiTheme="minorHAnsi" w:hAnsiTheme="minorHAnsi"/>
          <w:i/>
          <w:sz w:val="22"/>
          <w:szCs w:val="22"/>
        </w:rPr>
        <w:t xml:space="preserve"> v</w:t>
      </w:r>
      <w:r w:rsidR="000A060F" w:rsidRPr="00605625">
        <w:rPr>
          <w:rFonts w:asciiTheme="minorHAnsi" w:hAnsiTheme="minorHAnsi"/>
          <w:i/>
          <w:sz w:val="22"/>
          <w:szCs w:val="22"/>
        </w:rPr>
        <w:t> </w:t>
      </w:r>
      <w:r w:rsidRPr="00605625">
        <w:rPr>
          <w:rFonts w:asciiTheme="minorHAnsi" w:hAnsiTheme="minorHAnsi"/>
          <w:i/>
          <w:sz w:val="22"/>
          <w:szCs w:val="22"/>
        </w:rPr>
        <w:t xml:space="preserve">kompetenci místně příslušného stavebního úřadu. Městský úřad </w:t>
      </w:r>
      <w:proofErr w:type="gramStart"/>
      <w:r w:rsidRPr="00605625">
        <w:rPr>
          <w:rFonts w:asciiTheme="minorHAnsi" w:hAnsiTheme="minorHAnsi"/>
          <w:i/>
          <w:sz w:val="22"/>
          <w:szCs w:val="22"/>
        </w:rPr>
        <w:t>Třebíč</w:t>
      </w:r>
      <w:r w:rsidR="000168C9">
        <w:rPr>
          <w:rFonts w:asciiTheme="minorHAnsi" w:hAnsiTheme="minorHAnsi"/>
          <w:i/>
          <w:sz w:val="22"/>
          <w:szCs w:val="22"/>
        </w:rPr>
        <w:t xml:space="preserve"> -</w:t>
      </w:r>
      <w:r w:rsidRPr="00605625">
        <w:rPr>
          <w:rFonts w:asciiTheme="minorHAnsi" w:hAnsiTheme="minorHAnsi"/>
          <w:i/>
          <w:sz w:val="22"/>
          <w:szCs w:val="22"/>
        </w:rPr>
        <w:t xml:space="preserve"> odbor</w:t>
      </w:r>
      <w:proofErr w:type="gramEnd"/>
      <w:r w:rsidRPr="00605625">
        <w:rPr>
          <w:rFonts w:asciiTheme="minorHAnsi" w:hAnsiTheme="minorHAnsi"/>
          <w:i/>
          <w:sz w:val="22"/>
          <w:szCs w:val="22"/>
        </w:rPr>
        <w:t xml:space="preserve"> výstavby</w:t>
      </w:r>
      <w:r w:rsidR="004F12F2" w:rsidRPr="00605625">
        <w:rPr>
          <w:rFonts w:asciiTheme="minorHAnsi" w:hAnsiTheme="minorHAnsi"/>
          <w:i/>
          <w:sz w:val="22"/>
          <w:szCs w:val="22"/>
        </w:rPr>
        <w:t xml:space="preserve"> v</w:t>
      </w:r>
      <w:r w:rsidR="000A060F" w:rsidRPr="00605625">
        <w:rPr>
          <w:rFonts w:asciiTheme="minorHAnsi" w:hAnsiTheme="minorHAnsi"/>
          <w:i/>
          <w:sz w:val="22"/>
          <w:szCs w:val="22"/>
        </w:rPr>
        <w:t> </w:t>
      </w:r>
      <w:r w:rsidR="004F12F2" w:rsidRPr="00605625">
        <w:rPr>
          <w:rFonts w:asciiTheme="minorHAnsi" w:hAnsiTheme="minorHAnsi"/>
          <w:i/>
          <w:sz w:val="22"/>
          <w:szCs w:val="22"/>
        </w:rPr>
        <w:t>roce 2022 lhůtu pro vydání územního rozhodnutí pro umístění NJZ EDU II prodloužil do</w:t>
      </w:r>
      <w:r w:rsidR="000168C9">
        <w:rPr>
          <w:rFonts w:asciiTheme="minorHAnsi" w:hAnsiTheme="minorHAnsi"/>
          <w:i/>
          <w:sz w:val="22"/>
          <w:szCs w:val="22"/>
        </w:rPr>
        <w:t> </w:t>
      </w:r>
      <w:r w:rsidR="00393159" w:rsidRPr="00605625">
        <w:rPr>
          <w:rFonts w:asciiTheme="minorHAnsi" w:hAnsiTheme="minorHAnsi"/>
          <w:i/>
          <w:sz w:val="22"/>
          <w:szCs w:val="22"/>
        </w:rPr>
        <w:t>1.</w:t>
      </w:r>
      <w:r w:rsidR="000168C9">
        <w:rPr>
          <w:rFonts w:asciiTheme="minorHAnsi" w:hAnsiTheme="minorHAnsi"/>
          <w:i/>
          <w:sz w:val="22"/>
          <w:szCs w:val="22"/>
        </w:rPr>
        <w:t> </w:t>
      </w:r>
      <w:r w:rsidR="0000002A">
        <w:rPr>
          <w:rFonts w:asciiTheme="minorHAnsi" w:hAnsiTheme="minorHAnsi"/>
          <w:i/>
          <w:sz w:val="22"/>
          <w:szCs w:val="22"/>
        </w:rPr>
        <w:t>března</w:t>
      </w:r>
      <w:r w:rsidR="00393159" w:rsidRPr="00605625">
        <w:rPr>
          <w:rFonts w:asciiTheme="minorHAnsi" w:hAnsiTheme="minorHAnsi"/>
          <w:i/>
          <w:sz w:val="22"/>
          <w:szCs w:val="22"/>
        </w:rPr>
        <w:t xml:space="preserve"> 2023).</w:t>
      </w:r>
    </w:p>
    <w:bookmarkEnd w:id="3"/>
    <w:bookmarkEnd w:id="4"/>
    <w:p w14:paraId="6688D6E4" w14:textId="4E7F1F59" w:rsidR="008E55E9" w:rsidRPr="00C56410" w:rsidRDefault="008E55E9" w:rsidP="00473EA8">
      <w:pPr>
        <w:pStyle w:val="Odstavecseseznamem"/>
        <w:numPr>
          <w:ilvl w:val="0"/>
          <w:numId w:val="5"/>
        </w:numPr>
        <w:spacing w:before="160" w:line="293" w:lineRule="auto"/>
        <w:ind w:left="784" w:hanging="358"/>
        <w:contextualSpacing w:val="0"/>
        <w:jc w:val="both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/>
          <w:bCs/>
          <w:sz w:val="22"/>
          <w:szCs w:val="22"/>
          <w:lang w:eastAsia="en-US"/>
        </w:rPr>
        <w:t>Jednání s</w:t>
      </w:r>
      <w:r w:rsidR="000A060F">
        <w:rPr>
          <w:rFonts w:asciiTheme="minorHAnsi" w:hAnsiTheme="minorHAnsi"/>
          <w:b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/>
          <w:bCs/>
          <w:sz w:val="22"/>
          <w:szCs w:val="22"/>
          <w:lang w:eastAsia="en-US"/>
        </w:rPr>
        <w:t>Evropskou komisí</w:t>
      </w:r>
    </w:p>
    <w:p w14:paraId="11677BCE" w14:textId="1DE2CCB3" w:rsidR="00EA6457" w:rsidRPr="00C56410" w:rsidRDefault="001C0E79" w:rsidP="00473EA8">
      <w:pPr>
        <w:pStyle w:val="Odstavecseseznamem"/>
        <w:numPr>
          <w:ilvl w:val="0"/>
          <w:numId w:val="40"/>
        </w:numPr>
        <w:spacing w:before="160" w:line="293" w:lineRule="auto"/>
        <w:ind w:left="1148" w:hanging="294"/>
        <w:contextualSpacing w:val="0"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  <w:lang w:eastAsia="en-US"/>
        </w:rPr>
        <w:t xml:space="preserve">Na základě dohody s komisí </w:t>
      </w:r>
      <w:r w:rsidR="00FB0D43">
        <w:rPr>
          <w:rFonts w:asciiTheme="minorHAnsi" w:hAnsiTheme="minorHAnsi"/>
          <w:bCs/>
          <w:sz w:val="22"/>
          <w:szCs w:val="22"/>
          <w:lang w:eastAsia="en-US"/>
        </w:rPr>
        <w:t>ČR</w:t>
      </w:r>
      <w:r w:rsidR="00894B42">
        <w:rPr>
          <w:rFonts w:asciiTheme="minorHAnsi" w:hAnsiTheme="minorHAnsi"/>
          <w:bCs/>
          <w:sz w:val="22"/>
          <w:szCs w:val="22"/>
          <w:lang w:eastAsia="en-US"/>
        </w:rPr>
        <w:t xml:space="preserve"> zahájila,</w:t>
      </w:r>
      <w:r w:rsidR="00FB0D43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bCs/>
          <w:sz w:val="22"/>
          <w:szCs w:val="22"/>
          <w:lang w:eastAsia="en-US"/>
        </w:rPr>
        <w:t>p</w:t>
      </w:r>
      <w:r w:rsidR="00EA6457"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aralelně </w:t>
      </w:r>
      <w:r w:rsidR="00FB0D43">
        <w:rPr>
          <w:rFonts w:asciiTheme="minorHAnsi" w:hAnsiTheme="minorHAnsi"/>
          <w:bCs/>
          <w:sz w:val="22"/>
          <w:szCs w:val="22"/>
          <w:lang w:eastAsia="en-US"/>
        </w:rPr>
        <w:t xml:space="preserve">s vyhlášením </w:t>
      </w:r>
      <w:r w:rsidR="00EA6457" w:rsidRPr="00C56410">
        <w:rPr>
          <w:rFonts w:asciiTheme="minorHAnsi" w:hAnsiTheme="minorHAnsi"/>
          <w:bCs/>
          <w:sz w:val="22"/>
          <w:szCs w:val="22"/>
          <w:lang w:eastAsia="en-US"/>
        </w:rPr>
        <w:t>výběrové</w:t>
      </w:r>
      <w:r w:rsidR="00FB0D43">
        <w:rPr>
          <w:rFonts w:asciiTheme="minorHAnsi" w:hAnsiTheme="minorHAnsi"/>
          <w:bCs/>
          <w:sz w:val="22"/>
          <w:szCs w:val="22"/>
          <w:lang w:eastAsia="en-US"/>
        </w:rPr>
        <w:t>ho</w:t>
      </w:r>
      <w:r w:rsidR="00EA6457"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řízení </w:t>
      </w:r>
      <w:r w:rsidR="008264C7">
        <w:rPr>
          <w:rFonts w:asciiTheme="minorHAnsi" w:hAnsiTheme="minorHAnsi"/>
          <w:bCs/>
          <w:sz w:val="22"/>
          <w:szCs w:val="22"/>
          <w:lang w:eastAsia="en-US"/>
        </w:rPr>
        <w:t>na</w:t>
      </w:r>
      <w:r w:rsidR="000168C9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8264C7">
        <w:rPr>
          <w:rFonts w:asciiTheme="minorHAnsi" w:hAnsiTheme="minorHAnsi"/>
          <w:bCs/>
          <w:sz w:val="22"/>
          <w:szCs w:val="22"/>
          <w:lang w:eastAsia="en-US"/>
        </w:rPr>
        <w:t xml:space="preserve">dodavatele </w:t>
      </w:r>
      <w:proofErr w:type="spellStart"/>
      <w:r w:rsidR="008264C7">
        <w:rPr>
          <w:rFonts w:asciiTheme="minorHAnsi" w:hAnsiTheme="minorHAnsi"/>
          <w:bCs/>
          <w:sz w:val="22"/>
          <w:szCs w:val="22"/>
          <w:lang w:eastAsia="en-US"/>
        </w:rPr>
        <w:t>NJZ</w:t>
      </w:r>
      <w:proofErr w:type="spellEnd"/>
      <w:r w:rsidR="008264C7">
        <w:rPr>
          <w:rFonts w:asciiTheme="minorHAnsi" w:hAnsiTheme="minorHAnsi"/>
          <w:bCs/>
          <w:sz w:val="22"/>
          <w:szCs w:val="22"/>
          <w:lang w:eastAsia="en-US"/>
        </w:rPr>
        <w:t xml:space="preserve"> EDU II</w:t>
      </w:r>
      <w:r w:rsidR="00894B42">
        <w:rPr>
          <w:rFonts w:asciiTheme="minorHAnsi" w:hAnsiTheme="minorHAnsi"/>
          <w:bCs/>
          <w:sz w:val="22"/>
          <w:szCs w:val="22"/>
          <w:lang w:eastAsia="en-US"/>
        </w:rPr>
        <w:t>,</w:t>
      </w:r>
      <w:r w:rsidR="008264C7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  <w:r w:rsidR="00FB0D43"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dne </w:t>
      </w:r>
      <w:r w:rsidR="00FB0D43" w:rsidRPr="00C56410">
        <w:rPr>
          <w:rFonts w:asciiTheme="minorHAnsi" w:hAnsiTheme="minorHAnsi"/>
          <w:bCs/>
          <w:sz w:val="22"/>
          <w:szCs w:val="22"/>
          <w:u w:val="single"/>
          <w:lang w:eastAsia="en-US"/>
        </w:rPr>
        <w:t xml:space="preserve">15. března 2022 </w:t>
      </w:r>
      <w:r w:rsidR="00EA6457" w:rsidRPr="00C56410">
        <w:rPr>
          <w:rFonts w:asciiTheme="minorHAnsi" w:hAnsiTheme="minorHAnsi"/>
          <w:bCs/>
          <w:sz w:val="22"/>
          <w:szCs w:val="22"/>
          <w:lang w:eastAsia="en-US"/>
        </w:rPr>
        <w:t>prostřednictvím ÚO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H</w:t>
      </w:r>
      <w:r w:rsidR="00EA6457" w:rsidRPr="00C56410">
        <w:rPr>
          <w:rFonts w:asciiTheme="minorHAnsi" w:hAnsiTheme="minorHAnsi"/>
          <w:bCs/>
          <w:sz w:val="22"/>
          <w:szCs w:val="22"/>
          <w:lang w:eastAsia="en-US"/>
        </w:rPr>
        <w:t>S proces notifikace veřejné podpory podle čl. 108 odst. 3 SFEU poskytované v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="00EA6457" w:rsidRPr="00C56410">
        <w:rPr>
          <w:rFonts w:asciiTheme="minorHAnsi" w:hAnsiTheme="minorHAnsi"/>
          <w:bCs/>
          <w:sz w:val="22"/>
          <w:szCs w:val="22"/>
          <w:lang w:eastAsia="en-US"/>
        </w:rPr>
        <w:t>rámci projektu NJZ EDU II.</w:t>
      </w:r>
    </w:p>
    <w:p w14:paraId="48D12F82" w14:textId="20D3B35D" w:rsidR="00EA6457" w:rsidRPr="00C56410" w:rsidRDefault="00EA6457" w:rsidP="00473EA8">
      <w:pPr>
        <w:pStyle w:val="Odstavecseseznamem"/>
        <w:numPr>
          <w:ilvl w:val="0"/>
          <w:numId w:val="40"/>
        </w:numPr>
        <w:spacing w:before="160" w:line="293" w:lineRule="auto"/>
        <w:ind w:left="1176" w:hanging="308"/>
        <w:contextualSpacing w:val="0"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Generální ředitelství </w:t>
      </w:r>
      <w:r w:rsidR="005B4160">
        <w:rPr>
          <w:rFonts w:asciiTheme="minorHAnsi" w:hAnsiTheme="minorHAnsi"/>
          <w:bCs/>
          <w:sz w:val="22"/>
          <w:szCs w:val="22"/>
          <w:lang w:eastAsia="en-US"/>
        </w:rPr>
        <w:t xml:space="preserve">EK 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pro hospodářskou soutěž dne </w:t>
      </w:r>
      <w:r w:rsidRPr="00C56410">
        <w:rPr>
          <w:rFonts w:asciiTheme="minorHAnsi" w:hAnsiTheme="minorHAnsi"/>
          <w:bCs/>
          <w:sz w:val="22"/>
          <w:szCs w:val="22"/>
          <w:u w:val="single"/>
          <w:lang w:eastAsia="en-US"/>
        </w:rPr>
        <w:t>30. června 2022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 oznámilo rozhodnutí zahájit hloubkové šetření s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cílem posoudit, zda je veřejná podpora, kterou Česko plánuje poskytnout na výstavbu nové jaderné elektrárny </w:t>
      </w:r>
      <w:r w:rsidR="000475EC">
        <w:rPr>
          <w:rFonts w:asciiTheme="minorHAnsi" w:hAnsiTheme="minorHAnsi"/>
          <w:bCs/>
          <w:sz w:val="22"/>
          <w:szCs w:val="22"/>
          <w:lang w:eastAsia="en-US"/>
        </w:rPr>
        <w:t>NJZ EDU II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, v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souladu s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pravidly Evropské unie pro státní podporu (formální vyšetřovací řízení, zahájeno 5.</w:t>
      </w:r>
      <w:r w:rsidR="0000002A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srpna 2022).</w:t>
      </w:r>
      <w:r w:rsidR="005B4160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</w:p>
    <w:p w14:paraId="6FD020AC" w14:textId="1B49463B" w:rsidR="00EA6457" w:rsidRPr="00C56410" w:rsidRDefault="00EA6457" w:rsidP="00473EA8">
      <w:pPr>
        <w:pStyle w:val="Odstavecseseznamem"/>
        <w:numPr>
          <w:ilvl w:val="0"/>
          <w:numId w:val="40"/>
        </w:numPr>
        <w:spacing w:before="160" w:line="293" w:lineRule="auto"/>
        <w:ind w:left="1176" w:hanging="252"/>
        <w:contextualSpacing w:val="0"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Cs/>
          <w:sz w:val="22"/>
          <w:szCs w:val="22"/>
          <w:lang w:eastAsia="en-US"/>
        </w:rPr>
        <w:t>Dne 31. srpna 2022 bylo odesláno vyjádření ČR k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rozhodnutí o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zahájení formálního vyšetřovacího řízení. </w:t>
      </w:r>
    </w:p>
    <w:p w14:paraId="182E5BCB" w14:textId="65189DEC" w:rsidR="00EA6457" w:rsidRPr="00C56410" w:rsidRDefault="00EA6457" w:rsidP="00473EA8">
      <w:pPr>
        <w:pStyle w:val="Odstavecseseznamem"/>
        <w:numPr>
          <w:ilvl w:val="0"/>
          <w:numId w:val="40"/>
        </w:numPr>
        <w:spacing w:before="160" w:line="293" w:lineRule="auto"/>
        <w:ind w:left="1190" w:hanging="294"/>
        <w:contextualSpacing w:val="0"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Cs/>
          <w:sz w:val="22"/>
          <w:szCs w:val="22"/>
          <w:lang w:eastAsia="en-US"/>
        </w:rPr>
        <w:t>ČR prostřednictvím Ú</w:t>
      </w:r>
      <w:r w:rsidR="001C0E79" w:rsidRPr="00C56410">
        <w:rPr>
          <w:rFonts w:asciiTheme="minorHAnsi" w:hAnsiTheme="minorHAnsi"/>
          <w:bCs/>
          <w:sz w:val="22"/>
          <w:szCs w:val="22"/>
          <w:lang w:eastAsia="en-US"/>
        </w:rPr>
        <w:t>O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HS v</w:t>
      </w:r>
      <w:r w:rsidR="000A060F">
        <w:rPr>
          <w:rFonts w:asciiTheme="minorHAnsi" w:hAnsiTheme="minorHAnsi"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říjnu 2022</w:t>
      </w:r>
      <w:r w:rsidR="0004057F">
        <w:rPr>
          <w:rFonts w:asciiTheme="minorHAnsi" w:hAnsiTheme="minorHAnsi"/>
          <w:bCs/>
          <w:sz w:val="22"/>
          <w:szCs w:val="22"/>
          <w:lang w:eastAsia="en-US"/>
        </w:rPr>
        <w:t xml:space="preserve"> zaslala vyjádření k zaslaným připomínkám dotčených států a organizací.</w:t>
      </w:r>
    </w:p>
    <w:p w14:paraId="48C0FFF5" w14:textId="4A0D7222" w:rsidR="00570925" w:rsidRPr="00C56410" w:rsidRDefault="004865E7" w:rsidP="00473EA8">
      <w:pPr>
        <w:pStyle w:val="Odstavecseseznamem"/>
        <w:numPr>
          <w:ilvl w:val="0"/>
          <w:numId w:val="5"/>
        </w:numPr>
        <w:tabs>
          <w:tab w:val="clear" w:pos="928"/>
          <w:tab w:val="num" w:pos="851"/>
        </w:tabs>
        <w:spacing w:before="160" w:line="293" w:lineRule="auto"/>
        <w:ind w:left="851" w:hanging="431"/>
        <w:contextualSpacing w:val="0"/>
        <w:jc w:val="both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/>
          <w:bCs/>
          <w:sz w:val="22"/>
          <w:szCs w:val="22"/>
          <w:lang w:eastAsia="en-US"/>
        </w:rPr>
        <w:t>Financování nového jaderného zdroje</w:t>
      </w:r>
    </w:p>
    <w:p w14:paraId="36C4FAF0" w14:textId="08C233C3" w:rsidR="00AC6561" w:rsidRPr="00C56410" w:rsidRDefault="00B73D0C" w:rsidP="00AD3709">
      <w:pPr>
        <w:pStyle w:val="Odstavecseseznamem"/>
        <w:numPr>
          <w:ilvl w:val="0"/>
          <w:numId w:val="8"/>
        </w:numPr>
        <w:tabs>
          <w:tab w:val="clear" w:pos="928"/>
        </w:tabs>
        <w:overflowPunct w:val="0"/>
        <w:autoSpaceDE w:val="0"/>
        <w:autoSpaceDN w:val="0"/>
        <w:adjustRightInd w:val="0"/>
        <w:spacing w:before="160" w:line="293" w:lineRule="auto"/>
        <w:ind w:left="1044" w:hanging="193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C56410">
        <w:rPr>
          <w:rFonts w:asciiTheme="minorHAnsi" w:hAnsiTheme="minorHAnsi"/>
          <w:sz w:val="22"/>
          <w:szCs w:val="22"/>
        </w:rPr>
        <w:t>V</w:t>
      </w:r>
      <w:r w:rsidR="003A39F8" w:rsidRPr="00C56410">
        <w:rPr>
          <w:rFonts w:asciiTheme="minorHAnsi" w:hAnsiTheme="minorHAnsi"/>
          <w:sz w:val="22"/>
          <w:szCs w:val="22"/>
        </w:rPr>
        <w:t>e sledované</w:t>
      </w:r>
      <w:r w:rsidR="005B4160">
        <w:rPr>
          <w:rFonts w:asciiTheme="minorHAnsi" w:hAnsiTheme="minorHAnsi"/>
          <w:sz w:val="22"/>
          <w:szCs w:val="22"/>
        </w:rPr>
        <w:t>m</w:t>
      </w:r>
      <w:r w:rsidR="003A39F8" w:rsidRPr="00C56410">
        <w:rPr>
          <w:rFonts w:asciiTheme="minorHAnsi" w:hAnsiTheme="minorHAnsi"/>
          <w:sz w:val="22"/>
          <w:szCs w:val="22"/>
        </w:rPr>
        <w:t xml:space="preserve"> období</w:t>
      </w:r>
      <w:r w:rsidR="005B4160">
        <w:rPr>
          <w:rFonts w:asciiTheme="minorHAnsi" w:hAnsiTheme="minorHAnsi"/>
          <w:sz w:val="22"/>
          <w:szCs w:val="22"/>
        </w:rPr>
        <w:t xml:space="preserve"> se</w:t>
      </w:r>
      <w:r w:rsidR="003A39F8" w:rsidRPr="00C56410">
        <w:rPr>
          <w:rFonts w:asciiTheme="minorHAnsi" w:hAnsiTheme="minorHAnsi"/>
          <w:sz w:val="22"/>
          <w:szCs w:val="22"/>
        </w:rPr>
        <w:t xml:space="preserve"> sekce jaderné energetiky MPO </w:t>
      </w:r>
      <w:r w:rsidR="00F97497">
        <w:rPr>
          <w:rFonts w:asciiTheme="minorHAnsi" w:hAnsiTheme="minorHAnsi"/>
          <w:sz w:val="22"/>
          <w:szCs w:val="22"/>
        </w:rPr>
        <w:t>v</w:t>
      </w:r>
      <w:r w:rsidR="000A060F">
        <w:rPr>
          <w:rFonts w:asciiTheme="minorHAnsi" w:hAnsiTheme="minorHAnsi"/>
          <w:sz w:val="22"/>
          <w:szCs w:val="22"/>
        </w:rPr>
        <w:t> </w:t>
      </w:r>
      <w:r w:rsidR="00F97497">
        <w:rPr>
          <w:rFonts w:asciiTheme="minorHAnsi" w:hAnsiTheme="minorHAnsi"/>
          <w:sz w:val="22"/>
          <w:szCs w:val="22"/>
        </w:rPr>
        <w:t>návaznosti na v</w:t>
      </w:r>
      <w:r w:rsidR="000A060F">
        <w:rPr>
          <w:rFonts w:asciiTheme="minorHAnsi" w:hAnsiTheme="minorHAnsi"/>
          <w:sz w:val="22"/>
          <w:szCs w:val="22"/>
        </w:rPr>
        <w:t> </w:t>
      </w:r>
      <w:r w:rsidR="00F97497">
        <w:rPr>
          <w:rFonts w:asciiTheme="minorHAnsi" w:hAnsiTheme="minorHAnsi"/>
          <w:sz w:val="22"/>
          <w:szCs w:val="22"/>
        </w:rPr>
        <w:t>roce 2021 vyjednané principy</w:t>
      </w:r>
      <w:r w:rsidR="003A39F8" w:rsidRPr="00C56410">
        <w:rPr>
          <w:rFonts w:asciiTheme="minorHAnsi" w:hAnsiTheme="minorHAnsi"/>
          <w:sz w:val="22"/>
          <w:szCs w:val="22"/>
        </w:rPr>
        <w:t xml:space="preserve"> smluvního uspořádání mezi státem a</w:t>
      </w:r>
      <w:r w:rsidR="000A060F">
        <w:rPr>
          <w:rFonts w:asciiTheme="minorHAnsi" w:hAnsiTheme="minorHAnsi"/>
          <w:sz w:val="22"/>
          <w:szCs w:val="22"/>
        </w:rPr>
        <w:t> </w:t>
      </w:r>
      <w:r w:rsidR="003A39F8" w:rsidRPr="00C56410">
        <w:rPr>
          <w:rFonts w:asciiTheme="minorHAnsi" w:hAnsiTheme="minorHAnsi"/>
          <w:sz w:val="22"/>
          <w:szCs w:val="22"/>
        </w:rPr>
        <w:t xml:space="preserve">investorem pro </w:t>
      </w:r>
      <w:r w:rsidR="00F97497">
        <w:rPr>
          <w:rFonts w:asciiTheme="minorHAnsi" w:hAnsiTheme="minorHAnsi"/>
          <w:sz w:val="22"/>
          <w:szCs w:val="22"/>
        </w:rPr>
        <w:t xml:space="preserve">další </w:t>
      </w:r>
      <w:r w:rsidR="003A39F8" w:rsidRPr="00C56410">
        <w:rPr>
          <w:rFonts w:asciiTheme="minorHAnsi" w:hAnsiTheme="minorHAnsi"/>
          <w:sz w:val="22"/>
          <w:szCs w:val="22"/>
        </w:rPr>
        <w:t xml:space="preserve">fáze projektu po </w:t>
      </w:r>
      <w:r w:rsidR="00F97497">
        <w:rPr>
          <w:rFonts w:asciiTheme="minorHAnsi" w:hAnsiTheme="minorHAnsi"/>
          <w:sz w:val="22"/>
          <w:szCs w:val="22"/>
        </w:rPr>
        <w:t xml:space="preserve">výběru </w:t>
      </w:r>
      <w:proofErr w:type="spellStart"/>
      <w:r w:rsidR="00F97497">
        <w:rPr>
          <w:rFonts w:asciiTheme="minorHAnsi" w:hAnsiTheme="minorHAnsi"/>
          <w:sz w:val="22"/>
          <w:szCs w:val="22"/>
        </w:rPr>
        <w:t>EPC</w:t>
      </w:r>
      <w:proofErr w:type="spellEnd"/>
      <w:r w:rsidR="00F97497">
        <w:rPr>
          <w:rFonts w:asciiTheme="minorHAnsi" w:hAnsiTheme="minorHAnsi"/>
          <w:sz w:val="22"/>
          <w:szCs w:val="22"/>
        </w:rPr>
        <w:t xml:space="preserve"> dodavatele </w:t>
      </w:r>
      <w:r w:rsidR="00D17E80">
        <w:rPr>
          <w:rFonts w:asciiTheme="minorHAnsi" w:hAnsiTheme="minorHAnsi"/>
          <w:sz w:val="22"/>
          <w:szCs w:val="22"/>
        </w:rPr>
        <w:t>věnovala přípravě</w:t>
      </w:r>
      <w:r w:rsidR="00F97497">
        <w:rPr>
          <w:rFonts w:asciiTheme="minorHAnsi" w:hAnsiTheme="minorHAnsi"/>
          <w:sz w:val="22"/>
          <w:szCs w:val="22"/>
        </w:rPr>
        <w:t xml:space="preserve"> paragrafovaného znění smlouvy o</w:t>
      </w:r>
      <w:r w:rsidR="000A060F">
        <w:rPr>
          <w:rFonts w:asciiTheme="minorHAnsi" w:hAnsiTheme="minorHAnsi"/>
          <w:sz w:val="22"/>
          <w:szCs w:val="22"/>
        </w:rPr>
        <w:t> </w:t>
      </w:r>
      <w:r w:rsidR="00F97497">
        <w:rPr>
          <w:rFonts w:asciiTheme="minorHAnsi" w:hAnsiTheme="minorHAnsi"/>
          <w:sz w:val="22"/>
          <w:szCs w:val="22"/>
        </w:rPr>
        <w:t>výkupu elektřiny a</w:t>
      </w:r>
      <w:r w:rsidR="000A060F">
        <w:rPr>
          <w:rFonts w:asciiTheme="minorHAnsi" w:hAnsiTheme="minorHAnsi"/>
          <w:sz w:val="22"/>
          <w:szCs w:val="22"/>
        </w:rPr>
        <w:t> </w:t>
      </w:r>
      <w:r w:rsidR="00F97497">
        <w:rPr>
          <w:rFonts w:asciiTheme="minorHAnsi" w:hAnsiTheme="minorHAnsi"/>
          <w:sz w:val="22"/>
          <w:szCs w:val="22"/>
        </w:rPr>
        <w:t>investorské smlouvy. Paralelně probíhala příprava programu</w:t>
      </w:r>
      <w:r w:rsidR="00605625">
        <w:rPr>
          <w:rFonts w:asciiTheme="minorHAnsi" w:hAnsiTheme="minorHAnsi"/>
          <w:sz w:val="22"/>
          <w:szCs w:val="22"/>
        </w:rPr>
        <w:t>,</w:t>
      </w:r>
      <w:r w:rsidR="00F97497">
        <w:rPr>
          <w:rFonts w:asciiTheme="minorHAnsi" w:hAnsiTheme="minorHAnsi"/>
          <w:sz w:val="22"/>
          <w:szCs w:val="22"/>
        </w:rPr>
        <w:t xml:space="preserve"> v</w:t>
      </w:r>
      <w:r w:rsidR="000A060F">
        <w:rPr>
          <w:rFonts w:asciiTheme="minorHAnsi" w:hAnsiTheme="minorHAnsi"/>
          <w:sz w:val="22"/>
          <w:szCs w:val="22"/>
        </w:rPr>
        <w:t> </w:t>
      </w:r>
      <w:proofErr w:type="gramStart"/>
      <w:r w:rsidR="00F97497">
        <w:rPr>
          <w:rFonts w:asciiTheme="minorHAnsi" w:hAnsiTheme="minorHAnsi"/>
          <w:sz w:val="22"/>
          <w:szCs w:val="22"/>
        </w:rPr>
        <w:t>rámci</w:t>
      </w:r>
      <w:proofErr w:type="gramEnd"/>
      <w:r w:rsidR="00F97497">
        <w:rPr>
          <w:rFonts w:asciiTheme="minorHAnsi" w:hAnsiTheme="minorHAnsi"/>
          <w:sz w:val="22"/>
          <w:szCs w:val="22"/>
        </w:rPr>
        <w:t xml:space="preserve"> kterého bude formou rozhodnutí ministra průmyslu a</w:t>
      </w:r>
      <w:r w:rsidR="000A060F">
        <w:rPr>
          <w:rFonts w:asciiTheme="minorHAnsi" w:hAnsiTheme="minorHAnsi"/>
          <w:sz w:val="22"/>
          <w:szCs w:val="22"/>
        </w:rPr>
        <w:t> </w:t>
      </w:r>
      <w:r w:rsidR="00F97497">
        <w:rPr>
          <w:rFonts w:asciiTheme="minorHAnsi" w:hAnsiTheme="minorHAnsi"/>
          <w:sz w:val="22"/>
          <w:szCs w:val="22"/>
        </w:rPr>
        <w:t>obchodu poskytnuta návratná finanční výpomoc.</w:t>
      </w:r>
      <w:r w:rsidR="00D94786">
        <w:rPr>
          <w:rFonts w:asciiTheme="minorHAnsi" w:hAnsiTheme="minorHAnsi"/>
          <w:sz w:val="22"/>
          <w:szCs w:val="22"/>
        </w:rPr>
        <w:t xml:space="preserve"> </w:t>
      </w:r>
      <w:r w:rsidR="00D94786" w:rsidRPr="00C127C7">
        <w:rPr>
          <w:rFonts w:asciiTheme="minorHAnsi" w:hAnsiTheme="minorHAnsi"/>
          <w:sz w:val="22"/>
          <w:szCs w:val="22"/>
        </w:rPr>
        <w:t>Finalizace těchto smluv a</w:t>
      </w:r>
      <w:r w:rsidR="000A060F" w:rsidRPr="00C127C7">
        <w:rPr>
          <w:rFonts w:asciiTheme="minorHAnsi" w:hAnsiTheme="minorHAnsi"/>
          <w:sz w:val="22"/>
          <w:szCs w:val="22"/>
        </w:rPr>
        <w:t> </w:t>
      </w:r>
      <w:r w:rsidR="00D94786" w:rsidRPr="00C127C7">
        <w:rPr>
          <w:rFonts w:asciiTheme="minorHAnsi" w:hAnsiTheme="minorHAnsi"/>
          <w:sz w:val="22"/>
          <w:szCs w:val="22"/>
        </w:rPr>
        <w:t>forma financování bude závislá na možné transformaci společnosti ČEZ, a. s.</w:t>
      </w:r>
    </w:p>
    <w:p w14:paraId="4957E901" w14:textId="696D7ACE" w:rsidR="00466165" w:rsidRPr="00C56410" w:rsidRDefault="00A109A9" w:rsidP="00473EA8">
      <w:pPr>
        <w:pStyle w:val="Odstavecseseznamem"/>
        <w:numPr>
          <w:ilvl w:val="0"/>
          <w:numId w:val="5"/>
        </w:numPr>
        <w:tabs>
          <w:tab w:val="clear" w:pos="928"/>
          <w:tab w:val="num" w:pos="851"/>
        </w:tabs>
        <w:spacing w:before="160" w:line="293" w:lineRule="auto"/>
        <w:ind w:left="851" w:hanging="431"/>
        <w:contextualSpacing w:val="0"/>
        <w:jc w:val="both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/>
          <w:bCs/>
          <w:sz w:val="22"/>
          <w:szCs w:val="22"/>
          <w:lang w:eastAsia="en-US"/>
        </w:rPr>
        <w:t>Úpravy legislativy</w:t>
      </w:r>
    </w:p>
    <w:p w14:paraId="59DA94F7" w14:textId="0437A1A2" w:rsidR="00306E5E" w:rsidRPr="00C56410" w:rsidRDefault="00306E5E" w:rsidP="00473EA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60" w:line="293" w:lineRule="auto"/>
        <w:ind w:left="1078" w:hanging="227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C56410">
        <w:rPr>
          <w:rFonts w:asciiTheme="minorHAnsi" w:hAnsiTheme="minorHAnsi"/>
          <w:sz w:val="22"/>
          <w:szCs w:val="22"/>
        </w:rPr>
        <w:t>Dne 1.</w:t>
      </w:r>
      <w:r w:rsidR="008B3890" w:rsidRPr="00C56410">
        <w:rPr>
          <w:rFonts w:asciiTheme="minorHAnsi" w:hAnsiTheme="minorHAnsi"/>
          <w:sz w:val="22"/>
          <w:szCs w:val="22"/>
        </w:rPr>
        <w:t xml:space="preserve"> listopadu </w:t>
      </w:r>
      <w:r w:rsidRPr="00C56410">
        <w:rPr>
          <w:rFonts w:asciiTheme="minorHAnsi" w:hAnsiTheme="minorHAnsi"/>
          <w:sz w:val="22"/>
          <w:szCs w:val="22"/>
        </w:rPr>
        <w:t>2022</w:t>
      </w:r>
      <w:r w:rsidR="008B3890" w:rsidRPr="00C56410">
        <w:rPr>
          <w:rFonts w:asciiTheme="minorHAnsi" w:hAnsiTheme="minorHAnsi"/>
          <w:sz w:val="22"/>
          <w:szCs w:val="22"/>
        </w:rPr>
        <w:t xml:space="preserve"> byl MPO do mezirezortního připomínkového řízení předložen návrh Tez</w:t>
      </w:r>
      <w:r w:rsidR="00D07476">
        <w:rPr>
          <w:rFonts w:asciiTheme="minorHAnsi" w:hAnsiTheme="minorHAnsi"/>
          <w:sz w:val="22"/>
          <w:szCs w:val="22"/>
        </w:rPr>
        <w:t>í</w:t>
      </w:r>
      <w:r w:rsidR="008B3890" w:rsidRPr="00C56410">
        <w:rPr>
          <w:rFonts w:asciiTheme="minorHAnsi" w:hAnsiTheme="minorHAnsi"/>
          <w:sz w:val="22"/>
          <w:szCs w:val="22"/>
        </w:rPr>
        <w:t xml:space="preserve"> pro změnu liniového zákona za účelem podpory klimatu a</w:t>
      </w:r>
      <w:r w:rsidR="000A060F">
        <w:rPr>
          <w:rFonts w:asciiTheme="minorHAnsi" w:hAnsiTheme="minorHAnsi"/>
          <w:sz w:val="22"/>
          <w:szCs w:val="22"/>
        </w:rPr>
        <w:t> </w:t>
      </w:r>
      <w:r w:rsidR="008B3890" w:rsidRPr="00C56410">
        <w:rPr>
          <w:rFonts w:asciiTheme="minorHAnsi" w:hAnsiTheme="minorHAnsi"/>
          <w:sz w:val="22"/>
          <w:szCs w:val="22"/>
        </w:rPr>
        <w:t>energetické bezpečnosti ČR (pro podporu výstavby nízkouhlíkových výroben energie a</w:t>
      </w:r>
      <w:r w:rsidR="000A060F">
        <w:rPr>
          <w:rFonts w:asciiTheme="minorHAnsi" w:hAnsiTheme="minorHAnsi"/>
          <w:sz w:val="22"/>
          <w:szCs w:val="22"/>
        </w:rPr>
        <w:t> </w:t>
      </w:r>
      <w:r w:rsidR="008B3890" w:rsidRPr="00C56410">
        <w:rPr>
          <w:rFonts w:asciiTheme="minorHAnsi" w:hAnsiTheme="minorHAnsi"/>
          <w:sz w:val="22"/>
          <w:szCs w:val="22"/>
        </w:rPr>
        <w:t>dalších záměrů podporujících dekarbonizaci hospodářství).</w:t>
      </w:r>
    </w:p>
    <w:p w14:paraId="4590590D" w14:textId="3B9613E6" w:rsidR="008B3890" w:rsidRPr="00D11409" w:rsidRDefault="008B3890" w:rsidP="00473EA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60" w:line="293" w:lineRule="auto"/>
        <w:ind w:left="1078" w:hanging="227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C56410">
        <w:rPr>
          <w:rFonts w:asciiTheme="minorHAnsi" w:hAnsiTheme="minorHAnsi"/>
          <w:sz w:val="22"/>
          <w:szCs w:val="22"/>
        </w:rPr>
        <w:lastRenderedPageBreak/>
        <w:t xml:space="preserve">Dne </w:t>
      </w:r>
      <w:r w:rsidRPr="00C127C7">
        <w:rPr>
          <w:rFonts w:asciiTheme="minorHAnsi" w:hAnsiTheme="minorHAnsi"/>
          <w:sz w:val="22"/>
          <w:szCs w:val="22"/>
        </w:rPr>
        <w:t xml:space="preserve">4. ledna 2023 MPO vydalo </w:t>
      </w:r>
      <w:r w:rsidR="00D20C55" w:rsidRPr="00C127C7">
        <w:rPr>
          <w:rFonts w:asciiTheme="minorHAnsi" w:hAnsiTheme="minorHAnsi"/>
          <w:sz w:val="22"/>
          <w:szCs w:val="22"/>
        </w:rPr>
        <w:t xml:space="preserve">novelu </w:t>
      </w:r>
      <w:r w:rsidRPr="00C127C7">
        <w:rPr>
          <w:rFonts w:asciiTheme="minorHAnsi" w:hAnsiTheme="minorHAnsi"/>
          <w:sz w:val="22"/>
          <w:szCs w:val="22"/>
        </w:rPr>
        <w:t>vyhlášk</w:t>
      </w:r>
      <w:r w:rsidR="00D53B41" w:rsidRPr="00C127C7">
        <w:rPr>
          <w:rFonts w:asciiTheme="minorHAnsi" w:hAnsiTheme="minorHAnsi"/>
          <w:sz w:val="22"/>
          <w:szCs w:val="22"/>
        </w:rPr>
        <w:t>y</w:t>
      </w:r>
      <w:r w:rsidRPr="00C127C7">
        <w:rPr>
          <w:rFonts w:asciiTheme="minorHAnsi" w:hAnsiTheme="minorHAnsi"/>
          <w:sz w:val="22"/>
          <w:szCs w:val="22"/>
        </w:rPr>
        <w:t xml:space="preserve"> č. 250/2020 Sb., o</w:t>
      </w:r>
      <w:r w:rsidR="000A060F" w:rsidRPr="00C127C7">
        <w:rPr>
          <w:rFonts w:asciiTheme="minorHAnsi" w:hAnsiTheme="minorHAnsi"/>
          <w:sz w:val="22"/>
          <w:szCs w:val="22"/>
        </w:rPr>
        <w:t> </w:t>
      </w:r>
      <w:r w:rsidRPr="00C127C7">
        <w:rPr>
          <w:rFonts w:asciiTheme="minorHAnsi" w:hAnsiTheme="minorHAnsi"/>
          <w:sz w:val="22"/>
          <w:szCs w:val="22"/>
        </w:rPr>
        <w:t>způsobu stanovení rezervy na vyřazování z</w:t>
      </w:r>
      <w:r w:rsidR="000A060F" w:rsidRPr="00C127C7">
        <w:rPr>
          <w:rFonts w:asciiTheme="minorHAnsi" w:hAnsiTheme="minorHAnsi"/>
          <w:sz w:val="22"/>
          <w:szCs w:val="22"/>
        </w:rPr>
        <w:t> </w:t>
      </w:r>
      <w:r w:rsidRPr="00C127C7">
        <w:rPr>
          <w:rFonts w:asciiTheme="minorHAnsi" w:hAnsiTheme="minorHAnsi"/>
          <w:sz w:val="22"/>
          <w:szCs w:val="22"/>
        </w:rPr>
        <w:t>provozu jaderného zařízení a</w:t>
      </w:r>
      <w:r w:rsidR="000A060F" w:rsidRPr="00C127C7">
        <w:rPr>
          <w:rFonts w:asciiTheme="minorHAnsi" w:hAnsiTheme="minorHAnsi"/>
          <w:sz w:val="22"/>
          <w:szCs w:val="22"/>
        </w:rPr>
        <w:t> </w:t>
      </w:r>
      <w:r w:rsidRPr="00C127C7">
        <w:rPr>
          <w:rFonts w:asciiTheme="minorHAnsi" w:hAnsiTheme="minorHAnsi"/>
          <w:sz w:val="22"/>
          <w:szCs w:val="22"/>
        </w:rPr>
        <w:t>pracoviště III. kategorie a</w:t>
      </w:r>
      <w:r w:rsidR="000A060F" w:rsidRPr="00C127C7">
        <w:rPr>
          <w:rFonts w:asciiTheme="minorHAnsi" w:hAnsiTheme="minorHAnsi"/>
          <w:sz w:val="22"/>
          <w:szCs w:val="22"/>
        </w:rPr>
        <w:t> </w:t>
      </w:r>
      <w:r w:rsidRPr="00C127C7">
        <w:rPr>
          <w:rFonts w:asciiTheme="minorHAnsi" w:hAnsiTheme="minorHAnsi"/>
          <w:sz w:val="22"/>
          <w:szCs w:val="22"/>
        </w:rPr>
        <w:t xml:space="preserve">pracoviště IV. kategorie. </w:t>
      </w:r>
      <w:r w:rsidR="00D53B41" w:rsidRPr="00C127C7">
        <w:rPr>
          <w:rFonts w:asciiTheme="minorHAnsi" w:hAnsiTheme="minorHAnsi"/>
          <w:sz w:val="22"/>
          <w:szCs w:val="22"/>
        </w:rPr>
        <w:t>Tato n</w:t>
      </w:r>
      <w:r w:rsidRPr="00C127C7">
        <w:rPr>
          <w:rFonts w:asciiTheme="minorHAnsi" w:hAnsiTheme="minorHAnsi"/>
          <w:sz w:val="22"/>
          <w:szCs w:val="22"/>
        </w:rPr>
        <w:t xml:space="preserve">ovela byla dne 11. </w:t>
      </w:r>
      <w:r w:rsidR="005B074A" w:rsidRPr="00C127C7">
        <w:rPr>
          <w:rFonts w:asciiTheme="minorHAnsi" w:hAnsiTheme="minorHAnsi"/>
          <w:sz w:val="22"/>
          <w:szCs w:val="22"/>
        </w:rPr>
        <w:t>ledna</w:t>
      </w:r>
      <w:r w:rsidRPr="00C127C7">
        <w:rPr>
          <w:rFonts w:asciiTheme="minorHAnsi" w:hAnsiTheme="minorHAnsi"/>
          <w:sz w:val="22"/>
          <w:szCs w:val="22"/>
        </w:rPr>
        <w:t xml:space="preserve"> 2023 publikována ve Sbírce zákonů </w:t>
      </w:r>
      <w:r w:rsidR="005B074A" w:rsidRPr="00C127C7">
        <w:rPr>
          <w:rFonts w:asciiTheme="minorHAnsi" w:hAnsiTheme="minorHAnsi"/>
          <w:sz w:val="22"/>
          <w:szCs w:val="22"/>
        </w:rPr>
        <w:t>s</w:t>
      </w:r>
      <w:r w:rsidR="000A060F" w:rsidRPr="00C127C7">
        <w:rPr>
          <w:rFonts w:asciiTheme="minorHAnsi" w:hAnsiTheme="minorHAnsi"/>
          <w:sz w:val="22"/>
          <w:szCs w:val="22"/>
        </w:rPr>
        <w:t> </w:t>
      </w:r>
      <w:r w:rsidR="005B074A" w:rsidRPr="00C127C7">
        <w:rPr>
          <w:rFonts w:asciiTheme="minorHAnsi" w:hAnsiTheme="minorHAnsi"/>
          <w:sz w:val="22"/>
          <w:szCs w:val="22"/>
        </w:rPr>
        <w:t xml:space="preserve">účinností od 26. ledna 2023 jako </w:t>
      </w:r>
      <w:r w:rsidR="0000002A">
        <w:rPr>
          <w:rFonts w:asciiTheme="minorHAnsi" w:hAnsiTheme="minorHAnsi"/>
          <w:sz w:val="22"/>
          <w:szCs w:val="22"/>
        </w:rPr>
        <w:t>v</w:t>
      </w:r>
      <w:r w:rsidR="005B074A" w:rsidRPr="00C127C7">
        <w:rPr>
          <w:rFonts w:asciiTheme="minorHAnsi" w:hAnsiTheme="minorHAnsi"/>
          <w:b/>
          <w:i/>
          <w:sz w:val="22"/>
          <w:szCs w:val="22"/>
        </w:rPr>
        <w:t>yhláška č. 6/2023 Sb.</w:t>
      </w:r>
      <w:r w:rsidR="005B074A" w:rsidRPr="00C127C7">
        <w:rPr>
          <w:b/>
          <w:i/>
        </w:rPr>
        <w:t xml:space="preserve"> </w:t>
      </w:r>
      <w:r w:rsidR="005B074A" w:rsidRPr="00C127C7">
        <w:rPr>
          <w:rFonts w:asciiTheme="minorHAnsi" w:hAnsiTheme="minorHAnsi"/>
          <w:b/>
          <w:i/>
          <w:sz w:val="22"/>
          <w:szCs w:val="22"/>
        </w:rPr>
        <w:t>ze dne 4. ledna 2023, kterou se mění vyhláška č. 250/2020 Sb., o</w:t>
      </w:r>
      <w:r w:rsidR="000A060F" w:rsidRPr="00C127C7">
        <w:rPr>
          <w:rFonts w:asciiTheme="minorHAnsi" w:hAnsiTheme="minorHAnsi"/>
          <w:b/>
          <w:i/>
          <w:sz w:val="22"/>
          <w:szCs w:val="22"/>
        </w:rPr>
        <w:t> </w:t>
      </w:r>
      <w:r w:rsidR="005B074A" w:rsidRPr="00C127C7">
        <w:rPr>
          <w:rFonts w:asciiTheme="minorHAnsi" w:hAnsiTheme="minorHAnsi"/>
          <w:b/>
          <w:i/>
          <w:sz w:val="22"/>
          <w:szCs w:val="22"/>
        </w:rPr>
        <w:t>způsobu stanovení rezervy na vyřazování z</w:t>
      </w:r>
      <w:r w:rsidR="000A060F" w:rsidRPr="00C127C7">
        <w:rPr>
          <w:rFonts w:asciiTheme="minorHAnsi" w:hAnsiTheme="minorHAnsi"/>
          <w:b/>
          <w:i/>
          <w:sz w:val="22"/>
          <w:szCs w:val="22"/>
        </w:rPr>
        <w:t> </w:t>
      </w:r>
      <w:r w:rsidR="005B074A" w:rsidRPr="00C127C7">
        <w:rPr>
          <w:rFonts w:asciiTheme="minorHAnsi" w:hAnsiTheme="minorHAnsi"/>
          <w:b/>
          <w:i/>
          <w:sz w:val="22"/>
          <w:szCs w:val="22"/>
        </w:rPr>
        <w:t>provozu jaderného zařízení a</w:t>
      </w:r>
      <w:r w:rsidR="000A060F" w:rsidRPr="00C127C7">
        <w:rPr>
          <w:rFonts w:asciiTheme="minorHAnsi" w:hAnsiTheme="minorHAnsi"/>
          <w:b/>
          <w:i/>
          <w:sz w:val="22"/>
          <w:szCs w:val="22"/>
        </w:rPr>
        <w:t> </w:t>
      </w:r>
      <w:r w:rsidR="005B074A" w:rsidRPr="00C127C7">
        <w:rPr>
          <w:rFonts w:asciiTheme="minorHAnsi" w:hAnsiTheme="minorHAnsi"/>
          <w:b/>
          <w:i/>
          <w:sz w:val="22"/>
          <w:szCs w:val="22"/>
        </w:rPr>
        <w:t>pracoviště III. kategorie a</w:t>
      </w:r>
      <w:r w:rsidR="000A060F" w:rsidRPr="00C127C7">
        <w:rPr>
          <w:rFonts w:asciiTheme="minorHAnsi" w:hAnsiTheme="minorHAnsi"/>
          <w:b/>
          <w:i/>
          <w:sz w:val="22"/>
          <w:szCs w:val="22"/>
        </w:rPr>
        <w:t> </w:t>
      </w:r>
      <w:r w:rsidR="005B074A" w:rsidRPr="00C127C7">
        <w:rPr>
          <w:rFonts w:asciiTheme="minorHAnsi" w:hAnsiTheme="minorHAnsi"/>
          <w:b/>
          <w:i/>
          <w:sz w:val="22"/>
          <w:szCs w:val="22"/>
        </w:rPr>
        <w:t>pracoviště IV. kategorie.</w:t>
      </w:r>
    </w:p>
    <w:p w14:paraId="5196F279" w14:textId="30E9DF9D" w:rsidR="001A3B85" w:rsidRPr="00C56410" w:rsidRDefault="005A61FD" w:rsidP="00473EA8">
      <w:pPr>
        <w:pStyle w:val="Odstavecseseznamem"/>
        <w:numPr>
          <w:ilvl w:val="0"/>
          <w:numId w:val="5"/>
        </w:numPr>
        <w:tabs>
          <w:tab w:val="clear" w:pos="928"/>
          <w:tab w:val="num" w:pos="851"/>
        </w:tabs>
        <w:spacing w:before="160" w:line="293" w:lineRule="auto"/>
        <w:ind w:left="851" w:hanging="646"/>
        <w:contextualSpacing w:val="0"/>
        <w:jc w:val="both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/>
          <w:bCs/>
          <w:sz w:val="22"/>
          <w:szCs w:val="22"/>
          <w:lang w:eastAsia="en-US"/>
        </w:rPr>
        <w:t>Příprava transportních tras pro transport nadrozměrných a</w:t>
      </w:r>
      <w:r w:rsidR="000A060F">
        <w:rPr>
          <w:rFonts w:asciiTheme="minorHAnsi" w:hAnsiTheme="minorHAnsi"/>
          <w:b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/>
          <w:bCs/>
          <w:sz w:val="22"/>
          <w:szCs w:val="22"/>
          <w:lang w:eastAsia="en-US"/>
        </w:rPr>
        <w:t>těžkých komponent</w:t>
      </w:r>
    </w:p>
    <w:p w14:paraId="381929AC" w14:textId="07862EE2" w:rsidR="005A61FD" w:rsidRPr="00C56410" w:rsidRDefault="00F711C9" w:rsidP="00473EA8">
      <w:pPr>
        <w:pStyle w:val="Odstavecseseznamem"/>
        <w:numPr>
          <w:ilvl w:val="0"/>
          <w:numId w:val="34"/>
        </w:numPr>
        <w:tabs>
          <w:tab w:val="left" w:pos="1276"/>
        </w:tabs>
        <w:spacing w:before="160" w:line="293" w:lineRule="auto"/>
        <w:ind w:left="851" w:firstLine="0"/>
        <w:contextualSpacing w:val="0"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bookmarkStart w:id="5" w:name="_Hlk103699727"/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viz kap. 5, odrážka Pracovní skupina </w:t>
      </w:r>
      <w:proofErr w:type="spellStart"/>
      <w:r w:rsidRPr="00C56410">
        <w:rPr>
          <w:rFonts w:asciiTheme="minorHAnsi" w:hAnsiTheme="minorHAnsi"/>
          <w:bCs/>
          <w:sz w:val="22"/>
          <w:szCs w:val="22"/>
          <w:lang w:eastAsia="en-US"/>
        </w:rPr>
        <w:t>technicko</w:t>
      </w:r>
      <w:r w:rsidR="00F97497">
        <w:rPr>
          <w:rFonts w:asciiTheme="minorHAnsi" w:hAnsiTheme="minorHAnsi"/>
          <w:bCs/>
          <w:sz w:val="22"/>
          <w:szCs w:val="22"/>
          <w:lang w:eastAsia="en-US"/>
        </w:rPr>
        <w:t>-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investiční</w:t>
      </w:r>
      <w:proofErr w:type="spellEnd"/>
      <w:r w:rsidRPr="00C56410">
        <w:rPr>
          <w:rFonts w:asciiTheme="minorHAnsi" w:hAnsiTheme="minorHAnsi"/>
          <w:bCs/>
          <w:sz w:val="22"/>
          <w:szCs w:val="22"/>
          <w:lang w:eastAsia="en-US"/>
        </w:rPr>
        <w:t>.</w:t>
      </w:r>
    </w:p>
    <w:bookmarkEnd w:id="5"/>
    <w:p w14:paraId="479E9FF1" w14:textId="6BB65DE7" w:rsidR="001A3B85" w:rsidRPr="00C56410" w:rsidRDefault="005A61FD" w:rsidP="00473EA8">
      <w:pPr>
        <w:pStyle w:val="Odstavecseseznamem"/>
        <w:numPr>
          <w:ilvl w:val="0"/>
          <w:numId w:val="5"/>
        </w:numPr>
        <w:tabs>
          <w:tab w:val="clear" w:pos="928"/>
          <w:tab w:val="num" w:pos="851"/>
        </w:tabs>
        <w:spacing w:before="160" w:line="293" w:lineRule="auto"/>
        <w:ind w:left="851" w:hanging="646"/>
        <w:contextualSpacing w:val="0"/>
        <w:jc w:val="both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/>
          <w:bCs/>
          <w:sz w:val="22"/>
          <w:szCs w:val="22"/>
          <w:lang w:eastAsia="en-US"/>
        </w:rPr>
        <w:t>Opatření k</w:t>
      </w:r>
      <w:r w:rsidR="000A060F">
        <w:rPr>
          <w:rFonts w:asciiTheme="minorHAnsi" w:hAnsiTheme="minorHAnsi"/>
          <w:b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/>
          <w:bCs/>
          <w:sz w:val="22"/>
          <w:szCs w:val="22"/>
          <w:lang w:eastAsia="en-US"/>
        </w:rPr>
        <w:t>vyvedení výkonu z</w:t>
      </w:r>
      <w:r w:rsidR="000A060F">
        <w:rPr>
          <w:rFonts w:asciiTheme="minorHAnsi" w:hAnsiTheme="minorHAnsi"/>
          <w:b/>
          <w:bCs/>
          <w:sz w:val="22"/>
          <w:szCs w:val="22"/>
          <w:lang w:eastAsia="en-US"/>
        </w:rPr>
        <w:t> </w:t>
      </w:r>
      <w:r w:rsidRPr="00C56410">
        <w:rPr>
          <w:rFonts w:asciiTheme="minorHAnsi" w:hAnsiTheme="minorHAnsi"/>
          <w:b/>
          <w:bCs/>
          <w:sz w:val="22"/>
          <w:szCs w:val="22"/>
          <w:lang w:eastAsia="en-US"/>
        </w:rPr>
        <w:t>NJZ</w:t>
      </w:r>
    </w:p>
    <w:p w14:paraId="2C7A3D76" w14:textId="32EE244B" w:rsidR="00261DE8" w:rsidRPr="00C56410" w:rsidRDefault="00082085" w:rsidP="00473EA8">
      <w:pPr>
        <w:pStyle w:val="Odstavecseseznamem"/>
        <w:numPr>
          <w:ilvl w:val="0"/>
          <w:numId w:val="33"/>
        </w:numPr>
        <w:spacing w:before="160" w:line="293" w:lineRule="auto"/>
        <w:ind w:left="1276" w:hanging="425"/>
        <w:contextualSpacing w:val="0"/>
        <w:rPr>
          <w:rFonts w:asciiTheme="minorHAnsi" w:hAnsiTheme="minorHAnsi"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Cs/>
          <w:sz w:val="22"/>
          <w:szCs w:val="22"/>
          <w:lang w:eastAsia="en-US"/>
        </w:rPr>
        <w:t xml:space="preserve">viz kap. 5, odrážka Pracovní skupina </w:t>
      </w:r>
      <w:proofErr w:type="spellStart"/>
      <w:r w:rsidRPr="00C56410">
        <w:rPr>
          <w:rFonts w:asciiTheme="minorHAnsi" w:hAnsiTheme="minorHAnsi"/>
          <w:bCs/>
          <w:sz w:val="22"/>
          <w:szCs w:val="22"/>
          <w:lang w:eastAsia="en-US"/>
        </w:rPr>
        <w:t>technicko</w:t>
      </w:r>
      <w:r w:rsidR="00F97497">
        <w:rPr>
          <w:rFonts w:asciiTheme="minorHAnsi" w:hAnsiTheme="minorHAnsi"/>
          <w:bCs/>
          <w:sz w:val="22"/>
          <w:szCs w:val="22"/>
          <w:lang w:eastAsia="en-US"/>
        </w:rPr>
        <w:t>-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investiční</w:t>
      </w:r>
      <w:proofErr w:type="spellEnd"/>
      <w:r w:rsidRPr="00C56410">
        <w:rPr>
          <w:rFonts w:asciiTheme="minorHAnsi" w:hAnsiTheme="minorHAnsi"/>
          <w:bCs/>
          <w:sz w:val="22"/>
          <w:szCs w:val="22"/>
          <w:lang w:eastAsia="en-US"/>
        </w:rPr>
        <w:t>.</w:t>
      </w:r>
    </w:p>
    <w:p w14:paraId="75709F92" w14:textId="5E898DA5" w:rsidR="00F711C9" w:rsidRPr="00C56410" w:rsidRDefault="001B5B9A" w:rsidP="00473EA8">
      <w:pPr>
        <w:pStyle w:val="Odstavecseseznamem"/>
        <w:numPr>
          <w:ilvl w:val="0"/>
          <w:numId w:val="5"/>
        </w:numPr>
        <w:tabs>
          <w:tab w:val="clear" w:pos="928"/>
          <w:tab w:val="num" w:pos="851"/>
        </w:tabs>
        <w:spacing w:before="160" w:line="293" w:lineRule="auto"/>
        <w:ind w:left="851" w:hanging="646"/>
        <w:contextualSpacing w:val="0"/>
        <w:jc w:val="both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/>
          <w:bCs/>
          <w:sz w:val="22"/>
          <w:szCs w:val="22"/>
          <w:lang w:eastAsia="en-US"/>
        </w:rPr>
        <w:t xml:space="preserve">Využití </w:t>
      </w:r>
      <w:r w:rsidR="00082085" w:rsidRPr="00C56410">
        <w:rPr>
          <w:rFonts w:asciiTheme="minorHAnsi" w:hAnsiTheme="minorHAnsi"/>
          <w:b/>
          <w:bCs/>
          <w:sz w:val="22"/>
          <w:szCs w:val="22"/>
          <w:lang w:eastAsia="en-US"/>
        </w:rPr>
        <w:t>malých modulárních reaktorů (</w:t>
      </w:r>
      <w:r w:rsidRPr="00C56410">
        <w:rPr>
          <w:rFonts w:asciiTheme="minorHAnsi" w:hAnsiTheme="minorHAnsi"/>
          <w:b/>
          <w:bCs/>
          <w:sz w:val="22"/>
          <w:szCs w:val="22"/>
          <w:lang w:eastAsia="en-US"/>
        </w:rPr>
        <w:t>SMR</w:t>
      </w:r>
      <w:r w:rsidR="00082085" w:rsidRPr="00C56410">
        <w:rPr>
          <w:rFonts w:asciiTheme="minorHAnsi" w:hAnsiTheme="minorHAnsi"/>
          <w:b/>
          <w:bCs/>
          <w:sz w:val="22"/>
          <w:szCs w:val="22"/>
          <w:lang w:eastAsia="en-US"/>
        </w:rPr>
        <w:t>)</w:t>
      </w:r>
    </w:p>
    <w:p w14:paraId="0F732C61" w14:textId="74F32563" w:rsidR="00082A16" w:rsidRPr="00C56410" w:rsidRDefault="00F711C9" w:rsidP="00473EA8">
      <w:pPr>
        <w:pStyle w:val="Odstavecseseznamem"/>
        <w:tabs>
          <w:tab w:val="left" w:pos="1232"/>
        </w:tabs>
        <w:overflowPunct w:val="0"/>
        <w:autoSpaceDE w:val="0"/>
        <w:autoSpaceDN w:val="0"/>
        <w:adjustRightInd w:val="0"/>
        <w:spacing w:before="160" w:line="293" w:lineRule="auto"/>
        <w:ind w:left="851"/>
        <w:contextualSpacing w:val="0"/>
        <w:jc w:val="both"/>
        <w:textAlignment w:val="baseline"/>
        <w:rPr>
          <w:rFonts w:asciiTheme="minorHAnsi" w:hAnsiTheme="minorHAnsi"/>
          <w:bCs/>
          <w:sz w:val="22"/>
          <w:szCs w:val="22"/>
          <w:lang w:eastAsia="en-US"/>
        </w:rPr>
      </w:pPr>
      <w:r w:rsidRPr="00C56410">
        <w:rPr>
          <w:rFonts w:asciiTheme="minorHAnsi" w:hAnsiTheme="minorHAnsi"/>
          <w:bCs/>
          <w:sz w:val="22"/>
          <w:szCs w:val="22"/>
          <w:lang w:eastAsia="en-US"/>
        </w:rPr>
        <w:t>•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ab/>
        <w:t>viz kap. 5, odrážka P</w:t>
      </w:r>
      <w:r w:rsidR="00DF6DC3">
        <w:rPr>
          <w:rFonts w:asciiTheme="minorHAnsi" w:hAnsiTheme="minorHAnsi"/>
          <w:bCs/>
          <w:sz w:val="22"/>
          <w:szCs w:val="22"/>
          <w:lang w:eastAsia="en-US"/>
        </w:rPr>
        <w:t>S SMR</w:t>
      </w:r>
      <w:r w:rsidRPr="00C56410">
        <w:rPr>
          <w:rFonts w:asciiTheme="minorHAnsi" w:hAnsiTheme="minorHAnsi"/>
          <w:bCs/>
          <w:sz w:val="22"/>
          <w:szCs w:val="22"/>
          <w:lang w:eastAsia="en-US"/>
        </w:rPr>
        <w:t>.</w:t>
      </w:r>
    </w:p>
    <w:p w14:paraId="6703A0E4" w14:textId="77777777" w:rsidR="002E1218" w:rsidRDefault="002E1218" w:rsidP="002E1218">
      <w:pPr>
        <w:keepNext/>
        <w:keepLines/>
        <w:spacing w:before="160" w:line="293" w:lineRule="auto"/>
        <w:ind w:left="360"/>
        <w:jc w:val="both"/>
        <w:outlineLvl w:val="0"/>
        <w:rPr>
          <w:rFonts w:ascii="Cambria" w:hAnsi="Cambria"/>
          <w:color w:val="365F91"/>
          <w:sz w:val="32"/>
          <w:szCs w:val="32"/>
        </w:rPr>
      </w:pPr>
    </w:p>
    <w:p w14:paraId="0D249B2E" w14:textId="280F1E21" w:rsidR="004D1AB2" w:rsidRPr="00C56410" w:rsidRDefault="00831916" w:rsidP="00473EA8">
      <w:pPr>
        <w:keepNext/>
        <w:keepLines/>
        <w:numPr>
          <w:ilvl w:val="0"/>
          <w:numId w:val="4"/>
        </w:numPr>
        <w:spacing w:before="160" w:line="293" w:lineRule="auto"/>
        <w:jc w:val="both"/>
        <w:outlineLvl w:val="0"/>
        <w:rPr>
          <w:rFonts w:ascii="Cambria" w:hAnsi="Cambria"/>
          <w:color w:val="365F91"/>
          <w:sz w:val="32"/>
          <w:szCs w:val="32"/>
        </w:rPr>
      </w:pPr>
      <w:r w:rsidRPr="00C56410">
        <w:rPr>
          <w:rFonts w:ascii="Cambria" w:hAnsi="Cambria"/>
          <w:color w:val="365F91"/>
          <w:sz w:val="32"/>
          <w:szCs w:val="32"/>
        </w:rPr>
        <w:t xml:space="preserve">Činnost </w:t>
      </w:r>
      <w:r w:rsidR="004D1AB2" w:rsidRPr="00C56410">
        <w:rPr>
          <w:rFonts w:ascii="Cambria" w:hAnsi="Cambria"/>
          <w:color w:val="365F91"/>
          <w:sz w:val="32"/>
          <w:szCs w:val="32"/>
        </w:rPr>
        <w:t>pracovních skupin SVVNJZ v</w:t>
      </w:r>
      <w:r w:rsidR="000A060F">
        <w:rPr>
          <w:rFonts w:ascii="Cambria" w:hAnsi="Cambria"/>
          <w:color w:val="365F91"/>
          <w:sz w:val="32"/>
          <w:szCs w:val="32"/>
        </w:rPr>
        <w:t> </w:t>
      </w:r>
      <w:r w:rsidR="00464944" w:rsidRPr="00C56410">
        <w:rPr>
          <w:rFonts w:ascii="Cambria" w:hAnsi="Cambria"/>
          <w:color w:val="365F91"/>
          <w:sz w:val="32"/>
          <w:szCs w:val="32"/>
        </w:rPr>
        <w:t xml:space="preserve">období </w:t>
      </w:r>
      <w:proofErr w:type="gramStart"/>
      <w:r w:rsidR="00464944" w:rsidRPr="00C56410">
        <w:rPr>
          <w:rFonts w:ascii="Cambria" w:hAnsi="Cambria"/>
          <w:color w:val="365F91"/>
          <w:sz w:val="32"/>
          <w:szCs w:val="32"/>
        </w:rPr>
        <w:t xml:space="preserve">leden </w:t>
      </w:r>
      <w:r w:rsidR="008B5628" w:rsidRPr="00C56410">
        <w:rPr>
          <w:rFonts w:ascii="Cambria" w:hAnsi="Cambria"/>
          <w:color w:val="365F91"/>
          <w:sz w:val="32"/>
          <w:szCs w:val="32"/>
        </w:rPr>
        <w:t>–prosinec</w:t>
      </w:r>
      <w:proofErr w:type="gramEnd"/>
      <w:r w:rsidR="004D1AB2" w:rsidRPr="00C56410">
        <w:rPr>
          <w:rFonts w:ascii="Cambria" w:hAnsi="Cambria"/>
          <w:color w:val="365F91"/>
          <w:sz w:val="32"/>
          <w:szCs w:val="32"/>
        </w:rPr>
        <w:t xml:space="preserve"> </w:t>
      </w:r>
      <w:r w:rsidR="00464944" w:rsidRPr="00C56410">
        <w:rPr>
          <w:rFonts w:ascii="Cambria" w:hAnsi="Cambria"/>
          <w:color w:val="365F91"/>
          <w:sz w:val="32"/>
          <w:szCs w:val="32"/>
        </w:rPr>
        <w:t>202</w:t>
      </w:r>
      <w:r w:rsidR="00035865" w:rsidRPr="00C56410">
        <w:rPr>
          <w:rFonts w:ascii="Cambria" w:hAnsi="Cambria"/>
          <w:color w:val="365F91"/>
          <w:sz w:val="32"/>
          <w:szCs w:val="32"/>
        </w:rPr>
        <w:t>2</w:t>
      </w:r>
    </w:p>
    <w:p w14:paraId="18591F2E" w14:textId="355B6783" w:rsidR="004D1AB2" w:rsidRPr="00C56410" w:rsidRDefault="004D1AB2" w:rsidP="00473EA8">
      <w:pPr>
        <w:pStyle w:val="Odstavecseseznamem"/>
        <w:numPr>
          <w:ilvl w:val="0"/>
          <w:numId w:val="6"/>
        </w:numPr>
        <w:spacing w:before="160" w:line="293" w:lineRule="auto"/>
        <w:contextualSpacing w:val="0"/>
        <w:jc w:val="both"/>
        <w:rPr>
          <w:rFonts w:asciiTheme="minorHAnsi" w:hAnsiTheme="minorHAnsi"/>
          <w:b/>
          <w:bCs/>
          <w:u w:val="single"/>
        </w:rPr>
      </w:pPr>
      <w:r w:rsidRPr="00C56410">
        <w:rPr>
          <w:rFonts w:asciiTheme="minorHAnsi" w:hAnsiTheme="minorHAnsi"/>
          <w:b/>
          <w:u w:val="single"/>
        </w:rPr>
        <w:t>Pracovní skupina pro strategii financování</w:t>
      </w:r>
      <w:r w:rsidR="001A19EF">
        <w:rPr>
          <w:rFonts w:asciiTheme="minorHAnsi" w:hAnsiTheme="minorHAnsi"/>
          <w:b/>
          <w:u w:val="single"/>
        </w:rPr>
        <w:t xml:space="preserve"> PS1</w:t>
      </w:r>
    </w:p>
    <w:p w14:paraId="42A6C6B3" w14:textId="53BD3965" w:rsidR="00D374A8" w:rsidRPr="00D374A8" w:rsidRDefault="00D374A8" w:rsidP="00AD3709">
      <w:pPr>
        <w:autoSpaceDE w:val="0"/>
        <w:autoSpaceDN w:val="0"/>
        <w:adjustRightInd w:val="0"/>
        <w:spacing w:before="160" w:line="293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Pracovní skupina pro strategii financování </w:t>
      </w:r>
      <w:r w:rsidR="004D26BC">
        <w:rPr>
          <w:rFonts w:ascii="Calibri" w:eastAsia="Calibri" w:hAnsi="Calibri" w:cs="Calibri"/>
          <w:color w:val="000000"/>
          <w:sz w:val="22"/>
          <w:szCs w:val="22"/>
          <w:lang w:eastAsia="en-US"/>
        </w:rPr>
        <w:t>SVVNJZ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se v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roce 2022 sešla celkem třikrát s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tím, že hned po jmenování předsedy pracovní skupiny (</w:t>
      </w:r>
      <w:r w:rsidR="0000002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zástupce 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M</w:t>
      </w:r>
      <w:r w:rsidR="0000002A">
        <w:rPr>
          <w:rFonts w:ascii="Calibri" w:eastAsia="Calibri" w:hAnsi="Calibri" w:cs="Calibri"/>
          <w:color w:val="000000"/>
          <w:sz w:val="22"/>
          <w:szCs w:val="22"/>
          <w:lang w:eastAsia="en-US"/>
        </w:rPr>
        <w:t>F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) proběhlo první setkání</w:t>
      </w:r>
      <w:r w:rsidR="0000002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a to 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dne 9.</w:t>
      </w:r>
      <w:r w:rsidR="0000002A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11. 2022. Po této schůzi následovaly dvě koordinační schůzky – ve dnech 1. 12. a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13. 12. 2022.</w:t>
      </w:r>
    </w:p>
    <w:p w14:paraId="13219D7E" w14:textId="77777777" w:rsidR="00D374A8" w:rsidRPr="00D374A8" w:rsidRDefault="00D374A8" w:rsidP="00AD3709">
      <w:pPr>
        <w:autoSpaceDE w:val="0"/>
        <w:autoSpaceDN w:val="0"/>
        <w:adjustRightInd w:val="0"/>
        <w:spacing w:before="160" w:line="293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 úvodním jednání byla představena hlavní náplň činnosti pracovní skupiny, tj. zejména:</w:t>
      </w:r>
    </w:p>
    <w:p w14:paraId="0BA3A3CC" w14:textId="2F4DAF88" w:rsidR="00D374A8" w:rsidRPr="00D374A8" w:rsidRDefault="00D374A8" w:rsidP="00473EA8">
      <w:pPr>
        <w:numPr>
          <w:ilvl w:val="0"/>
          <w:numId w:val="42"/>
        </w:numPr>
        <w:autoSpaceDE w:val="0"/>
        <w:autoSpaceDN w:val="0"/>
        <w:adjustRightInd w:val="0"/>
        <w:spacing w:before="160" w:line="293" w:lineRule="auto"/>
        <w:ind w:left="765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příprava administrace návratné finanční výpomoci poskytované na výstavbu nového jaderného zdroje v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lokalitě Dukovany – Elektrárna Dukovany II, a. s. (dále jen „NJZ“) a</w:t>
      </w:r>
    </w:p>
    <w:p w14:paraId="1FCF855B" w14:textId="70FECD72" w:rsidR="00D374A8" w:rsidRPr="00D374A8" w:rsidRDefault="00D374A8" w:rsidP="00473EA8">
      <w:pPr>
        <w:numPr>
          <w:ilvl w:val="0"/>
          <w:numId w:val="42"/>
        </w:numPr>
        <w:autoSpaceDE w:val="0"/>
        <w:autoSpaceDN w:val="0"/>
        <w:adjustRightInd w:val="0"/>
        <w:spacing w:before="160" w:line="293" w:lineRule="auto"/>
        <w:ind w:left="765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příprava podkladů pro rozhodování o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dalších blocích ve stávajících jaderných lokalitách Temelín a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Dukovany.</w:t>
      </w:r>
    </w:p>
    <w:p w14:paraId="773BA908" w14:textId="33CC571A" w:rsidR="00D374A8" w:rsidRPr="00D374A8" w:rsidRDefault="00D374A8" w:rsidP="0000002A">
      <w:pPr>
        <w:autoSpaceDE w:val="0"/>
        <w:autoSpaceDN w:val="0"/>
        <w:adjustRightInd w:val="0"/>
        <w:spacing w:before="160" w:line="293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MF představilo </w:t>
      </w:r>
      <w:r w:rsidRPr="00D374A8">
        <w:rPr>
          <w:rFonts w:ascii="Calibri" w:hAnsi="Calibri" w:cs="Calibri"/>
          <w:color w:val="000000"/>
          <w:sz w:val="22"/>
          <w:szCs w:val="22"/>
        </w:rPr>
        <w:t>investorský model výstavby NJZ s</w:t>
      </w:r>
      <w:r w:rsidR="000A060F">
        <w:rPr>
          <w:rFonts w:ascii="Calibri" w:hAnsi="Calibri" w:cs="Calibri"/>
          <w:color w:val="000000"/>
          <w:sz w:val="22"/>
          <w:szCs w:val="22"/>
        </w:rPr>
        <w:t> </w:t>
      </w:r>
      <w:r w:rsidRPr="00D374A8">
        <w:rPr>
          <w:rFonts w:ascii="Calibri" w:hAnsi="Calibri" w:cs="Calibri"/>
          <w:color w:val="000000"/>
          <w:sz w:val="22"/>
          <w:szCs w:val="22"/>
        </w:rPr>
        <w:t>přímým zapojením státu formou poskytnutí návratné finanční výpomoci (</w:t>
      </w:r>
      <w:r w:rsidR="00B03A4D">
        <w:rPr>
          <w:rFonts w:ascii="Calibri" w:hAnsi="Calibri" w:cs="Calibri"/>
          <w:color w:val="000000"/>
          <w:sz w:val="22"/>
          <w:szCs w:val="22"/>
        </w:rPr>
        <w:t>dále také „</w:t>
      </w:r>
      <w:proofErr w:type="spellStart"/>
      <w:r w:rsidRPr="00D374A8">
        <w:rPr>
          <w:rFonts w:ascii="Calibri" w:hAnsi="Calibri" w:cs="Calibri"/>
          <w:color w:val="000000"/>
          <w:sz w:val="22"/>
          <w:szCs w:val="22"/>
        </w:rPr>
        <w:t>NFV</w:t>
      </w:r>
      <w:proofErr w:type="spellEnd"/>
      <w:r w:rsidR="00B03A4D">
        <w:rPr>
          <w:rFonts w:ascii="Calibri" w:hAnsi="Calibri" w:cs="Calibri"/>
          <w:color w:val="000000"/>
          <w:sz w:val="22"/>
          <w:szCs w:val="22"/>
        </w:rPr>
        <w:t>“</w:t>
      </w:r>
      <w:r w:rsidRPr="00D374A8">
        <w:rPr>
          <w:rFonts w:ascii="Calibri" w:hAnsi="Calibri" w:cs="Calibri"/>
          <w:color w:val="000000"/>
          <w:sz w:val="22"/>
          <w:szCs w:val="22"/>
        </w:rPr>
        <w:t>)</w:t>
      </w:r>
      <w:r w:rsidR="0000002A">
        <w:rPr>
          <w:rFonts w:ascii="Calibri" w:hAnsi="Calibri" w:cs="Calibri"/>
          <w:color w:val="000000"/>
          <w:sz w:val="22"/>
          <w:szCs w:val="22"/>
        </w:rPr>
        <w:t>,</w:t>
      </w:r>
      <w:r w:rsidRPr="00D374A8">
        <w:rPr>
          <w:rFonts w:ascii="Calibri" w:hAnsi="Calibri" w:cs="Calibri"/>
          <w:color w:val="000000"/>
          <w:sz w:val="22"/>
          <w:szCs w:val="22"/>
        </w:rPr>
        <w:t xml:space="preserve"> včetně </w:t>
      </w:r>
      <w:r w:rsidR="0000002A">
        <w:rPr>
          <w:rFonts w:ascii="Calibri" w:hAnsi="Calibri" w:cs="Calibri"/>
          <w:color w:val="000000"/>
          <w:sz w:val="22"/>
          <w:szCs w:val="22"/>
        </w:rPr>
        <w:t xml:space="preserve">jejího </w:t>
      </w:r>
      <w:r w:rsidRPr="00D374A8">
        <w:rPr>
          <w:rFonts w:ascii="Calibri" w:hAnsi="Calibri" w:cs="Calibri"/>
          <w:color w:val="000000"/>
          <w:sz w:val="22"/>
          <w:szCs w:val="22"/>
        </w:rPr>
        <w:t xml:space="preserve">právního rámce, který tvoří 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zákon 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>č. 367/2021 Sb., o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opatřeních k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přechodu České republiky k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nízkouhlíkové energetice</w:t>
      </w:r>
      <w:r w:rsidR="0000002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00002A" w:rsidRPr="0000002A">
        <w:rPr>
          <w:rFonts w:ascii="Calibri" w:eastAsia="Calibri" w:hAnsi="Calibri" w:cs="Calibri"/>
          <w:color w:val="000000"/>
          <w:sz w:val="22"/>
          <w:szCs w:val="22"/>
          <w:lang w:eastAsia="en-US"/>
        </w:rPr>
        <w:t>a o změně zákona č. 165/2012 Sb., o podporovaných zdrojích energie, ve znění pozdějších předpisů</w:t>
      </w:r>
      <w:r w:rsidR="0000002A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a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zákon 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>č. 218/2000 Sb., o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rozpočtových pravidlech </w:t>
      </w:r>
      <w:r w:rsidR="0000002A" w:rsidRPr="0000002A">
        <w:rPr>
          <w:rFonts w:ascii="Calibri" w:eastAsia="Calibri" w:hAnsi="Calibri" w:cs="Calibri"/>
          <w:color w:val="000000"/>
          <w:sz w:val="22"/>
          <w:szCs w:val="22"/>
          <w:lang w:eastAsia="en-US"/>
        </w:rPr>
        <w:t>a o změně některých souvisejících zákonů</w:t>
      </w:r>
      <w:r w:rsidR="0000002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00002A" w:rsidRPr="0000002A">
        <w:rPr>
          <w:rFonts w:ascii="Calibri" w:eastAsia="Calibri" w:hAnsi="Calibri" w:cs="Calibri"/>
          <w:color w:val="000000"/>
          <w:sz w:val="22"/>
          <w:szCs w:val="22"/>
          <w:lang w:eastAsia="en-US"/>
        </w:rPr>
        <w:t>(rozpočtová pravidla</w:t>
      </w:r>
      <w:r w:rsidR="0000002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), ve znění pozdějších předpisů, 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 využití metodiky programového financování. MF dále vysvětlilo výchozí parametry financování NJZ, jejichž zestručněný přehled je uveden níže.</w:t>
      </w:r>
    </w:p>
    <w:p w14:paraId="46D081DB" w14:textId="4FBCB9AA" w:rsidR="00D374A8" w:rsidRPr="00D374A8" w:rsidRDefault="00D374A8" w:rsidP="00473EA8">
      <w:pPr>
        <w:numPr>
          <w:ilvl w:val="0"/>
          <w:numId w:val="43"/>
        </w:numPr>
        <w:autoSpaceDE w:val="0"/>
        <w:autoSpaceDN w:val="0"/>
        <w:adjustRightInd w:val="0"/>
        <w:spacing w:before="160" w:line="293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NFV na výstavbu NJZ je kapitálovým výdajem státního rozpočtu a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její administrace podléhá tzv. programovému financování. Programové financování je nástrojem pro činnosti nezbytné při přípravě a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řízení investic, které jsou spolufinancovány nebo plně hrazeny z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finančních 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prostředků státního rozpočtu. Metodika programového financování gesčně spadá </w:t>
      </w:r>
      <w:r w:rsidR="005B416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pod 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MF, které je rovněž správcem rozpočtového systému, v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němž jsou vedeny konkrétní programy a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akce.</w:t>
      </w:r>
    </w:p>
    <w:p w14:paraId="48128267" w14:textId="7BCC0993" w:rsidR="00D374A8" w:rsidRPr="00D374A8" w:rsidRDefault="00D374A8" w:rsidP="00473EA8">
      <w:pPr>
        <w:numPr>
          <w:ilvl w:val="0"/>
          <w:numId w:val="43"/>
        </w:numPr>
        <w:autoSpaceDE w:val="0"/>
        <w:autoSpaceDN w:val="0"/>
        <w:adjustRightInd w:val="0"/>
        <w:spacing w:before="160" w:line="293" w:lineRule="auto"/>
        <w:ind w:left="765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374A8">
        <w:rPr>
          <w:rFonts w:ascii="Calibri" w:hAnsi="Calibri" w:cs="Calibri"/>
          <w:color w:val="000000"/>
          <w:sz w:val="22"/>
          <w:szCs w:val="22"/>
        </w:rPr>
        <w:t>Poskytnutí NFV z</w:t>
      </w:r>
      <w:r w:rsidR="000A060F">
        <w:rPr>
          <w:rFonts w:ascii="Calibri" w:hAnsi="Calibri" w:cs="Calibri"/>
          <w:color w:val="000000"/>
          <w:sz w:val="22"/>
          <w:szCs w:val="22"/>
        </w:rPr>
        <w:t> </w:t>
      </w:r>
      <w:r w:rsidRPr="00D374A8">
        <w:rPr>
          <w:rFonts w:ascii="Calibri" w:hAnsi="Calibri" w:cs="Calibri"/>
          <w:color w:val="000000"/>
          <w:sz w:val="22"/>
          <w:szCs w:val="22"/>
        </w:rPr>
        <w:t>rozpočtové kapitoly Ministerstva průmyslu a</w:t>
      </w:r>
      <w:r w:rsidR="000A060F">
        <w:rPr>
          <w:rFonts w:ascii="Calibri" w:hAnsi="Calibri" w:cs="Calibri"/>
          <w:color w:val="000000"/>
          <w:sz w:val="22"/>
          <w:szCs w:val="22"/>
        </w:rPr>
        <w:t> </w:t>
      </w:r>
      <w:r w:rsidRPr="00D374A8">
        <w:rPr>
          <w:rFonts w:ascii="Calibri" w:hAnsi="Calibri" w:cs="Calibri"/>
          <w:color w:val="000000"/>
          <w:sz w:val="22"/>
          <w:szCs w:val="22"/>
        </w:rPr>
        <w:t xml:space="preserve">obchodu (MPO) je uvažováno pro </w:t>
      </w:r>
      <w:r w:rsidRPr="00D374A8">
        <w:rPr>
          <w:rFonts w:ascii="Calibri" w:eastAsia="Calibri" w:hAnsi="Calibri"/>
          <w:color w:val="000000"/>
          <w:sz w:val="22"/>
          <w:szCs w:val="22"/>
          <w:shd w:val="clear" w:color="auto" w:fill="FFFFFF"/>
          <w:lang w:eastAsia="en-US"/>
        </w:rPr>
        <w:t>2, 3 a</w:t>
      </w:r>
      <w:r w:rsidR="000A060F">
        <w:rPr>
          <w:rFonts w:ascii="Calibri" w:eastAsia="Calibri" w:hAnsi="Calibri"/>
          <w:color w:val="000000"/>
          <w:sz w:val="22"/>
          <w:szCs w:val="22"/>
          <w:shd w:val="clear" w:color="auto" w:fill="FFFFFF"/>
          <w:lang w:eastAsia="en-US"/>
        </w:rPr>
        <w:t> </w:t>
      </w:r>
      <w:r w:rsidRPr="00D374A8">
        <w:rPr>
          <w:rFonts w:ascii="Calibri" w:eastAsia="Calibri" w:hAnsi="Calibri"/>
          <w:color w:val="000000"/>
          <w:sz w:val="22"/>
          <w:szCs w:val="22"/>
          <w:shd w:val="clear" w:color="auto" w:fill="FFFFFF"/>
          <w:lang w:eastAsia="en-US"/>
        </w:rPr>
        <w:t>4 fázi projektu</w:t>
      </w:r>
      <w:r w:rsidRPr="00D374A8">
        <w:rPr>
          <w:rFonts w:ascii="Calibri" w:hAnsi="Calibri" w:cs="Calibri"/>
          <w:color w:val="000000"/>
          <w:sz w:val="22"/>
          <w:szCs w:val="22"/>
        </w:rPr>
        <w:t xml:space="preserve"> výstavby NJZ. MPO připraví jeden</w:t>
      </w:r>
      <w:r w:rsidRPr="00D374A8">
        <w:rPr>
          <w:rFonts w:ascii="Calibri" w:eastAsia="Calibri" w:hAnsi="Calibri"/>
          <w:color w:val="000000"/>
          <w:sz w:val="22"/>
          <w:szCs w:val="22"/>
          <w:shd w:val="clear" w:color="auto" w:fill="FFFFFF"/>
          <w:lang w:eastAsia="en-US"/>
        </w:rPr>
        <w:t xml:space="preserve"> pr</w:t>
      </w:r>
      <w:r w:rsidRPr="00D374A8">
        <w:rPr>
          <w:rFonts w:ascii="Calibri" w:eastAsia="Calibri" w:hAnsi="Calibri"/>
          <w:bCs/>
          <w:color w:val="000000"/>
          <w:sz w:val="22"/>
          <w:szCs w:val="22"/>
          <w:shd w:val="clear" w:color="auto" w:fill="FFFFFF"/>
          <w:lang w:eastAsia="en-US"/>
        </w:rPr>
        <w:t>ogram</w:t>
      </w:r>
      <w:r w:rsidRPr="00D374A8">
        <w:rPr>
          <w:rFonts w:ascii="Calibri" w:hAnsi="Calibri" w:cs="Calibri"/>
          <w:color w:val="000000"/>
          <w:sz w:val="22"/>
          <w:szCs w:val="22"/>
        </w:rPr>
        <w:t xml:space="preserve">, do nějž zařadí všechny tyto fáze. </w:t>
      </w:r>
      <w:r w:rsidRPr="00D374A8">
        <w:rPr>
          <w:rFonts w:ascii="Calibri" w:eastAsia="Calibri" w:hAnsi="Calibri"/>
          <w:color w:val="000000"/>
          <w:sz w:val="22"/>
          <w:szCs w:val="22"/>
          <w:shd w:val="clear" w:color="auto" w:fill="FFFFFF"/>
          <w:lang w:eastAsia="en-US"/>
        </w:rPr>
        <w:t>Postupy programu budou detailně upraveny v</w:t>
      </w:r>
      <w:r w:rsidR="000A060F">
        <w:rPr>
          <w:rFonts w:ascii="Calibri" w:eastAsia="Calibri" w:hAnsi="Calibri"/>
          <w:color w:val="000000"/>
          <w:sz w:val="22"/>
          <w:szCs w:val="22"/>
          <w:shd w:val="clear" w:color="auto" w:fill="FFFFFF"/>
          <w:lang w:eastAsia="en-US"/>
        </w:rPr>
        <w:t> </w:t>
      </w:r>
      <w:r w:rsidRPr="00D374A8">
        <w:rPr>
          <w:rFonts w:ascii="Calibri" w:eastAsia="Calibri" w:hAnsi="Calibri"/>
          <w:color w:val="000000"/>
          <w:sz w:val="22"/>
          <w:szCs w:val="22"/>
          <w:shd w:val="clear" w:color="auto" w:fill="FFFFFF"/>
          <w:lang w:eastAsia="en-US"/>
        </w:rPr>
        <w:t>dokumentaci programu, jejíž schválení nebo změnu bude schvalovat vláda.</w:t>
      </w:r>
    </w:p>
    <w:p w14:paraId="09218D14" w14:textId="35E16CB1" w:rsidR="00D374A8" w:rsidRPr="00D374A8" w:rsidRDefault="00D374A8" w:rsidP="00473EA8">
      <w:pPr>
        <w:numPr>
          <w:ilvl w:val="0"/>
          <w:numId w:val="43"/>
        </w:numPr>
        <w:autoSpaceDE w:val="0"/>
        <w:autoSpaceDN w:val="0"/>
        <w:adjustRightInd w:val="0"/>
        <w:spacing w:before="160" w:line="293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 skončení realizace programu, respektive po skončení výstavby NJZ, MPO vypracuje 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>a předloží vládě ke schválení tzv. závěrečné vyhodnocení programu, které obsahuje zhodnocení dosažení věcných, časových a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finančních ukazatelů programu a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dalších podmínek stanovených v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rozhodnutí o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poskytnutí NFV (dále jen „Rozhodnutí), </w:t>
      </w:r>
      <w:r w:rsidRPr="00D374A8">
        <w:rPr>
          <w:rFonts w:ascii="Calibri" w:hAnsi="Calibri" w:cs="Calibri"/>
          <w:color w:val="000000"/>
          <w:sz w:val="22"/>
          <w:szCs w:val="22"/>
        </w:rPr>
        <w:t>a</w:t>
      </w:r>
      <w:r w:rsidR="000A060F">
        <w:rPr>
          <w:rFonts w:ascii="Calibri" w:hAnsi="Calibri" w:cs="Calibri"/>
          <w:color w:val="000000"/>
          <w:sz w:val="22"/>
          <w:szCs w:val="22"/>
        </w:rPr>
        <w:t> </w:t>
      </w:r>
      <w:r w:rsidRPr="00D374A8">
        <w:rPr>
          <w:rFonts w:ascii="Calibri" w:hAnsi="Calibri" w:cs="Calibri"/>
          <w:color w:val="000000"/>
          <w:sz w:val="22"/>
          <w:szCs w:val="22"/>
        </w:rPr>
        <w:t>to včetně případného výčtu ukazatelů, u</w:t>
      </w:r>
      <w:r w:rsidR="000A060F">
        <w:rPr>
          <w:rFonts w:ascii="Calibri" w:hAnsi="Calibri" w:cs="Calibri"/>
          <w:color w:val="000000"/>
          <w:sz w:val="22"/>
          <w:szCs w:val="22"/>
        </w:rPr>
        <w:t> </w:t>
      </w:r>
      <w:r w:rsidRPr="00D374A8">
        <w:rPr>
          <w:rFonts w:ascii="Calibri" w:hAnsi="Calibri" w:cs="Calibri"/>
          <w:color w:val="000000"/>
          <w:sz w:val="22"/>
          <w:szCs w:val="22"/>
        </w:rPr>
        <w:t>kterých nebylo dosaženo stanovených hodnot a</w:t>
      </w:r>
      <w:r w:rsidR="000A060F">
        <w:rPr>
          <w:rFonts w:ascii="Calibri" w:hAnsi="Calibri" w:cs="Calibri"/>
          <w:color w:val="000000"/>
          <w:sz w:val="22"/>
          <w:szCs w:val="22"/>
        </w:rPr>
        <w:t> </w:t>
      </w:r>
      <w:r w:rsidRPr="00D374A8">
        <w:rPr>
          <w:rFonts w:ascii="Calibri" w:hAnsi="Calibri" w:cs="Calibri"/>
          <w:color w:val="000000"/>
          <w:sz w:val="22"/>
          <w:szCs w:val="22"/>
        </w:rPr>
        <w:t>odůvodnění jejich nedosažení</w:t>
      </w:r>
      <w:r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14:paraId="2E0E3AEC" w14:textId="24A05741" w:rsidR="00D374A8" w:rsidRPr="00D374A8" w:rsidRDefault="00D374A8" w:rsidP="00156495">
      <w:pPr>
        <w:spacing w:before="160" w:line="293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374A8">
        <w:rPr>
          <w:rFonts w:ascii="Calibri" w:eastAsia="Calibri" w:hAnsi="Calibri" w:cs="Calibri"/>
          <w:sz w:val="22"/>
          <w:szCs w:val="22"/>
          <w:lang w:eastAsia="en-US"/>
        </w:rPr>
        <w:t xml:space="preserve">Po vyjasnění základních postupů financování NJZ se pracovní skupina zaměřila na nastavení konkrétní podoby </w:t>
      </w:r>
      <w:r w:rsidRPr="00D374A8">
        <w:rPr>
          <w:rFonts w:ascii="Calibri" w:eastAsia="Calibri" w:hAnsi="Calibri"/>
          <w:sz w:val="22"/>
          <w:szCs w:val="22"/>
          <w:lang w:eastAsia="en-US"/>
        </w:rPr>
        <w:t>Rozhodnutí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/>
          <w:sz w:val="22"/>
          <w:szCs w:val="22"/>
          <w:lang w:eastAsia="en-US"/>
        </w:rPr>
        <w:t>jeho projednání s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D374A8">
        <w:rPr>
          <w:rFonts w:ascii="Calibri" w:eastAsia="Calibri" w:hAnsi="Calibri"/>
          <w:sz w:val="22"/>
          <w:szCs w:val="22"/>
          <w:lang w:eastAsia="en-US"/>
        </w:rPr>
        <w:t xml:space="preserve">oprávněným příjemcem </w:t>
      </w:r>
      <w:r w:rsidR="004D26BC">
        <w:rPr>
          <w:rFonts w:ascii="Calibri" w:eastAsia="Calibri" w:hAnsi="Calibri"/>
          <w:sz w:val="22"/>
          <w:szCs w:val="22"/>
          <w:lang w:eastAsia="en-US"/>
        </w:rPr>
        <w:t>EDUII</w:t>
      </w:r>
      <w:r w:rsidRPr="00D374A8">
        <w:rPr>
          <w:rFonts w:ascii="Calibri" w:eastAsia="Calibri" w:hAnsi="Calibri"/>
          <w:sz w:val="22"/>
          <w:szCs w:val="22"/>
          <w:lang w:eastAsia="en-US"/>
        </w:rPr>
        <w:t xml:space="preserve"> na zúžených jednáních.</w:t>
      </w:r>
      <w:r w:rsidRPr="00D374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2F72DD9" w14:textId="068EB4F0" w:rsidR="00D374A8" w:rsidRPr="00D374A8" w:rsidRDefault="00883D1F" w:rsidP="00156495">
      <w:pPr>
        <w:autoSpaceDE w:val="0"/>
        <w:autoSpaceDN w:val="0"/>
        <w:adjustRightInd w:val="0"/>
        <w:spacing w:before="160" w:line="293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Pracovní skupina </w:t>
      </w:r>
      <w:r w:rsidR="00D374A8"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ve spolupráci s</w:t>
      </w:r>
      <w:r w:rsidR="000A0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="00D374A8"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pracovní skupinou</w:t>
      </w:r>
      <w:r w:rsidR="00D374A8" w:rsidRPr="00D374A8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 xml:space="preserve"> investorsko-technickou</w:t>
      </w:r>
      <w:r w:rsidR="00D374A8" w:rsidRPr="00D374A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se podílela na</w:t>
      </w:r>
      <w:r w:rsidR="0000002A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zpracování</w:t>
      </w:r>
      <w:r w:rsidR="00D374A8" w:rsidRPr="00D374A8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 xml:space="preserve"> podkladov</w:t>
      </w:r>
      <w:r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ého</w:t>
      </w:r>
      <w:r w:rsidR="00D374A8" w:rsidRPr="00D374A8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 xml:space="preserve"> materiál</w:t>
      </w:r>
      <w:r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u</w:t>
      </w:r>
      <w:r w:rsidR="00D374A8" w:rsidRPr="00D374A8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 xml:space="preserve"> pro rozhod</w:t>
      </w:r>
      <w:r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nutí</w:t>
      </w:r>
      <w:r w:rsidR="00D374A8" w:rsidRPr="00D374A8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 xml:space="preserve"> o</w:t>
      </w:r>
      <w:r w:rsidR="000A060F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 </w:t>
      </w:r>
      <w:r w:rsidR="00D374A8" w:rsidRPr="00D374A8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dalších jaderných zdrojích v</w:t>
      </w:r>
      <w:r w:rsidR="000A060F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 </w:t>
      </w:r>
      <w:r w:rsidR="00D374A8" w:rsidRPr="00D374A8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lokalitách Temelín</w:t>
      </w:r>
      <w:r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 xml:space="preserve"> </w:t>
      </w:r>
      <w:r w:rsidR="00D374A8" w:rsidRPr="00D374A8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a</w:t>
      </w:r>
      <w:r w:rsidR="000A060F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 </w:t>
      </w:r>
      <w:r w:rsidR="00D374A8" w:rsidRPr="00D374A8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Dukovany.</w:t>
      </w:r>
    </w:p>
    <w:p w14:paraId="7EA4691F" w14:textId="306C3713" w:rsidR="00E06C02" w:rsidRPr="00C56410" w:rsidRDefault="00E06C02" w:rsidP="00473EA8">
      <w:pPr>
        <w:pStyle w:val="Odstavecseseznamem"/>
        <w:numPr>
          <w:ilvl w:val="0"/>
          <w:numId w:val="6"/>
        </w:numPr>
        <w:spacing w:before="160" w:line="293" w:lineRule="auto"/>
        <w:contextualSpacing w:val="0"/>
        <w:jc w:val="both"/>
        <w:rPr>
          <w:rFonts w:asciiTheme="minorHAnsi" w:hAnsiTheme="minorHAnsi"/>
          <w:b/>
          <w:bCs/>
          <w:u w:val="single"/>
        </w:rPr>
      </w:pPr>
      <w:r w:rsidRPr="00C56410">
        <w:rPr>
          <w:rFonts w:asciiTheme="minorHAnsi" w:hAnsiTheme="minorHAnsi"/>
          <w:b/>
          <w:u w:val="single"/>
        </w:rPr>
        <w:t>Pracovní skupina legislativně-právní</w:t>
      </w:r>
      <w:r w:rsidR="001A19EF">
        <w:rPr>
          <w:rFonts w:asciiTheme="minorHAnsi" w:hAnsiTheme="minorHAnsi"/>
          <w:b/>
          <w:u w:val="single"/>
        </w:rPr>
        <w:t xml:space="preserve"> PS2</w:t>
      </w:r>
    </w:p>
    <w:p w14:paraId="0DA8BBAD" w14:textId="02D137FE" w:rsidR="00BF7548" w:rsidRPr="004827DE" w:rsidRDefault="00BF7548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4827DE">
        <w:rPr>
          <w:rFonts w:asciiTheme="minorHAnsi" w:hAnsiTheme="minorHAnsi"/>
          <w:bCs/>
          <w:sz w:val="22"/>
          <w:szCs w:val="22"/>
        </w:rPr>
        <w:t xml:space="preserve">Pracovní skupina legislativně-právní </w:t>
      </w:r>
      <w:proofErr w:type="spellStart"/>
      <w:r w:rsidRPr="004827DE">
        <w:rPr>
          <w:rFonts w:asciiTheme="minorHAnsi" w:hAnsiTheme="minorHAnsi"/>
          <w:bCs/>
          <w:sz w:val="22"/>
          <w:szCs w:val="22"/>
        </w:rPr>
        <w:t>SVVJNZ</w:t>
      </w:r>
      <w:proofErr w:type="spellEnd"/>
      <w:r w:rsidRPr="004827DE">
        <w:rPr>
          <w:rFonts w:asciiTheme="minorHAnsi" w:hAnsiTheme="minorHAnsi"/>
          <w:bCs/>
          <w:sz w:val="22"/>
          <w:szCs w:val="22"/>
        </w:rPr>
        <w:t xml:space="preserve"> se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4827DE">
        <w:rPr>
          <w:rFonts w:asciiTheme="minorHAnsi" w:hAnsiTheme="minorHAnsi"/>
          <w:bCs/>
          <w:sz w:val="22"/>
          <w:szCs w:val="22"/>
        </w:rPr>
        <w:t xml:space="preserve">roce </w:t>
      </w:r>
      <w:r w:rsidR="00887B58" w:rsidRPr="004827DE">
        <w:rPr>
          <w:rFonts w:asciiTheme="minorHAnsi" w:hAnsiTheme="minorHAnsi"/>
          <w:bCs/>
          <w:sz w:val="22"/>
          <w:szCs w:val="22"/>
        </w:rPr>
        <w:t xml:space="preserve">2022 </w:t>
      </w:r>
      <w:r w:rsidRPr="004827DE">
        <w:rPr>
          <w:rFonts w:asciiTheme="minorHAnsi" w:hAnsiTheme="minorHAnsi"/>
          <w:bCs/>
          <w:sz w:val="22"/>
          <w:szCs w:val="22"/>
        </w:rPr>
        <w:t>nesešla vzhledem k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4827DE">
        <w:rPr>
          <w:rFonts w:asciiTheme="minorHAnsi" w:hAnsiTheme="minorHAnsi"/>
          <w:bCs/>
          <w:sz w:val="22"/>
          <w:szCs w:val="22"/>
        </w:rPr>
        <w:t>personálním změnám na MMR. Jednání k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4827DE">
        <w:rPr>
          <w:rFonts w:asciiTheme="minorHAnsi" w:hAnsiTheme="minorHAnsi"/>
          <w:bCs/>
          <w:sz w:val="22"/>
          <w:szCs w:val="22"/>
        </w:rPr>
        <w:t>návrhům právních předpisů, které se týkají náplně PS, byly prozatím vedeny na pracovní úrovni mimo formát PS.</w:t>
      </w:r>
    </w:p>
    <w:p w14:paraId="1D348DD4" w14:textId="2F5DC45F" w:rsidR="00BF7548" w:rsidRPr="004827DE" w:rsidRDefault="00BF7548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4827DE">
        <w:rPr>
          <w:rFonts w:asciiTheme="minorHAnsi" w:hAnsiTheme="minorHAnsi"/>
          <w:bCs/>
          <w:sz w:val="22"/>
          <w:szCs w:val="22"/>
        </w:rPr>
        <w:t>Na základě změny nominace členů SVVJNZ se členkou výboru stala náměstkyně</w:t>
      </w:r>
      <w:r w:rsidR="0054732D">
        <w:rPr>
          <w:rFonts w:asciiTheme="minorHAnsi" w:hAnsiTheme="minorHAnsi"/>
          <w:bCs/>
          <w:sz w:val="22"/>
          <w:szCs w:val="22"/>
        </w:rPr>
        <w:t xml:space="preserve"> ministra pro místní rozvoj </w:t>
      </w:r>
      <w:r w:rsidRPr="004827DE">
        <w:rPr>
          <w:rFonts w:asciiTheme="minorHAnsi" w:hAnsiTheme="minorHAnsi"/>
          <w:bCs/>
          <w:sz w:val="22"/>
          <w:szCs w:val="22"/>
        </w:rPr>
        <w:t>(</w:t>
      </w:r>
      <w:r w:rsidR="002F1DA9" w:rsidRPr="004827DE">
        <w:rPr>
          <w:rFonts w:asciiTheme="minorHAnsi" w:hAnsiTheme="minorHAnsi"/>
          <w:bCs/>
          <w:sz w:val="22"/>
          <w:szCs w:val="22"/>
        </w:rPr>
        <w:t xml:space="preserve">od 1. ledna 2023 </w:t>
      </w:r>
      <w:r w:rsidRPr="004827DE">
        <w:rPr>
          <w:rFonts w:asciiTheme="minorHAnsi" w:hAnsiTheme="minorHAnsi"/>
          <w:bCs/>
          <w:sz w:val="22"/>
          <w:szCs w:val="22"/>
        </w:rPr>
        <w:t>vrchní ředitelka) Sekce bydlení, výstavby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4827DE">
        <w:rPr>
          <w:rFonts w:asciiTheme="minorHAnsi" w:hAnsiTheme="minorHAnsi"/>
          <w:bCs/>
          <w:sz w:val="22"/>
          <w:szCs w:val="22"/>
        </w:rPr>
        <w:t>veřejného investování (</w:t>
      </w:r>
      <w:r w:rsidR="002F1DA9" w:rsidRPr="004827DE">
        <w:rPr>
          <w:rFonts w:asciiTheme="minorHAnsi" w:hAnsiTheme="minorHAnsi"/>
          <w:bCs/>
          <w:sz w:val="22"/>
          <w:szCs w:val="22"/>
        </w:rPr>
        <w:t xml:space="preserve">od 1. ledna 2023 </w:t>
      </w:r>
      <w:r w:rsidRPr="004827DE">
        <w:rPr>
          <w:rFonts w:asciiTheme="minorHAnsi" w:hAnsiTheme="minorHAnsi"/>
          <w:bCs/>
          <w:sz w:val="22"/>
          <w:szCs w:val="22"/>
        </w:rPr>
        <w:t>Sekce veřejného investování, výstavby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4827DE">
        <w:rPr>
          <w:rFonts w:asciiTheme="minorHAnsi" w:hAnsiTheme="minorHAnsi"/>
          <w:bCs/>
          <w:sz w:val="22"/>
          <w:szCs w:val="22"/>
        </w:rPr>
        <w:t xml:space="preserve">sociálního začleňování) Mgr. Leona </w:t>
      </w:r>
      <w:proofErr w:type="spellStart"/>
      <w:r w:rsidRPr="004827DE">
        <w:rPr>
          <w:rFonts w:asciiTheme="minorHAnsi" w:hAnsiTheme="minorHAnsi"/>
          <w:bCs/>
          <w:sz w:val="22"/>
          <w:szCs w:val="22"/>
        </w:rPr>
        <w:t>Gergelová</w:t>
      </w:r>
      <w:proofErr w:type="spellEnd"/>
      <w:r w:rsidRPr="004827D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827DE">
        <w:rPr>
          <w:rFonts w:asciiTheme="minorHAnsi" w:hAnsiTheme="minorHAnsi"/>
          <w:bCs/>
          <w:sz w:val="22"/>
          <w:szCs w:val="22"/>
        </w:rPr>
        <w:t>Šteigrová</w:t>
      </w:r>
      <w:proofErr w:type="spellEnd"/>
      <w:r w:rsidRPr="004827DE">
        <w:rPr>
          <w:rFonts w:asciiTheme="minorHAnsi" w:hAnsiTheme="minorHAnsi"/>
          <w:bCs/>
          <w:sz w:val="22"/>
          <w:szCs w:val="22"/>
        </w:rPr>
        <w:t>, Ph</w:t>
      </w:r>
      <w:r w:rsidR="00883D1F">
        <w:rPr>
          <w:rFonts w:asciiTheme="minorHAnsi" w:hAnsiTheme="minorHAnsi"/>
          <w:bCs/>
          <w:sz w:val="22"/>
          <w:szCs w:val="22"/>
        </w:rPr>
        <w:t>.</w:t>
      </w:r>
      <w:r w:rsidRPr="004827DE">
        <w:rPr>
          <w:rFonts w:asciiTheme="minorHAnsi" w:hAnsiTheme="minorHAnsi"/>
          <w:bCs/>
          <w:sz w:val="22"/>
          <w:szCs w:val="22"/>
        </w:rPr>
        <w:t>D.</w:t>
      </w:r>
    </w:p>
    <w:p w14:paraId="0431B76A" w14:textId="208577BE" w:rsidR="00BF7548" w:rsidRPr="004827DE" w:rsidRDefault="007105AF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V</w:t>
      </w:r>
      <w:r w:rsidR="00BF7548" w:rsidRPr="004827DE">
        <w:rPr>
          <w:rFonts w:asciiTheme="minorHAnsi" w:hAnsiTheme="minorHAnsi"/>
          <w:bCs/>
          <w:sz w:val="22"/>
          <w:szCs w:val="22"/>
        </w:rPr>
        <w:t xml:space="preserve">edením </w:t>
      </w:r>
      <w:proofErr w:type="gramStart"/>
      <w:r w:rsidR="00BF7548" w:rsidRPr="004827DE">
        <w:rPr>
          <w:rFonts w:asciiTheme="minorHAnsi" w:hAnsiTheme="minorHAnsi"/>
          <w:bCs/>
          <w:sz w:val="22"/>
          <w:szCs w:val="22"/>
        </w:rPr>
        <w:t>PS2 - Pracovní</w:t>
      </w:r>
      <w:proofErr w:type="gramEnd"/>
      <w:r w:rsidR="00BF7548" w:rsidRPr="004827DE">
        <w:rPr>
          <w:rFonts w:asciiTheme="minorHAnsi" w:hAnsiTheme="minorHAnsi"/>
          <w:bCs/>
          <w:sz w:val="22"/>
          <w:szCs w:val="22"/>
        </w:rPr>
        <w:t xml:space="preserve"> skupiny </w:t>
      </w:r>
      <w:proofErr w:type="spellStart"/>
      <w:r w:rsidR="00BF7548" w:rsidRPr="004827DE">
        <w:rPr>
          <w:rFonts w:asciiTheme="minorHAnsi" w:hAnsiTheme="minorHAnsi"/>
          <w:bCs/>
          <w:sz w:val="22"/>
          <w:szCs w:val="22"/>
        </w:rPr>
        <w:t>SVVNJZ</w:t>
      </w:r>
      <w:proofErr w:type="spellEnd"/>
      <w:r w:rsidR="00BF7548" w:rsidRPr="004827DE">
        <w:rPr>
          <w:rFonts w:asciiTheme="minorHAnsi" w:hAnsiTheme="minorHAnsi"/>
          <w:bCs/>
          <w:sz w:val="22"/>
          <w:szCs w:val="22"/>
        </w:rPr>
        <w:t xml:space="preserve"> legislativně–právní </w:t>
      </w:r>
      <w:r>
        <w:rPr>
          <w:rFonts w:asciiTheme="minorHAnsi" w:hAnsiTheme="minorHAnsi"/>
          <w:bCs/>
          <w:sz w:val="22"/>
          <w:szCs w:val="22"/>
        </w:rPr>
        <w:t xml:space="preserve">byla </w:t>
      </w:r>
      <w:proofErr w:type="spellStart"/>
      <w:r>
        <w:rPr>
          <w:rFonts w:asciiTheme="minorHAnsi" w:hAnsiTheme="minorHAnsi"/>
          <w:bCs/>
          <w:sz w:val="22"/>
          <w:szCs w:val="22"/>
        </w:rPr>
        <w:t>SVVNJZ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r w:rsidR="00BF7548" w:rsidRPr="004827DE">
        <w:rPr>
          <w:rFonts w:asciiTheme="minorHAnsi" w:hAnsiTheme="minorHAnsi"/>
          <w:bCs/>
          <w:sz w:val="22"/>
          <w:szCs w:val="22"/>
        </w:rPr>
        <w:t xml:space="preserve">pověřena ředitelka odboru stavebního řádu </w:t>
      </w:r>
      <w:proofErr w:type="spellStart"/>
      <w:r>
        <w:rPr>
          <w:rFonts w:asciiTheme="minorHAnsi" w:hAnsiTheme="minorHAnsi"/>
          <w:bCs/>
          <w:sz w:val="22"/>
          <w:szCs w:val="22"/>
        </w:rPr>
        <w:t>MMR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</w:t>
      </w:r>
      <w:r w:rsidR="00BF7548" w:rsidRPr="004827DE">
        <w:rPr>
          <w:rFonts w:asciiTheme="minorHAnsi" w:hAnsiTheme="minorHAnsi"/>
          <w:bCs/>
          <w:sz w:val="22"/>
          <w:szCs w:val="22"/>
        </w:rPr>
        <w:t>Ing. Žanet Hadžić, CSc.,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BF7548" w:rsidRPr="004827DE">
        <w:rPr>
          <w:rFonts w:asciiTheme="minorHAnsi" w:hAnsiTheme="minorHAnsi"/>
          <w:bCs/>
          <w:sz w:val="22"/>
          <w:szCs w:val="22"/>
        </w:rPr>
        <w:t>jejíž gesci je příprava dotčené legislativy.</w:t>
      </w:r>
    </w:p>
    <w:p w14:paraId="0256163C" w14:textId="3B4F6CAB" w:rsidR="00BF7548" w:rsidRPr="004827DE" w:rsidRDefault="00BF7548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4827DE">
        <w:rPr>
          <w:rFonts w:asciiTheme="minorHAnsi" w:hAnsiTheme="minorHAnsi"/>
          <w:bCs/>
          <w:sz w:val="22"/>
          <w:szCs w:val="22"/>
        </w:rPr>
        <w:t xml:space="preserve">Koncem roku </w:t>
      </w:r>
      <w:r w:rsidR="002F1DA9" w:rsidRPr="004827DE">
        <w:rPr>
          <w:rFonts w:asciiTheme="minorHAnsi" w:hAnsiTheme="minorHAnsi"/>
          <w:bCs/>
          <w:sz w:val="22"/>
          <w:szCs w:val="22"/>
        </w:rPr>
        <w:t xml:space="preserve">2022 </w:t>
      </w:r>
      <w:r w:rsidRPr="004827DE">
        <w:rPr>
          <w:rFonts w:asciiTheme="minorHAnsi" w:hAnsiTheme="minorHAnsi"/>
          <w:bCs/>
          <w:sz w:val="22"/>
          <w:szCs w:val="22"/>
        </w:rPr>
        <w:t>byla provedena revize členů PS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4827DE">
        <w:rPr>
          <w:rFonts w:asciiTheme="minorHAnsi" w:hAnsiTheme="minorHAnsi"/>
          <w:bCs/>
          <w:sz w:val="22"/>
          <w:szCs w:val="22"/>
        </w:rPr>
        <w:t>byli mj. doplněni členové z</w:t>
      </w:r>
      <w:r w:rsidR="002F1DA9" w:rsidRPr="004827DE">
        <w:rPr>
          <w:rFonts w:asciiTheme="minorHAnsi" w:hAnsiTheme="minorHAnsi"/>
          <w:bCs/>
          <w:sz w:val="22"/>
          <w:szCs w:val="22"/>
        </w:rPr>
        <w:t xml:space="preserve">e </w:t>
      </w:r>
      <w:r w:rsidRPr="004827DE">
        <w:rPr>
          <w:rFonts w:asciiTheme="minorHAnsi" w:hAnsiTheme="minorHAnsi"/>
          <w:bCs/>
          <w:sz w:val="22"/>
          <w:szCs w:val="22"/>
        </w:rPr>
        <w:t>Sekce jaderné energetiky MPO</w:t>
      </w:r>
      <w:r w:rsidR="002F1DA9" w:rsidRPr="004827DE">
        <w:rPr>
          <w:rFonts w:asciiTheme="minorHAnsi" w:hAnsiTheme="minorHAnsi"/>
          <w:bCs/>
          <w:sz w:val="22"/>
          <w:szCs w:val="22"/>
        </w:rPr>
        <w:t xml:space="preserve"> (od 1. ledna 2023 Sekce energetiky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2F1DA9" w:rsidRPr="004827DE">
        <w:rPr>
          <w:rFonts w:asciiTheme="minorHAnsi" w:hAnsiTheme="minorHAnsi"/>
          <w:bCs/>
          <w:sz w:val="22"/>
          <w:szCs w:val="22"/>
        </w:rPr>
        <w:t>jaderných zařízení)</w:t>
      </w:r>
      <w:r w:rsidRPr="004827DE">
        <w:rPr>
          <w:rFonts w:asciiTheme="minorHAnsi" w:hAnsiTheme="minorHAnsi"/>
          <w:bCs/>
          <w:sz w:val="22"/>
          <w:szCs w:val="22"/>
        </w:rPr>
        <w:t>.</w:t>
      </w:r>
    </w:p>
    <w:p w14:paraId="07604164" w14:textId="6BCE261B" w:rsidR="00BF7548" w:rsidRDefault="00BF7548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4827DE">
        <w:rPr>
          <w:rFonts w:asciiTheme="minorHAnsi" w:hAnsiTheme="minorHAnsi"/>
          <w:bCs/>
          <w:sz w:val="22"/>
          <w:szCs w:val="22"/>
        </w:rPr>
        <w:t>Jednání PS k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4827DE">
        <w:rPr>
          <w:rFonts w:asciiTheme="minorHAnsi" w:hAnsiTheme="minorHAnsi"/>
          <w:bCs/>
          <w:sz w:val="22"/>
          <w:szCs w:val="22"/>
        </w:rPr>
        <w:t>aktuálnímu vývoji legislativy se předpokládá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4827DE">
        <w:rPr>
          <w:rFonts w:asciiTheme="minorHAnsi" w:hAnsiTheme="minorHAnsi"/>
          <w:bCs/>
          <w:sz w:val="22"/>
          <w:szCs w:val="22"/>
        </w:rPr>
        <w:t>prvním čtvrtletí roku</w:t>
      </w:r>
      <w:r w:rsidR="002F1DA9" w:rsidRPr="004827DE">
        <w:rPr>
          <w:rFonts w:asciiTheme="minorHAnsi" w:hAnsiTheme="minorHAnsi"/>
          <w:bCs/>
          <w:sz w:val="22"/>
          <w:szCs w:val="22"/>
        </w:rPr>
        <w:t xml:space="preserve"> 2023</w:t>
      </w:r>
      <w:r w:rsidRPr="004827DE">
        <w:rPr>
          <w:rFonts w:asciiTheme="minorHAnsi" w:hAnsiTheme="minorHAnsi"/>
          <w:bCs/>
          <w:sz w:val="22"/>
          <w:szCs w:val="22"/>
        </w:rPr>
        <w:t>.</w:t>
      </w:r>
    </w:p>
    <w:p w14:paraId="3688493F" w14:textId="7108C23F" w:rsidR="008814CE" w:rsidRDefault="008814CE" w:rsidP="00473EA8">
      <w:pPr>
        <w:spacing w:before="160" w:line="293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7810DAD4" w14:textId="61A2F8D9" w:rsidR="007105AF" w:rsidRDefault="007105AF" w:rsidP="00473EA8">
      <w:pPr>
        <w:spacing w:before="160" w:line="293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44318548" w14:textId="0B797214" w:rsidR="007105AF" w:rsidRDefault="007105AF" w:rsidP="00473EA8">
      <w:pPr>
        <w:spacing w:before="160" w:line="293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4D1A18FF" w14:textId="77777777" w:rsidR="007105AF" w:rsidRDefault="007105AF" w:rsidP="00473EA8">
      <w:pPr>
        <w:spacing w:before="160" w:line="293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2F28971" w14:textId="0F8F073D" w:rsidR="00E27587" w:rsidRPr="00100D2F" w:rsidRDefault="00E27587" w:rsidP="00473EA8">
      <w:pPr>
        <w:pStyle w:val="Odstavecseseznamem"/>
        <w:numPr>
          <w:ilvl w:val="0"/>
          <w:numId w:val="6"/>
        </w:numPr>
        <w:spacing w:before="160" w:line="293" w:lineRule="auto"/>
        <w:contextualSpacing w:val="0"/>
        <w:jc w:val="both"/>
        <w:rPr>
          <w:rFonts w:asciiTheme="minorHAnsi" w:hAnsiTheme="minorHAnsi"/>
          <w:b/>
          <w:bCs/>
          <w:u w:val="single"/>
        </w:rPr>
      </w:pPr>
      <w:bookmarkStart w:id="6" w:name="_Hlk124956692"/>
      <w:bookmarkStart w:id="7" w:name="_Hlk103699693"/>
      <w:r w:rsidRPr="00C56410">
        <w:rPr>
          <w:rFonts w:asciiTheme="minorHAnsi" w:hAnsiTheme="minorHAnsi"/>
          <w:b/>
          <w:u w:val="single"/>
        </w:rPr>
        <w:lastRenderedPageBreak/>
        <w:t>Pracovní skupina</w:t>
      </w:r>
      <w:bookmarkEnd w:id="6"/>
      <w:r w:rsidRPr="00C56410">
        <w:rPr>
          <w:rFonts w:asciiTheme="minorHAnsi" w:hAnsiTheme="minorHAnsi"/>
          <w:b/>
          <w:u w:val="single"/>
        </w:rPr>
        <w:t xml:space="preserve"> </w:t>
      </w:r>
      <w:proofErr w:type="spellStart"/>
      <w:r w:rsidRPr="00C56410">
        <w:rPr>
          <w:rFonts w:asciiTheme="minorHAnsi" w:hAnsiTheme="minorHAnsi"/>
          <w:b/>
          <w:u w:val="single"/>
        </w:rPr>
        <w:t>technicko</w:t>
      </w:r>
      <w:r w:rsidR="0054732D">
        <w:rPr>
          <w:rFonts w:asciiTheme="minorHAnsi" w:hAnsiTheme="minorHAnsi"/>
          <w:b/>
          <w:u w:val="single"/>
        </w:rPr>
        <w:t>-</w:t>
      </w:r>
      <w:r w:rsidRPr="00C56410">
        <w:rPr>
          <w:rFonts w:asciiTheme="minorHAnsi" w:hAnsiTheme="minorHAnsi"/>
          <w:b/>
          <w:u w:val="single"/>
        </w:rPr>
        <w:t>investiční</w:t>
      </w:r>
      <w:proofErr w:type="spellEnd"/>
      <w:r w:rsidR="001A19EF">
        <w:rPr>
          <w:rFonts w:asciiTheme="minorHAnsi" w:hAnsiTheme="minorHAnsi"/>
          <w:b/>
          <w:u w:val="single"/>
        </w:rPr>
        <w:t xml:space="preserve"> PS3</w:t>
      </w:r>
    </w:p>
    <w:p w14:paraId="22401C84" w14:textId="77777777" w:rsidR="004827DE" w:rsidRPr="004827DE" w:rsidRDefault="004827DE" w:rsidP="00156495">
      <w:pPr>
        <w:keepNext/>
        <w:spacing w:before="160" w:line="293" w:lineRule="auto"/>
        <w:ind w:left="426"/>
        <w:outlineLvl w:val="0"/>
        <w:rPr>
          <w:rFonts w:ascii="Calibri" w:hAnsi="Calibri"/>
          <w:b/>
          <w:bCs/>
          <w:kern w:val="32"/>
          <w:sz w:val="22"/>
          <w:szCs w:val="22"/>
          <w:lang w:eastAsia="en-US"/>
        </w:rPr>
      </w:pP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1. Personální obsazení pracovní skupiny</w:t>
      </w:r>
    </w:p>
    <w:p w14:paraId="260BEF64" w14:textId="26EE92D1" w:rsidR="00AD3709" w:rsidRPr="004827DE" w:rsidRDefault="004827DE" w:rsidP="00156495">
      <w:pPr>
        <w:spacing w:before="160" w:after="12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V průběhu roku 2022 nedošlo ke změnám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personálním obsazení pracovní skupiny. Na VI.</w:t>
      </w:r>
      <w:r w:rsidR="0054732D">
        <w:rPr>
          <w:rFonts w:ascii="Calibri" w:eastAsia="Calibri" w:hAnsi="Calibri"/>
          <w:sz w:val="22"/>
          <w:szCs w:val="22"/>
          <w:lang w:eastAsia="en-US"/>
        </w:rPr>
        <w:t> j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ednání </w:t>
      </w:r>
      <w:proofErr w:type="spellStart"/>
      <w:r w:rsidRPr="004827DE">
        <w:rPr>
          <w:rFonts w:ascii="Calibri" w:eastAsia="Calibri" w:hAnsi="Calibri"/>
          <w:sz w:val="22"/>
          <w:szCs w:val="22"/>
          <w:lang w:eastAsia="en-US"/>
        </w:rPr>
        <w:t>SVVNJZ</w:t>
      </w:r>
      <w:proofErr w:type="spellEnd"/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září 2022 byla potvrzena struktura pracovní skupiny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její vedení s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tím, že zástupce MPO byl </w:t>
      </w:r>
      <w:r w:rsidR="007105AF">
        <w:rPr>
          <w:rFonts w:ascii="Calibri" w:eastAsia="Calibri" w:hAnsi="Calibri"/>
          <w:sz w:val="22"/>
          <w:szCs w:val="22"/>
          <w:lang w:eastAsia="en-US"/>
        </w:rPr>
        <w:t>jmenován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jako místopředseda pracovní skupiny. Současné složení pracovní skupiny </w:t>
      </w:r>
      <w:proofErr w:type="gramStart"/>
      <w:r w:rsidRPr="004827DE">
        <w:rPr>
          <w:rFonts w:ascii="Calibri" w:eastAsia="Calibri" w:hAnsi="Calibri"/>
          <w:sz w:val="22"/>
          <w:szCs w:val="22"/>
          <w:lang w:eastAsia="en-US"/>
        </w:rPr>
        <w:t>technicko</w:t>
      </w:r>
      <w:r w:rsidR="0054732D">
        <w:rPr>
          <w:rFonts w:ascii="Calibri" w:eastAsia="Calibri" w:hAnsi="Calibri"/>
          <w:sz w:val="22"/>
          <w:szCs w:val="22"/>
          <w:lang w:eastAsia="en-US"/>
        </w:rPr>
        <w:t>-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investiční</w:t>
      </w:r>
      <w:proofErr w:type="gramEnd"/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je následující:</w:t>
      </w:r>
    </w:p>
    <w:tbl>
      <w:tblPr>
        <w:tblW w:w="8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3662"/>
        <w:gridCol w:w="2403"/>
      </w:tblGrid>
      <w:tr w:rsidR="004827DE" w:rsidRPr="004827DE" w14:paraId="1C1C3D84" w14:textId="77777777" w:rsidTr="00FE7C92">
        <w:trPr>
          <w:trHeight w:val="3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4962C" w14:textId="5ED58E75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Jméno a</w:t>
            </w:r>
            <w:r w:rsidR="000A060F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 </w:t>
            </w:r>
            <w:r w:rsidRPr="004827DE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příjmení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1429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Organizace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C649A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Pozice</w:t>
            </w:r>
          </w:p>
        </w:tc>
      </w:tr>
      <w:tr w:rsidR="004827DE" w:rsidRPr="004827DE" w14:paraId="6DAE05C3" w14:textId="77777777" w:rsidTr="009529FC">
        <w:trPr>
          <w:trHeight w:val="3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B511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</w:rPr>
              <w:t>Vojtěch Michalec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04EC" w14:textId="4FA08891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ČEZ, a.</w:t>
            </w:r>
            <w:r w:rsidR="00802B55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 xml:space="preserve"> </w:t>
            </w: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s.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CB0F8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</w:rPr>
              <w:t>předseda</w:t>
            </w:r>
          </w:p>
        </w:tc>
      </w:tr>
      <w:tr w:rsidR="004827DE" w:rsidRPr="004827DE" w14:paraId="2F65D7A4" w14:textId="77777777" w:rsidTr="0083366A">
        <w:trPr>
          <w:trHeight w:val="3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00AB7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/>
                <w:sz w:val="22"/>
                <w:szCs w:val="22"/>
                <w:lang w:eastAsia="en-US"/>
              </w:rPr>
              <w:t>Ladislav Havlíček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7F882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MPO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54787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místopředseda</w:t>
            </w:r>
          </w:p>
        </w:tc>
      </w:tr>
      <w:tr w:rsidR="004827DE" w:rsidRPr="004827DE" w14:paraId="13BA597D" w14:textId="77777777" w:rsidTr="009529FC">
        <w:trPr>
          <w:trHeight w:val="3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E80FF" w14:textId="77777777" w:rsidR="004827DE" w:rsidRPr="004827DE" w:rsidRDefault="004827DE" w:rsidP="00473EA8">
            <w:pPr>
              <w:spacing w:before="160" w:line="293" w:lineRule="auto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</w:pPr>
            <w:r w:rsidRPr="004827DE">
              <w:rPr>
                <w:rFonts w:ascii="Calibri" w:eastAsia="Calibri" w:hAnsi="Calibri"/>
                <w:sz w:val="22"/>
                <w:szCs w:val="22"/>
                <w:lang w:eastAsia="en-US"/>
              </w:rPr>
              <w:t>Jan Prášil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7AF58" w14:textId="77777777" w:rsidR="004827DE" w:rsidRPr="004827DE" w:rsidRDefault="004827DE" w:rsidP="00473EA8">
            <w:pPr>
              <w:spacing w:before="160" w:line="293" w:lineRule="auto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MPO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EB4CA" w14:textId="77777777" w:rsidR="004827DE" w:rsidRPr="004827DE" w:rsidRDefault="004827DE" w:rsidP="00473EA8">
            <w:pPr>
              <w:spacing w:before="160" w:line="293" w:lineRule="auto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člen</w:t>
            </w:r>
          </w:p>
        </w:tc>
      </w:tr>
      <w:tr w:rsidR="004827DE" w:rsidRPr="004827DE" w14:paraId="3610C6B4" w14:textId="77777777" w:rsidTr="0083366A">
        <w:trPr>
          <w:trHeight w:val="3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7DB69" w14:textId="77777777" w:rsidR="004827DE" w:rsidRPr="004827DE" w:rsidRDefault="004827DE" w:rsidP="00473EA8">
            <w:pPr>
              <w:spacing w:before="160" w:line="293" w:lineRule="auto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 xml:space="preserve">Karel </w:t>
            </w:r>
            <w:proofErr w:type="spellStart"/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Künzel</w:t>
            </w:r>
            <w:proofErr w:type="spellEnd"/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94488" w14:textId="77777777" w:rsidR="004827DE" w:rsidRPr="004827DE" w:rsidRDefault="004827DE" w:rsidP="00473EA8">
            <w:pPr>
              <w:spacing w:before="160" w:line="293" w:lineRule="auto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SÚJB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6D2C7" w14:textId="77777777" w:rsidR="004827DE" w:rsidRPr="004827DE" w:rsidRDefault="004827DE" w:rsidP="00473EA8">
            <w:pPr>
              <w:spacing w:before="160" w:line="293" w:lineRule="auto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člen</w:t>
            </w:r>
          </w:p>
        </w:tc>
      </w:tr>
      <w:tr w:rsidR="004827DE" w:rsidRPr="004827DE" w14:paraId="38C065F5" w14:textId="77777777" w:rsidTr="009529FC">
        <w:trPr>
          <w:trHeight w:val="3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3B9E3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Petr Závodský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12C7" w14:textId="08FE5BF9" w:rsidR="004827DE" w:rsidRPr="00C127C7" w:rsidRDefault="00855BF4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C127C7">
              <w:rPr>
                <w:rFonts w:ascii="Calibri" w:eastAsia="Calibri" w:hAnsi="Calibri" w:cs="Calibri"/>
                <w:kern w:val="24"/>
                <w:sz w:val="22"/>
                <w:szCs w:val="22"/>
              </w:rPr>
              <w:t>EDU II</w:t>
            </w:r>
            <w:r w:rsidR="004827DE" w:rsidRPr="00C127C7">
              <w:rPr>
                <w:rFonts w:ascii="Calibri" w:eastAsia="Calibri" w:hAnsi="Calibri" w:cs="Calibri"/>
                <w:kern w:val="24"/>
                <w:sz w:val="22"/>
                <w:szCs w:val="22"/>
              </w:rPr>
              <w:t>, a.</w:t>
            </w:r>
            <w:r w:rsidR="00802B55" w:rsidRPr="00C127C7">
              <w:rPr>
                <w:rFonts w:ascii="Calibri" w:eastAsia="Calibri" w:hAnsi="Calibri" w:cs="Calibri"/>
                <w:kern w:val="24"/>
                <w:sz w:val="22"/>
                <w:szCs w:val="22"/>
              </w:rPr>
              <w:t xml:space="preserve"> </w:t>
            </w:r>
            <w:r w:rsidR="004827DE" w:rsidRPr="00C127C7">
              <w:rPr>
                <w:rFonts w:ascii="Calibri" w:eastAsia="Calibri" w:hAnsi="Calibri" w:cs="Calibri"/>
                <w:kern w:val="24"/>
                <w:sz w:val="22"/>
                <w:szCs w:val="22"/>
              </w:rPr>
              <w:t>s.</w:t>
            </w:r>
            <w:r w:rsidRPr="00C127C7">
              <w:rPr>
                <w:rFonts w:ascii="Calibri" w:eastAsia="Calibri" w:hAnsi="Calibri" w:cs="Calibri"/>
                <w:kern w:val="24"/>
                <w:sz w:val="22"/>
                <w:szCs w:val="22"/>
              </w:rPr>
              <w:t xml:space="preserve"> a</w:t>
            </w:r>
            <w:r w:rsidR="000A060F" w:rsidRPr="00C127C7">
              <w:rPr>
                <w:rFonts w:ascii="Calibri" w:eastAsia="Calibri" w:hAnsi="Calibri" w:cs="Calibri"/>
                <w:kern w:val="24"/>
                <w:sz w:val="22"/>
                <w:szCs w:val="22"/>
              </w:rPr>
              <w:t> </w:t>
            </w:r>
            <w:r w:rsidRPr="00C127C7">
              <w:rPr>
                <w:rFonts w:ascii="Calibri" w:eastAsia="Calibri" w:hAnsi="Calibri" w:cs="Calibri"/>
                <w:kern w:val="24"/>
                <w:sz w:val="22"/>
                <w:szCs w:val="22"/>
              </w:rPr>
              <w:t>ETE II, a. s.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49E9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člen</w:t>
            </w:r>
          </w:p>
        </w:tc>
      </w:tr>
      <w:tr w:rsidR="00855BF4" w:rsidRPr="004827DE" w14:paraId="3A6D315B" w14:textId="77777777" w:rsidTr="000A060F">
        <w:trPr>
          <w:trHeight w:val="3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43AA6" w14:textId="77777777" w:rsidR="00855BF4" w:rsidRPr="004827DE" w:rsidRDefault="00855BF4" w:rsidP="00855BF4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Petr Nejedlý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1AD98E" w14:textId="6A8E51C2" w:rsidR="00855BF4" w:rsidRPr="00C127C7" w:rsidRDefault="00855BF4" w:rsidP="00855BF4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C127C7">
              <w:rPr>
                <w:rFonts w:ascii="Calibri" w:eastAsia="Calibri" w:hAnsi="Calibri" w:cs="Calibri"/>
                <w:kern w:val="24"/>
                <w:sz w:val="22"/>
                <w:szCs w:val="22"/>
              </w:rPr>
              <w:t>EDU II, a. s.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901F6" w14:textId="77777777" w:rsidR="00855BF4" w:rsidRPr="004827DE" w:rsidRDefault="00855BF4" w:rsidP="00855BF4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člen</w:t>
            </w:r>
          </w:p>
        </w:tc>
      </w:tr>
      <w:tr w:rsidR="00855BF4" w:rsidRPr="004827DE" w14:paraId="620A6394" w14:textId="77777777" w:rsidTr="000A060F">
        <w:trPr>
          <w:trHeight w:val="3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349F" w14:textId="77777777" w:rsidR="00855BF4" w:rsidRPr="004827DE" w:rsidRDefault="00855BF4" w:rsidP="00855BF4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Martin Uhlíř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EE72F4" w14:textId="60DCFC72" w:rsidR="00855BF4" w:rsidRPr="00C127C7" w:rsidRDefault="00855BF4" w:rsidP="00855BF4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C127C7">
              <w:rPr>
                <w:rFonts w:ascii="Calibri" w:eastAsia="Calibri" w:hAnsi="Calibri" w:cs="Calibri"/>
                <w:kern w:val="24"/>
                <w:sz w:val="22"/>
                <w:szCs w:val="22"/>
              </w:rPr>
              <w:t>EDU II, a. s.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E783" w14:textId="77777777" w:rsidR="00855BF4" w:rsidRPr="004827DE" w:rsidRDefault="00855BF4" w:rsidP="00855BF4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člen</w:t>
            </w:r>
          </w:p>
        </w:tc>
      </w:tr>
      <w:tr w:rsidR="004827DE" w:rsidRPr="004827DE" w14:paraId="32E8387B" w14:textId="77777777" w:rsidTr="0083366A">
        <w:trPr>
          <w:trHeight w:val="3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B208C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Zdeněk Hruška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7766" w14:textId="542F5E80" w:rsidR="004827DE" w:rsidRPr="00C127C7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C127C7">
              <w:rPr>
                <w:rFonts w:ascii="Calibri" w:eastAsia="Calibri" w:hAnsi="Calibri" w:cs="Calibri"/>
                <w:kern w:val="24"/>
                <w:sz w:val="22"/>
                <w:szCs w:val="22"/>
              </w:rPr>
              <w:t>ČEPS</w:t>
            </w:r>
            <w:r w:rsidR="0083366A" w:rsidRPr="00C127C7">
              <w:rPr>
                <w:rFonts w:ascii="Calibri" w:eastAsia="Calibri" w:hAnsi="Calibri" w:cs="Calibri"/>
                <w:kern w:val="24"/>
                <w:sz w:val="22"/>
                <w:szCs w:val="22"/>
              </w:rPr>
              <w:t xml:space="preserve">, </w:t>
            </w:r>
            <w:proofErr w:type="gramStart"/>
            <w:r w:rsidR="0083366A" w:rsidRPr="00C127C7">
              <w:rPr>
                <w:rFonts w:ascii="Calibri" w:eastAsia="Calibri" w:hAnsi="Calibri" w:cs="Calibri"/>
                <w:kern w:val="24"/>
                <w:sz w:val="22"/>
                <w:szCs w:val="22"/>
              </w:rPr>
              <w:t>a.s</w:t>
            </w:r>
            <w:proofErr w:type="gramEnd"/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440A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člen</w:t>
            </w:r>
          </w:p>
        </w:tc>
      </w:tr>
      <w:tr w:rsidR="004827DE" w:rsidRPr="004827DE" w14:paraId="30C2337E" w14:textId="77777777" w:rsidTr="009529FC">
        <w:trPr>
          <w:trHeight w:val="3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A279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Karel Vinkler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4C2FD" w14:textId="50307A1E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ČEPS</w:t>
            </w:r>
            <w:r w:rsidR="0083366A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, a.s.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453E" w14:textId="77777777" w:rsidR="004827DE" w:rsidRPr="004827DE" w:rsidRDefault="004827DE" w:rsidP="00473EA8">
            <w:pPr>
              <w:spacing w:before="160" w:line="293" w:lineRule="auto"/>
              <w:rPr>
                <w:rFonts w:ascii="Calibri" w:hAnsi="Calibri" w:cs="Calibri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člen</w:t>
            </w:r>
          </w:p>
        </w:tc>
      </w:tr>
      <w:tr w:rsidR="004827DE" w:rsidRPr="004827DE" w14:paraId="7EC54265" w14:textId="77777777" w:rsidTr="0083366A">
        <w:trPr>
          <w:trHeight w:val="3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E25B1" w14:textId="77777777" w:rsidR="004827DE" w:rsidRPr="004827DE" w:rsidRDefault="004827DE" w:rsidP="00473EA8">
            <w:pPr>
              <w:spacing w:before="160" w:line="293" w:lineRule="auto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Luděk Sosna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8C4A0" w14:textId="77777777" w:rsidR="004827DE" w:rsidRPr="004827DE" w:rsidRDefault="004827DE" w:rsidP="00473EA8">
            <w:pPr>
              <w:spacing w:before="160" w:line="293" w:lineRule="auto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MD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C195A" w14:textId="77777777" w:rsidR="004827DE" w:rsidRPr="004827DE" w:rsidRDefault="004827DE" w:rsidP="00473EA8">
            <w:pPr>
              <w:spacing w:before="160" w:line="293" w:lineRule="auto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člen</w:t>
            </w:r>
          </w:p>
        </w:tc>
      </w:tr>
      <w:tr w:rsidR="004827DE" w:rsidRPr="004827DE" w14:paraId="52C0A4BA" w14:textId="77777777" w:rsidTr="009529FC">
        <w:trPr>
          <w:trHeight w:val="34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11F70" w14:textId="77777777" w:rsidR="004827DE" w:rsidRPr="004827DE" w:rsidRDefault="004827DE" w:rsidP="00473EA8">
            <w:pPr>
              <w:spacing w:before="160" w:line="293" w:lineRule="auto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Martin Janeček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00A8B" w14:textId="77777777" w:rsidR="004827DE" w:rsidRPr="004827DE" w:rsidRDefault="004827DE" w:rsidP="00473EA8">
            <w:pPr>
              <w:spacing w:before="160" w:line="293" w:lineRule="auto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MD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13DE8" w14:textId="77777777" w:rsidR="004827DE" w:rsidRPr="004827DE" w:rsidRDefault="004827DE" w:rsidP="00473EA8">
            <w:pPr>
              <w:spacing w:before="160" w:line="293" w:lineRule="auto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</w:pPr>
            <w:r w:rsidRPr="004827D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</w:rPr>
              <w:t>člen</w:t>
            </w:r>
          </w:p>
        </w:tc>
      </w:tr>
    </w:tbl>
    <w:p w14:paraId="7947BBB8" w14:textId="298322E2" w:rsidR="005D5BE1" w:rsidRPr="00786642" w:rsidRDefault="005D5BE1" w:rsidP="00786642">
      <w:pPr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786642">
        <w:rPr>
          <w:rFonts w:ascii="Calibri" w:eastAsia="Calibri" w:hAnsi="Calibri"/>
          <w:i/>
          <w:sz w:val="20"/>
          <w:szCs w:val="20"/>
          <w:lang w:eastAsia="en-US"/>
        </w:rPr>
        <w:t>CPIA – Aliance české průmyslu</w:t>
      </w:r>
      <w:r w:rsidR="0054732D">
        <w:rPr>
          <w:rFonts w:ascii="Calibri" w:eastAsia="Calibri" w:hAnsi="Calibri"/>
          <w:i/>
          <w:sz w:val="20"/>
          <w:szCs w:val="20"/>
          <w:lang w:eastAsia="en-US"/>
        </w:rPr>
        <w:t>,</w:t>
      </w:r>
      <w:r w:rsidRPr="00786642"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  <w:proofErr w:type="spellStart"/>
      <w:r w:rsidRPr="00786642">
        <w:rPr>
          <w:rFonts w:ascii="Calibri" w:eastAsia="Calibri" w:hAnsi="Calibri"/>
          <w:i/>
          <w:sz w:val="20"/>
          <w:szCs w:val="20"/>
          <w:lang w:eastAsia="en-US"/>
        </w:rPr>
        <w:t>z.s</w:t>
      </w:r>
      <w:proofErr w:type="spellEnd"/>
      <w:r w:rsidRPr="00786642">
        <w:rPr>
          <w:rFonts w:ascii="Calibri" w:eastAsia="Calibri" w:hAnsi="Calibri"/>
          <w:i/>
          <w:sz w:val="20"/>
          <w:szCs w:val="20"/>
          <w:lang w:eastAsia="en-US"/>
        </w:rPr>
        <w:t>.</w:t>
      </w:r>
    </w:p>
    <w:p w14:paraId="437C5D4B" w14:textId="263F31AC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Na jednání pracovní skupiny byli zváni další odborníci podle potřeb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charakteru projednávané problematiky.</w:t>
      </w:r>
    </w:p>
    <w:p w14:paraId="1513EB67" w14:textId="22CB8C16" w:rsidR="004827DE" w:rsidRPr="004827DE" w:rsidRDefault="004827DE" w:rsidP="00156495">
      <w:pPr>
        <w:keepNext/>
        <w:spacing w:before="160" w:line="293" w:lineRule="auto"/>
        <w:ind w:left="426"/>
        <w:outlineLvl w:val="0"/>
        <w:rPr>
          <w:rFonts w:ascii="Calibri" w:hAnsi="Calibri"/>
          <w:b/>
          <w:bCs/>
          <w:kern w:val="32"/>
          <w:sz w:val="22"/>
          <w:szCs w:val="22"/>
          <w:lang w:eastAsia="en-US"/>
        </w:rPr>
      </w:pP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2. Úkoly řešené pracovní skupinou a</w:t>
      </w:r>
      <w:r w:rsidR="000A060F">
        <w:rPr>
          <w:rFonts w:ascii="Calibri" w:hAnsi="Calibri"/>
          <w:b/>
          <w:bCs/>
          <w:kern w:val="32"/>
          <w:sz w:val="22"/>
          <w:szCs w:val="22"/>
          <w:lang w:eastAsia="en-US"/>
        </w:rPr>
        <w:t> </w:t>
      </w: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její činnost v</w:t>
      </w:r>
      <w:r w:rsidR="000A060F">
        <w:rPr>
          <w:rFonts w:ascii="Calibri" w:hAnsi="Calibri"/>
          <w:b/>
          <w:bCs/>
          <w:kern w:val="32"/>
          <w:sz w:val="22"/>
          <w:szCs w:val="22"/>
          <w:lang w:eastAsia="en-US"/>
        </w:rPr>
        <w:t> </w:t>
      </w: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roce 2022</w:t>
      </w:r>
    </w:p>
    <w:p w14:paraId="383A8A23" w14:textId="12653F9A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4827DE">
        <w:rPr>
          <w:rFonts w:ascii="Calibri" w:eastAsia="Calibri" w:hAnsi="Calibri"/>
          <w:b/>
          <w:bCs/>
          <w:sz w:val="22"/>
          <w:szCs w:val="22"/>
          <w:lang w:eastAsia="en-US"/>
        </w:rPr>
        <w:t>2.1 VI. jednání SVVNJZ v</w:t>
      </w:r>
      <w:r w:rsidR="000A060F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bCs/>
          <w:sz w:val="22"/>
          <w:szCs w:val="22"/>
          <w:lang w:eastAsia="en-US"/>
        </w:rPr>
        <w:t>září 2022 aktualizovalo dlouhodobou náplň činnosti pracovní skupiny k</w:t>
      </w:r>
      <w:r w:rsidR="000A060F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bCs/>
          <w:sz w:val="22"/>
          <w:szCs w:val="22"/>
          <w:lang w:eastAsia="en-US"/>
        </w:rPr>
        <w:t>níž patří zejména následující:</w:t>
      </w:r>
    </w:p>
    <w:p w14:paraId="38D231A3" w14:textId="798DB88F" w:rsidR="004827DE" w:rsidRPr="004827DE" w:rsidRDefault="004827DE" w:rsidP="00473EA8">
      <w:pPr>
        <w:numPr>
          <w:ilvl w:val="0"/>
          <w:numId w:val="36"/>
        </w:numPr>
        <w:spacing w:before="160" w:line="293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Zajištění přepravních tras NTK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projednání přílohy PPA týkající se dopravní infrastruktury.</w:t>
      </w:r>
    </w:p>
    <w:p w14:paraId="72C71AA5" w14:textId="13A55D66" w:rsidR="004827DE" w:rsidRPr="004827DE" w:rsidRDefault="004827DE" w:rsidP="00473EA8">
      <w:pPr>
        <w:numPr>
          <w:ilvl w:val="0"/>
          <w:numId w:val="36"/>
        </w:numPr>
        <w:spacing w:before="160" w:line="293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Zajištění opatření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připojení NJZ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přenosové soustavě</w:t>
      </w:r>
    </w:p>
    <w:p w14:paraId="5B562360" w14:textId="01C55D7D" w:rsidR="004827DE" w:rsidRPr="004827DE" w:rsidRDefault="004827DE" w:rsidP="00473EA8">
      <w:pPr>
        <w:numPr>
          <w:ilvl w:val="0"/>
          <w:numId w:val="36"/>
        </w:numPr>
        <w:spacing w:before="160" w:line="293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Harmonogram projektu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projednání návrhu harmonogramu po r. 2024.</w:t>
      </w:r>
    </w:p>
    <w:p w14:paraId="12980866" w14:textId="19BB519A" w:rsidR="004827DE" w:rsidRDefault="004827DE" w:rsidP="00473EA8">
      <w:pPr>
        <w:numPr>
          <w:ilvl w:val="0"/>
          <w:numId w:val="36"/>
        </w:numPr>
        <w:spacing w:before="160" w:line="293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Harmonogram technické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investiční aspekty přípravy dalších </w:t>
      </w:r>
      <w:proofErr w:type="spellStart"/>
      <w:r w:rsidRPr="004827DE">
        <w:rPr>
          <w:rFonts w:ascii="Calibri" w:eastAsia="Calibri" w:hAnsi="Calibri"/>
          <w:sz w:val="22"/>
          <w:szCs w:val="22"/>
          <w:lang w:eastAsia="en-US"/>
        </w:rPr>
        <w:t>NJZ</w:t>
      </w:r>
      <w:proofErr w:type="spellEnd"/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včetně </w:t>
      </w:r>
      <w:proofErr w:type="spellStart"/>
      <w:r w:rsidRPr="004827DE">
        <w:rPr>
          <w:rFonts w:ascii="Calibri" w:eastAsia="Calibri" w:hAnsi="Calibri"/>
          <w:sz w:val="22"/>
          <w:szCs w:val="22"/>
          <w:lang w:eastAsia="en-US"/>
        </w:rPr>
        <w:t>SMRs</w:t>
      </w:r>
      <w:proofErr w:type="spellEnd"/>
      <w:r w:rsidRPr="004827D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6FF04DE" w14:textId="37B02476" w:rsidR="004827DE" w:rsidRPr="004827DE" w:rsidRDefault="004827DE" w:rsidP="00FE7C92">
      <w:pPr>
        <w:ind w:left="1077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4827DE">
        <w:rPr>
          <w:rFonts w:ascii="Calibri" w:eastAsia="Calibri" w:hAnsi="Calibri"/>
          <w:i/>
          <w:sz w:val="20"/>
          <w:szCs w:val="20"/>
          <w:lang w:eastAsia="en-US"/>
        </w:rPr>
        <w:t xml:space="preserve">Pozn.: </w:t>
      </w:r>
      <w:proofErr w:type="gramStart"/>
      <w:r w:rsidRPr="004827DE">
        <w:rPr>
          <w:rFonts w:ascii="Calibri" w:eastAsia="Calibri" w:hAnsi="Calibri"/>
          <w:i/>
          <w:sz w:val="20"/>
          <w:szCs w:val="20"/>
          <w:lang w:eastAsia="en-US"/>
        </w:rPr>
        <w:t>NTK - nadrozměrné</w:t>
      </w:r>
      <w:proofErr w:type="gramEnd"/>
      <w:r w:rsidRPr="004827DE">
        <w:rPr>
          <w:rFonts w:ascii="Calibri" w:eastAsia="Calibri" w:hAnsi="Calibri"/>
          <w:i/>
          <w:sz w:val="20"/>
          <w:szCs w:val="20"/>
          <w:lang w:eastAsia="en-US"/>
        </w:rPr>
        <w:t xml:space="preserve"> a</w:t>
      </w:r>
      <w:r w:rsidR="000A060F">
        <w:rPr>
          <w:rFonts w:ascii="Calibri" w:eastAsia="Calibri" w:hAnsi="Calibri"/>
          <w:i/>
          <w:sz w:val="20"/>
          <w:szCs w:val="20"/>
          <w:lang w:eastAsia="en-US"/>
        </w:rPr>
        <w:t> </w:t>
      </w:r>
      <w:r w:rsidRPr="004827DE">
        <w:rPr>
          <w:rFonts w:ascii="Calibri" w:eastAsia="Calibri" w:hAnsi="Calibri"/>
          <w:i/>
          <w:sz w:val="20"/>
          <w:szCs w:val="20"/>
          <w:lang w:eastAsia="en-US"/>
        </w:rPr>
        <w:t>těžké komponenty</w:t>
      </w:r>
    </w:p>
    <w:p w14:paraId="6B4966C9" w14:textId="3A30356A" w:rsidR="004827DE" w:rsidRDefault="004827DE" w:rsidP="00FE7C92">
      <w:pPr>
        <w:ind w:left="1077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4827DE">
        <w:rPr>
          <w:rFonts w:ascii="Calibri" w:eastAsia="Calibri" w:hAnsi="Calibri"/>
          <w:i/>
          <w:sz w:val="20"/>
          <w:szCs w:val="20"/>
          <w:lang w:eastAsia="en-US"/>
        </w:rPr>
        <w:t xml:space="preserve">            PPA – smlouva o</w:t>
      </w:r>
      <w:r w:rsidR="000A060F">
        <w:rPr>
          <w:rFonts w:ascii="Calibri" w:eastAsia="Calibri" w:hAnsi="Calibri"/>
          <w:i/>
          <w:sz w:val="20"/>
          <w:szCs w:val="20"/>
          <w:lang w:eastAsia="en-US"/>
        </w:rPr>
        <w:t> </w:t>
      </w:r>
      <w:r w:rsidRPr="004827DE">
        <w:rPr>
          <w:rFonts w:ascii="Calibri" w:eastAsia="Calibri" w:hAnsi="Calibri"/>
          <w:i/>
          <w:sz w:val="20"/>
          <w:szCs w:val="20"/>
          <w:lang w:eastAsia="en-US"/>
        </w:rPr>
        <w:t>výkupu z</w:t>
      </w:r>
      <w:r w:rsidR="000A060F">
        <w:rPr>
          <w:rFonts w:ascii="Calibri" w:eastAsia="Calibri" w:hAnsi="Calibri"/>
          <w:i/>
          <w:sz w:val="20"/>
          <w:szCs w:val="20"/>
          <w:lang w:eastAsia="en-US"/>
        </w:rPr>
        <w:t> </w:t>
      </w:r>
      <w:r w:rsidRPr="004827DE">
        <w:rPr>
          <w:rFonts w:ascii="Calibri" w:eastAsia="Calibri" w:hAnsi="Calibri"/>
          <w:i/>
          <w:sz w:val="20"/>
          <w:szCs w:val="20"/>
          <w:lang w:eastAsia="en-US"/>
        </w:rPr>
        <w:t>elektřiny z</w:t>
      </w:r>
      <w:r w:rsidR="002E1218">
        <w:rPr>
          <w:rFonts w:ascii="Calibri" w:eastAsia="Calibri" w:hAnsi="Calibri"/>
          <w:i/>
          <w:sz w:val="20"/>
          <w:szCs w:val="20"/>
          <w:lang w:eastAsia="en-US"/>
        </w:rPr>
        <w:t> </w:t>
      </w:r>
      <w:r w:rsidRPr="004827DE">
        <w:rPr>
          <w:rFonts w:ascii="Calibri" w:eastAsia="Calibri" w:hAnsi="Calibri"/>
          <w:i/>
          <w:sz w:val="20"/>
          <w:szCs w:val="20"/>
          <w:lang w:eastAsia="en-US"/>
        </w:rPr>
        <w:t>NJZ</w:t>
      </w:r>
    </w:p>
    <w:p w14:paraId="548A86EA" w14:textId="667E030A" w:rsidR="002E1218" w:rsidRDefault="002E1218" w:rsidP="00FE7C92">
      <w:pPr>
        <w:ind w:left="1077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</w:p>
    <w:p w14:paraId="0B47872E" w14:textId="52199C71" w:rsidR="002E1218" w:rsidRDefault="002E1218" w:rsidP="00FE7C92">
      <w:pPr>
        <w:ind w:left="1077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</w:p>
    <w:p w14:paraId="6A842C61" w14:textId="77777777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4827DE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>VI. Jednání SVVNJZ zároveň uložilo pracovní skupině plnění nového úkolu ve znění:</w:t>
      </w:r>
    </w:p>
    <w:p w14:paraId="6BA76E36" w14:textId="26DE1278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„SVVNJZ bere na vědomí informaci o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přípravě dalších NJZ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ukládá pracovní skupině pro strategii financování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pracovní skupině </w:t>
      </w:r>
      <w:proofErr w:type="spellStart"/>
      <w:r w:rsidRPr="004827DE">
        <w:rPr>
          <w:rFonts w:ascii="Calibri" w:eastAsia="Calibri" w:hAnsi="Calibri"/>
          <w:sz w:val="22"/>
          <w:szCs w:val="22"/>
          <w:lang w:eastAsia="en-US"/>
        </w:rPr>
        <w:t>technicko</w:t>
      </w:r>
      <w:r w:rsidR="0054732D">
        <w:rPr>
          <w:rFonts w:ascii="Calibri" w:eastAsia="Calibri" w:hAnsi="Calibri"/>
          <w:sz w:val="22"/>
          <w:szCs w:val="22"/>
          <w:lang w:eastAsia="en-US"/>
        </w:rPr>
        <w:t>-</w:t>
      </w:r>
      <w:r w:rsidRPr="004827DE">
        <w:rPr>
          <w:rFonts w:ascii="Calibri" w:eastAsia="Calibri" w:hAnsi="Calibri"/>
          <w:sz w:val="22"/>
          <w:szCs w:val="22"/>
          <w:lang w:eastAsia="en-US"/>
        </w:rPr>
        <w:t>investiční</w:t>
      </w:r>
      <w:proofErr w:type="spellEnd"/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předložit obecně-technický podkladový materiál pro rozhodnutí o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dalších blocích ve stávajících jaderných lokalitách Temelín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Dukovany do konce roku 2022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do konce března 2023 předložit finální verzi materiálu doplněnou o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informace z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úvodních nabídek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notifikace veřejné podpory. Přípravu materiálu bude koordinovat MPO.“</w:t>
      </w:r>
      <w:r w:rsidR="0054732D">
        <w:rPr>
          <w:rFonts w:ascii="Calibri" w:eastAsia="Calibri" w:hAnsi="Calibri"/>
          <w:sz w:val="22"/>
          <w:szCs w:val="22"/>
          <w:lang w:eastAsia="en-US"/>
        </w:rPr>
        <w:t>.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13BF9D1" w14:textId="77777777" w:rsidR="004827DE" w:rsidRPr="004827DE" w:rsidRDefault="004827DE" w:rsidP="00156495">
      <w:pPr>
        <w:keepNext/>
        <w:spacing w:before="160" w:line="293" w:lineRule="auto"/>
        <w:ind w:left="426"/>
        <w:outlineLvl w:val="0"/>
        <w:rPr>
          <w:rFonts w:ascii="Calibri" w:hAnsi="Calibri"/>
          <w:b/>
          <w:bCs/>
          <w:kern w:val="32"/>
          <w:sz w:val="22"/>
          <w:szCs w:val="22"/>
          <w:lang w:eastAsia="en-US"/>
        </w:rPr>
      </w:pP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2.1 Dlouhodobé úkoly pracovní skupiny</w:t>
      </w:r>
    </w:p>
    <w:p w14:paraId="44EB857E" w14:textId="692B7554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Pracovní skupina </w:t>
      </w:r>
      <w:proofErr w:type="spellStart"/>
      <w:r w:rsidRPr="004827DE">
        <w:rPr>
          <w:rFonts w:ascii="Calibri" w:eastAsia="Calibri" w:hAnsi="Calibri"/>
          <w:sz w:val="22"/>
          <w:szCs w:val="22"/>
          <w:lang w:eastAsia="en-US"/>
        </w:rPr>
        <w:t>technicko</w:t>
      </w:r>
      <w:r w:rsidR="0054732D">
        <w:rPr>
          <w:rFonts w:ascii="Calibri" w:eastAsia="Calibri" w:hAnsi="Calibri"/>
          <w:sz w:val="22"/>
          <w:szCs w:val="22"/>
          <w:lang w:eastAsia="en-US"/>
        </w:rPr>
        <w:t>-</w:t>
      </w:r>
      <w:r w:rsidRPr="004827DE">
        <w:rPr>
          <w:rFonts w:ascii="Calibri" w:eastAsia="Calibri" w:hAnsi="Calibri"/>
          <w:sz w:val="22"/>
          <w:szCs w:val="22"/>
          <w:lang w:eastAsia="en-US"/>
        </w:rPr>
        <w:t>investiční</w:t>
      </w:r>
      <w:proofErr w:type="spellEnd"/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pokračovala ve své činnosti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průběhu roku 2022 na dlouhodobých úkolech i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na dalších úkolech zadaných zejména na jednáních Stálého výboru. Během roku 2022 proběhlo celkem 11 jednání pracovní skupiny. Jednán</w:t>
      </w:r>
      <w:r w:rsidR="005B4160">
        <w:rPr>
          <w:rFonts w:ascii="Calibri" w:eastAsia="Calibri" w:hAnsi="Calibri"/>
          <w:sz w:val="22"/>
          <w:szCs w:val="22"/>
          <w:lang w:eastAsia="en-US"/>
        </w:rPr>
        <w:t>í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probíhala kombinovanou formou </w:t>
      </w:r>
      <w:r w:rsidR="005B4160">
        <w:rPr>
          <w:rFonts w:ascii="Calibri" w:eastAsia="Calibri" w:hAnsi="Calibri"/>
          <w:sz w:val="22"/>
          <w:szCs w:val="22"/>
          <w:lang w:eastAsia="en-US"/>
        </w:rPr>
        <w:t xml:space="preserve">prezenčního </w:t>
      </w:r>
      <w:r w:rsidR="00883D1F">
        <w:rPr>
          <w:rFonts w:ascii="Calibri" w:eastAsia="Calibri" w:hAnsi="Calibri"/>
          <w:sz w:val="22"/>
          <w:szCs w:val="22"/>
          <w:lang w:eastAsia="en-US"/>
        </w:rPr>
        <w:t xml:space="preserve">jednání </w:t>
      </w:r>
      <w:r w:rsidR="005B4160">
        <w:rPr>
          <w:rFonts w:ascii="Calibri" w:eastAsia="Calibri" w:hAnsi="Calibri"/>
          <w:sz w:val="22"/>
          <w:szCs w:val="22"/>
          <w:lang w:eastAsia="en-US"/>
        </w:rPr>
        <w:t>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="00883D1F">
        <w:rPr>
          <w:rFonts w:ascii="Calibri" w:eastAsia="Calibri" w:hAnsi="Calibri"/>
          <w:sz w:val="22"/>
          <w:szCs w:val="22"/>
          <w:lang w:eastAsia="en-US"/>
        </w:rPr>
        <w:t xml:space="preserve">možností </w:t>
      </w:r>
      <w:r w:rsidR="005B4160">
        <w:rPr>
          <w:rFonts w:ascii="Calibri" w:eastAsia="Calibri" w:hAnsi="Calibri"/>
          <w:sz w:val="22"/>
          <w:szCs w:val="22"/>
          <w:lang w:eastAsia="en-US"/>
        </w:rPr>
        <w:t xml:space="preserve">dálkového </w:t>
      </w:r>
      <w:r w:rsidR="00883D1F">
        <w:rPr>
          <w:rFonts w:ascii="Calibri" w:eastAsia="Calibri" w:hAnsi="Calibri"/>
          <w:sz w:val="22"/>
          <w:szCs w:val="22"/>
          <w:lang w:eastAsia="en-US"/>
        </w:rPr>
        <w:t>on-line připojení</w:t>
      </w:r>
      <w:r w:rsidRPr="004827DE">
        <w:rPr>
          <w:rFonts w:ascii="Calibri" w:eastAsia="Calibri" w:hAnsi="Calibri"/>
          <w:sz w:val="22"/>
          <w:szCs w:val="22"/>
          <w:lang w:eastAsia="en-US"/>
        </w:rPr>
        <w:t>. Náplní jednání pracovní skupiny byla standardně kontrola postupu plnění jednotlivých úkolů, projednání dalšího postupu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potřebná koordinace součinnosti jednotlivých subjektů (MPO, MD, ČEPS, ČEZ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proofErr w:type="spellStart"/>
      <w:r w:rsidRPr="004827DE">
        <w:rPr>
          <w:rFonts w:ascii="Calibri" w:eastAsia="Calibri" w:hAnsi="Calibri"/>
          <w:sz w:val="22"/>
          <w:szCs w:val="22"/>
          <w:lang w:eastAsia="en-US"/>
        </w:rPr>
        <w:t>SÚJB</w:t>
      </w:r>
      <w:proofErr w:type="spellEnd"/>
      <w:r w:rsidRPr="004827DE">
        <w:rPr>
          <w:rFonts w:ascii="Calibri" w:eastAsia="Calibri" w:hAnsi="Calibri"/>
          <w:sz w:val="22"/>
          <w:szCs w:val="22"/>
          <w:lang w:eastAsia="en-US"/>
        </w:rPr>
        <w:t>)</w:t>
      </w:r>
      <w:r w:rsidR="0054732D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4827DE">
        <w:rPr>
          <w:rFonts w:ascii="Calibri" w:eastAsia="Calibri" w:hAnsi="Calibri"/>
          <w:sz w:val="22"/>
          <w:szCs w:val="22"/>
          <w:lang w:eastAsia="en-US"/>
        </w:rPr>
        <w:t>jejichž zástupci byli nominováni do pracovní skupiny.</w:t>
      </w:r>
    </w:p>
    <w:p w14:paraId="1A6CFFF4" w14:textId="77777777" w:rsidR="004827DE" w:rsidRPr="004827DE" w:rsidRDefault="004827DE" w:rsidP="00156495">
      <w:pPr>
        <w:spacing w:before="160" w:line="293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Pracovní skupina řešila následující dlouhodobé úkoly:</w:t>
      </w:r>
    </w:p>
    <w:p w14:paraId="456A759F" w14:textId="2F9BC009" w:rsidR="004827DE" w:rsidRPr="004827DE" w:rsidRDefault="004827DE" w:rsidP="00156495">
      <w:pPr>
        <w:spacing w:before="160" w:line="293" w:lineRule="auto"/>
        <w:ind w:left="426"/>
        <w:rPr>
          <w:rFonts w:ascii="Calibri" w:eastAsia="Calibri" w:hAnsi="Calibri"/>
          <w:b/>
          <w:sz w:val="22"/>
          <w:szCs w:val="22"/>
          <w:lang w:eastAsia="en-US"/>
        </w:rPr>
      </w:pPr>
      <w:r w:rsidRPr="004827DE">
        <w:rPr>
          <w:rFonts w:ascii="Calibri" w:eastAsia="Calibri" w:hAnsi="Calibri"/>
          <w:b/>
          <w:sz w:val="22"/>
          <w:szCs w:val="22"/>
          <w:lang w:eastAsia="en-US"/>
        </w:rPr>
        <w:t>Celkový harmonogram přípravy a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realizace výstavby NJZ</w:t>
      </w:r>
    </w:p>
    <w:p w14:paraId="202F3067" w14:textId="09F971B5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Celkový harmonogram přípravy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realizace výstavby byl průběžně doplňován, aktualizován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vyhodnocován. Dle potřeby byly generovány dílčí harmonogramy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další podklady.</w:t>
      </w:r>
    </w:p>
    <w:p w14:paraId="0DC7C32B" w14:textId="19E4AC33" w:rsidR="004827DE" w:rsidRPr="004827DE" w:rsidRDefault="004827DE" w:rsidP="00156495">
      <w:pPr>
        <w:spacing w:before="160" w:line="293" w:lineRule="auto"/>
        <w:ind w:left="426"/>
        <w:rPr>
          <w:rFonts w:ascii="Calibri" w:eastAsia="Calibri" w:hAnsi="Calibri"/>
          <w:b/>
          <w:sz w:val="22"/>
          <w:szCs w:val="22"/>
          <w:lang w:eastAsia="en-US"/>
        </w:rPr>
      </w:pPr>
      <w:r w:rsidRPr="004827DE">
        <w:rPr>
          <w:rFonts w:ascii="Calibri" w:eastAsia="Calibri" w:hAnsi="Calibri"/>
          <w:b/>
          <w:sz w:val="22"/>
          <w:szCs w:val="22"/>
          <w:lang w:eastAsia="en-US"/>
        </w:rPr>
        <w:t>Opatření pro vyvedení výkonu z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NJZ EDU a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ETE</w:t>
      </w:r>
    </w:p>
    <w:p w14:paraId="4396F979" w14:textId="43410EBA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Pracovní skupina se celoročně zabývala koordinací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sledováním přípravy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realizace opatření pro</w:t>
      </w:r>
      <w:r w:rsidR="0054732D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vyvedení výkonu z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proofErr w:type="spellStart"/>
      <w:r w:rsidRPr="004827DE">
        <w:rPr>
          <w:rFonts w:ascii="Calibri" w:eastAsia="Calibri" w:hAnsi="Calibri"/>
          <w:sz w:val="22"/>
          <w:szCs w:val="22"/>
          <w:lang w:eastAsia="en-US"/>
        </w:rPr>
        <w:t>NJZ</w:t>
      </w:r>
      <w:proofErr w:type="spellEnd"/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EDU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proofErr w:type="spellStart"/>
      <w:r w:rsidRPr="004827DE">
        <w:rPr>
          <w:rFonts w:ascii="Calibri" w:eastAsia="Calibri" w:hAnsi="Calibri"/>
          <w:sz w:val="22"/>
          <w:szCs w:val="22"/>
          <w:lang w:eastAsia="en-US"/>
        </w:rPr>
        <w:t>ETE</w:t>
      </w:r>
      <w:proofErr w:type="spellEnd"/>
      <w:r w:rsidRPr="004827DE">
        <w:rPr>
          <w:rFonts w:ascii="Calibri" w:eastAsia="Calibri" w:hAnsi="Calibri"/>
          <w:sz w:val="22"/>
          <w:szCs w:val="22"/>
          <w:lang w:eastAsia="en-US"/>
        </w:rPr>
        <w:t>. Hlavní opatření jsou doplněna do celkového harmonogramu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pravidelně vyhodnocován postup jejich přípravy.</w:t>
      </w:r>
    </w:p>
    <w:p w14:paraId="5F857754" w14:textId="6100CA17" w:rsidR="004827DE" w:rsidRPr="004827DE" w:rsidRDefault="004827DE" w:rsidP="00156495">
      <w:pPr>
        <w:spacing w:before="160" w:line="293" w:lineRule="auto"/>
        <w:ind w:left="426"/>
        <w:rPr>
          <w:rFonts w:ascii="Calibri" w:eastAsia="Calibri" w:hAnsi="Calibri"/>
          <w:b/>
          <w:sz w:val="22"/>
          <w:szCs w:val="22"/>
          <w:lang w:eastAsia="en-US"/>
        </w:rPr>
      </w:pPr>
      <w:r w:rsidRPr="004827DE">
        <w:rPr>
          <w:rFonts w:ascii="Calibri" w:eastAsia="Calibri" w:hAnsi="Calibri"/>
          <w:b/>
          <w:sz w:val="22"/>
          <w:szCs w:val="22"/>
          <w:lang w:eastAsia="en-US"/>
        </w:rPr>
        <w:t>Zajištění transportních tras pro dopravu těžkých a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nadrozměrných komponent:</w:t>
      </w:r>
    </w:p>
    <w:p w14:paraId="2D55EFB9" w14:textId="31DECF09" w:rsidR="0036788A" w:rsidRPr="00802B55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V návaznosti na usnesení vlády ČR č. 739 ze dne 23. října 2017 byly na úrovni pracovní skupiny sledovány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koordinovány činnosti přípravy opatření na vodních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silničních trasách. Ve spolupráci s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vlastníky dopravní infrastruktury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investory (kraje Vysočina, Jihočeský, Středočeský, Pardubický, ŘSD, ŘVC, Povodí Labe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Vltavy) byla koordinována veřejnoprávní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majetkoprávní příprava jednotlivých opatření, trvale je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rámci technické skupiny sledován průběh prací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na</w:t>
      </w:r>
      <w:r w:rsidR="0054732D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pracovní úrovni řešeny vzniklé problémy. </w:t>
      </w:r>
    </w:p>
    <w:p w14:paraId="1D488E6D" w14:textId="00342554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827DE">
        <w:rPr>
          <w:rFonts w:ascii="Calibri" w:eastAsia="Calibri" w:hAnsi="Calibri"/>
          <w:b/>
          <w:sz w:val="22"/>
          <w:szCs w:val="22"/>
          <w:lang w:eastAsia="en-US"/>
        </w:rPr>
        <w:t>Podmínky a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doporučení pro realizaci NJZ v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lokalitách ETE a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EDU – vývoj v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oblasti malých modulárních reaktorů</w:t>
      </w:r>
    </w:p>
    <w:p w14:paraId="038CB149" w14:textId="21DCD9DD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V roce 2022 pokračoval ze strany státu důraz na malé modulární reaktory, které jsou prezentovány jako možný nástupce nebo i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alternativa současné generace velkých bloků. Činnost byla orientována na získání technických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ekonomických informací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podkladů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jednotlivým projektům s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cílem posoudit, zda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kdy by mohly být tyto reaktory </w:t>
      </w:r>
      <w:r w:rsidR="0054732D">
        <w:rPr>
          <w:rFonts w:ascii="Calibri" w:eastAsia="Calibri" w:hAnsi="Calibri"/>
          <w:sz w:val="22"/>
          <w:szCs w:val="22"/>
          <w:lang w:eastAsia="en-US"/>
        </w:rPr>
        <w:t xml:space="preserve">zavedeny </w:t>
      </w:r>
      <w:r w:rsidRPr="004827DE">
        <w:rPr>
          <w:rFonts w:ascii="Calibri" w:eastAsia="Calibri" w:hAnsi="Calibri"/>
          <w:sz w:val="22"/>
          <w:szCs w:val="22"/>
          <w:lang w:eastAsia="en-US"/>
        </w:rPr>
        <w:t>ve světě i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u nás do</w:t>
      </w:r>
      <w:r w:rsidR="0054732D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provozu</w:t>
      </w:r>
      <w:r w:rsidR="0054732D">
        <w:rPr>
          <w:rFonts w:ascii="Calibri" w:eastAsia="Calibri" w:hAnsi="Calibri"/>
          <w:sz w:val="22"/>
          <w:szCs w:val="22"/>
          <w:lang w:eastAsia="en-US"/>
        </w:rPr>
        <w:t>,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včetně vyhodnocení, zda mohou SMR plnit očekávání, která jsou do nich vkládána. </w:t>
      </w:r>
      <w:r w:rsidRPr="004827DE">
        <w:rPr>
          <w:rFonts w:ascii="Calibri" w:eastAsia="Calibri" w:hAnsi="Calibri"/>
          <w:sz w:val="22"/>
          <w:szCs w:val="22"/>
          <w:lang w:eastAsia="en-US"/>
        </w:rPr>
        <w:lastRenderedPageBreak/>
        <w:t>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závěru roku 2021 bylo rozhodnuto o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ustavení dílčí expertní skupiny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řešení problematiky SMR, která se problematikou SMR prioritně zabývá. </w:t>
      </w:r>
    </w:p>
    <w:p w14:paraId="4779EE26" w14:textId="506B43C3" w:rsidR="004827DE" w:rsidRPr="004827DE" w:rsidRDefault="004827DE" w:rsidP="00156495">
      <w:pPr>
        <w:keepNext/>
        <w:spacing w:before="160" w:line="293" w:lineRule="auto"/>
        <w:ind w:left="426"/>
        <w:outlineLvl w:val="0"/>
        <w:rPr>
          <w:rFonts w:ascii="Calibri" w:hAnsi="Calibri"/>
          <w:b/>
          <w:bCs/>
          <w:kern w:val="32"/>
          <w:sz w:val="22"/>
          <w:szCs w:val="22"/>
          <w:lang w:eastAsia="en-US"/>
        </w:rPr>
      </w:pP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2.2 Úkoly uložené pracovní skupině v</w:t>
      </w:r>
      <w:r w:rsidR="000A060F">
        <w:rPr>
          <w:rFonts w:ascii="Calibri" w:hAnsi="Calibri"/>
          <w:b/>
          <w:bCs/>
          <w:kern w:val="32"/>
          <w:sz w:val="22"/>
          <w:szCs w:val="22"/>
          <w:lang w:eastAsia="en-US"/>
        </w:rPr>
        <w:t> </w:t>
      </w: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průběhu roku 2022</w:t>
      </w:r>
    </w:p>
    <w:p w14:paraId="2BB1FD39" w14:textId="46A74D10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V průběhu roku 2022 řešila pracovní skupina další úkoly, které byly uloženy buď přímo vládou, Stálým výborem nebo vzešly z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podnětu členů Stálého výboru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pracovních skupin. U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úkolů uložených vládou více resortům pracovní skupina zajišťovala koordinaci při jejich plnění. Jak již bylo výše uvedeno pracovní skupina </w:t>
      </w:r>
      <w:proofErr w:type="gramStart"/>
      <w:r w:rsidRPr="004827DE">
        <w:rPr>
          <w:rFonts w:ascii="Calibri" w:eastAsia="Calibri" w:hAnsi="Calibri"/>
          <w:sz w:val="22"/>
          <w:szCs w:val="22"/>
          <w:lang w:eastAsia="en-US"/>
        </w:rPr>
        <w:t>technicko</w:t>
      </w:r>
      <w:r w:rsidR="0054732D">
        <w:rPr>
          <w:rFonts w:ascii="Calibri" w:eastAsia="Calibri" w:hAnsi="Calibri"/>
          <w:sz w:val="22"/>
          <w:szCs w:val="22"/>
          <w:lang w:eastAsia="en-US"/>
        </w:rPr>
        <w:t>-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investiční</w:t>
      </w:r>
      <w:proofErr w:type="gramEnd"/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spolupracovala na přípravě podkladového materiálu pro rozhodnutí o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výstavbě dalších bloků ve stávajících jaderných lokalitách Temelín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Dukovany.</w:t>
      </w:r>
    </w:p>
    <w:p w14:paraId="664C503E" w14:textId="3E1F4270" w:rsidR="004827DE" w:rsidRPr="004827DE" w:rsidRDefault="004827DE" w:rsidP="00156495">
      <w:pPr>
        <w:keepNext/>
        <w:spacing w:before="160" w:line="293" w:lineRule="auto"/>
        <w:ind w:left="426" w:hanging="432"/>
        <w:outlineLvl w:val="0"/>
        <w:rPr>
          <w:rFonts w:ascii="Calibri" w:hAnsi="Calibri"/>
          <w:b/>
          <w:bCs/>
          <w:kern w:val="32"/>
          <w:sz w:val="22"/>
          <w:szCs w:val="22"/>
          <w:lang w:eastAsia="en-US"/>
        </w:rPr>
      </w:pP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3. Výsledky řešení vybraných úkolů pracovní skupinou v</w:t>
      </w:r>
      <w:r w:rsidR="000A060F">
        <w:rPr>
          <w:rFonts w:ascii="Calibri" w:hAnsi="Calibri"/>
          <w:b/>
          <w:bCs/>
          <w:kern w:val="32"/>
          <w:sz w:val="22"/>
          <w:szCs w:val="22"/>
          <w:lang w:eastAsia="en-US"/>
        </w:rPr>
        <w:t> </w:t>
      </w: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roce 2022</w:t>
      </w:r>
    </w:p>
    <w:p w14:paraId="18AF40E1" w14:textId="135B2ED0" w:rsidR="004827DE" w:rsidRPr="004827DE" w:rsidRDefault="004827DE" w:rsidP="00156495">
      <w:pPr>
        <w:keepNext/>
        <w:spacing w:before="160" w:line="293" w:lineRule="auto"/>
        <w:ind w:left="426"/>
        <w:outlineLvl w:val="0"/>
        <w:rPr>
          <w:rFonts w:ascii="Calibri" w:hAnsi="Calibri"/>
          <w:b/>
          <w:bCs/>
          <w:kern w:val="32"/>
          <w:sz w:val="22"/>
          <w:szCs w:val="22"/>
          <w:lang w:eastAsia="en-US"/>
        </w:rPr>
      </w:pP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 xml:space="preserve">3.1 </w:t>
      </w:r>
      <w:bookmarkStart w:id="8" w:name="_Toc504571078"/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Doprava nadrozměrných a</w:t>
      </w:r>
      <w:r w:rsidR="000A060F">
        <w:rPr>
          <w:rFonts w:ascii="Calibri" w:hAnsi="Calibri"/>
          <w:b/>
          <w:bCs/>
          <w:kern w:val="32"/>
          <w:sz w:val="22"/>
          <w:szCs w:val="22"/>
          <w:lang w:eastAsia="en-US"/>
        </w:rPr>
        <w:t> </w:t>
      </w: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těžkých komponent (NTK) pro výstavbu NJZ EDU a</w:t>
      </w:r>
      <w:r w:rsidR="000A060F">
        <w:rPr>
          <w:rFonts w:ascii="Calibri" w:hAnsi="Calibri"/>
          <w:b/>
          <w:bCs/>
          <w:kern w:val="32"/>
          <w:sz w:val="22"/>
          <w:szCs w:val="22"/>
          <w:lang w:eastAsia="en-US"/>
        </w:rPr>
        <w:t> </w:t>
      </w: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NJZ ETE</w:t>
      </w:r>
      <w:bookmarkEnd w:id="8"/>
    </w:p>
    <w:p w14:paraId="1658AFDD" w14:textId="309EBFA3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827DE">
        <w:rPr>
          <w:rFonts w:ascii="Calibri" w:eastAsia="Calibri" w:hAnsi="Calibri" w:cs="Arial"/>
          <w:sz w:val="22"/>
          <w:szCs w:val="22"/>
          <w:lang w:eastAsia="en-US"/>
        </w:rPr>
        <w:t>Činnosti na zajištění tras pro dopravu těžkých a</w:t>
      </w:r>
      <w:r w:rsidR="000A060F">
        <w:rPr>
          <w:rFonts w:ascii="Calibri" w:eastAsia="Calibri" w:hAnsi="Calibri" w:cs="Arial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 w:cs="Arial"/>
          <w:sz w:val="22"/>
          <w:szCs w:val="22"/>
          <w:lang w:eastAsia="en-US"/>
        </w:rPr>
        <w:t xml:space="preserve">nadrozměrných komponent probíhají na základě usnesení vlády </w:t>
      </w:r>
      <w:r w:rsidR="00314219" w:rsidRPr="004827DE">
        <w:rPr>
          <w:rFonts w:ascii="Calibri" w:eastAsia="Calibri" w:hAnsi="Calibri" w:cs="Arial"/>
          <w:sz w:val="22"/>
          <w:szCs w:val="22"/>
          <w:lang w:eastAsia="en-US"/>
        </w:rPr>
        <w:t>ze dne 23.</w:t>
      </w:r>
      <w:r w:rsidR="00314219">
        <w:rPr>
          <w:rFonts w:ascii="Calibri" w:eastAsia="Calibri" w:hAnsi="Calibri" w:cs="Arial"/>
          <w:sz w:val="22"/>
          <w:szCs w:val="22"/>
          <w:lang w:eastAsia="en-US"/>
        </w:rPr>
        <w:t xml:space="preserve"> října </w:t>
      </w:r>
      <w:r w:rsidR="00314219" w:rsidRPr="004827DE">
        <w:rPr>
          <w:rFonts w:ascii="Calibri" w:eastAsia="Calibri" w:hAnsi="Calibri" w:cs="Arial"/>
          <w:sz w:val="22"/>
          <w:szCs w:val="22"/>
          <w:lang w:eastAsia="en-US"/>
        </w:rPr>
        <w:t>2017</w:t>
      </w:r>
      <w:r w:rsidR="00314219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4827DE">
        <w:rPr>
          <w:rFonts w:ascii="Calibri" w:eastAsia="Calibri" w:hAnsi="Calibri" w:cs="Arial"/>
          <w:sz w:val="22"/>
          <w:szCs w:val="22"/>
          <w:lang w:eastAsia="en-US"/>
        </w:rPr>
        <w:t>č. 739. Tímto usnesením uložila vláda prostřednictvím ministrů dopravy a</w:t>
      </w:r>
      <w:r w:rsidR="000A060F">
        <w:rPr>
          <w:rFonts w:ascii="Calibri" w:eastAsia="Calibri" w:hAnsi="Calibri" w:cs="Arial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 w:cs="Arial"/>
          <w:sz w:val="22"/>
          <w:szCs w:val="22"/>
          <w:lang w:eastAsia="en-US"/>
        </w:rPr>
        <w:t>zemědělství správcům státem vlastněných částí dopravní infrastruktury, aby zajistili:</w:t>
      </w:r>
    </w:p>
    <w:p w14:paraId="635F66A2" w14:textId="319BC9FF" w:rsidR="004827DE" w:rsidRPr="004827DE" w:rsidRDefault="004827DE" w:rsidP="00473EA8">
      <w:pPr>
        <w:numPr>
          <w:ilvl w:val="0"/>
          <w:numId w:val="36"/>
        </w:numPr>
        <w:spacing w:before="160" w:line="293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přípravu opatření obsažených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materiálu čj. 1050/17,</w:t>
      </w:r>
    </w:p>
    <w:p w14:paraId="5DF13B47" w14:textId="457C8E90" w:rsidR="004827DE" w:rsidRPr="004827DE" w:rsidRDefault="004827DE" w:rsidP="00473EA8">
      <w:pPr>
        <w:numPr>
          <w:ilvl w:val="0"/>
          <w:numId w:val="36"/>
        </w:numPr>
        <w:spacing w:before="160" w:line="293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že parametry identifikovaných tras se</w:t>
      </w:r>
      <w:r w:rsidR="005B41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827DE">
        <w:rPr>
          <w:rFonts w:ascii="Calibri" w:eastAsia="Calibri" w:hAnsi="Calibri"/>
          <w:sz w:val="22"/>
          <w:szCs w:val="22"/>
          <w:lang w:eastAsia="en-US"/>
        </w:rPr>
        <w:t>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budoucím období nezmění způsobem, který by přepravu nadrozměrných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těžkých komponent znemožnil nebo výrazně znesnadnil. </w:t>
      </w:r>
    </w:p>
    <w:p w14:paraId="0A7BF840" w14:textId="416A3767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 w:cs="Arial"/>
          <w:sz w:val="22"/>
          <w:szCs w:val="22"/>
          <w:lang w:eastAsia="en-US"/>
        </w:rPr>
        <w:t>V roce 2022 došlo k</w:t>
      </w:r>
      <w:r w:rsidR="000A060F">
        <w:rPr>
          <w:rFonts w:ascii="Calibri" w:eastAsia="Calibri" w:hAnsi="Calibri" w:cs="Arial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 w:cs="Arial"/>
          <w:sz w:val="22"/>
          <w:szCs w:val="22"/>
          <w:lang w:eastAsia="en-US"/>
        </w:rPr>
        <w:t>  pokroku u</w:t>
      </w:r>
      <w:r w:rsidR="000A060F">
        <w:rPr>
          <w:rFonts w:ascii="Calibri" w:eastAsia="Calibri" w:hAnsi="Calibri" w:cs="Arial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 w:cs="Arial"/>
          <w:sz w:val="22"/>
          <w:szCs w:val="22"/>
          <w:lang w:eastAsia="en-US"/>
        </w:rPr>
        <w:t>většiny připravovaných opatření.  P</w:t>
      </w:r>
      <w:r w:rsidRPr="004827DE">
        <w:rPr>
          <w:rFonts w:ascii="Calibri" w:eastAsia="Calibri" w:hAnsi="Calibri"/>
          <w:sz w:val="22"/>
          <w:szCs w:val="22"/>
          <w:lang w:eastAsia="en-US"/>
        </w:rPr>
        <w:t>okračovala příprava dokumentace pro povolovací řízení (dokumentace umožňující posouzení opatření z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hlediska životního prostředí, dokumentace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umístění staveb, dokumentace pro stavební povolení), </w:t>
      </w:r>
      <w:r w:rsidR="00314219">
        <w:rPr>
          <w:rFonts w:ascii="Calibri" w:eastAsia="Calibri" w:hAnsi="Calibri"/>
          <w:sz w:val="22"/>
          <w:szCs w:val="22"/>
          <w:lang w:eastAsia="en-US"/>
        </w:rPr>
        <w:t xml:space="preserve">probíhala správní </w:t>
      </w:r>
      <w:r w:rsidRPr="004827DE">
        <w:rPr>
          <w:rFonts w:ascii="Calibri" w:eastAsia="Calibri" w:hAnsi="Calibri"/>
          <w:sz w:val="22"/>
          <w:szCs w:val="22"/>
          <w:lang w:eastAsia="en-US"/>
        </w:rPr>
        <w:t>řízení</w:t>
      </w:r>
      <w:r w:rsidR="00314219">
        <w:rPr>
          <w:rFonts w:ascii="Calibri" w:eastAsia="Calibri" w:hAnsi="Calibri"/>
          <w:sz w:val="22"/>
          <w:szCs w:val="22"/>
          <w:lang w:eastAsia="en-US"/>
        </w:rPr>
        <w:t xml:space="preserve">, včetně </w:t>
      </w:r>
      <w:proofErr w:type="gramStart"/>
      <w:r w:rsidR="00314219">
        <w:rPr>
          <w:rFonts w:ascii="Calibri" w:eastAsia="Calibri" w:hAnsi="Calibri"/>
          <w:sz w:val="22"/>
          <w:szCs w:val="22"/>
          <w:lang w:eastAsia="en-US"/>
        </w:rPr>
        <w:t xml:space="preserve">vydávání  </w:t>
      </w:r>
      <w:r w:rsidRPr="004827DE">
        <w:rPr>
          <w:rFonts w:ascii="Calibri" w:eastAsia="Calibri" w:hAnsi="Calibri"/>
          <w:sz w:val="22"/>
          <w:szCs w:val="22"/>
          <w:lang w:eastAsia="en-US"/>
        </w:rPr>
        <w:t>správní</w:t>
      </w:r>
      <w:r w:rsidR="00314219">
        <w:rPr>
          <w:rFonts w:ascii="Calibri" w:eastAsia="Calibri" w:hAnsi="Calibri"/>
          <w:sz w:val="22"/>
          <w:szCs w:val="22"/>
          <w:lang w:eastAsia="en-US"/>
        </w:rPr>
        <w:t>ch</w:t>
      </w:r>
      <w:proofErr w:type="gramEnd"/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rozhodnutí. Postup prací byl sledován na</w:t>
      </w:r>
      <w:r w:rsidR="00314219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úrovni pracovní skupiny. Řešena byla i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problematika dočasných opatření velkého rozsahu. I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přes splnění významných milníků se jako problematická opatření nadále ukazují obchvat Třebíče z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důvodu odporu části veřejnosti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této stavbě. Pouze velmi omezeného pokroku bylo dosaženo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přípravě místa překládky z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vodní na silniční dopravu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Týnci nad Labem. Proběhlo několik jednání s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Českými přístavy jako majitelem větší části areálu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Týnci</w:t>
      </w:r>
      <w:r w:rsidR="00FE7C92">
        <w:rPr>
          <w:rFonts w:ascii="Calibri" w:eastAsia="Calibri" w:hAnsi="Calibri"/>
          <w:sz w:val="22"/>
          <w:szCs w:val="22"/>
          <w:lang w:eastAsia="en-US"/>
        </w:rPr>
        <w:t xml:space="preserve"> nad Labem.</w:t>
      </w:r>
    </w:p>
    <w:p w14:paraId="50EF607A" w14:textId="74DB2FD3" w:rsidR="004827DE" w:rsidRPr="004827DE" w:rsidRDefault="004827DE" w:rsidP="00473EA8">
      <w:pPr>
        <w:keepNext/>
        <w:spacing w:before="160" w:line="293" w:lineRule="auto"/>
        <w:outlineLvl w:val="0"/>
        <w:rPr>
          <w:rFonts w:ascii="Calibri" w:hAnsi="Calibri"/>
          <w:b/>
          <w:bCs/>
          <w:kern w:val="32"/>
          <w:sz w:val="22"/>
          <w:szCs w:val="22"/>
          <w:lang w:eastAsia="en-US"/>
        </w:rPr>
      </w:pP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3.2 Připojení nových jaderných bloků k</w:t>
      </w:r>
      <w:r w:rsidR="000A060F">
        <w:rPr>
          <w:rFonts w:ascii="Calibri" w:hAnsi="Calibri"/>
          <w:b/>
          <w:bCs/>
          <w:kern w:val="32"/>
          <w:sz w:val="22"/>
          <w:szCs w:val="22"/>
          <w:lang w:eastAsia="en-US"/>
        </w:rPr>
        <w:t> </w:t>
      </w: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přenosové soustavě</w:t>
      </w:r>
    </w:p>
    <w:p w14:paraId="0A550F20" w14:textId="22DC5079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Během pravidelných jednání pracovní skupiny byl projednáván postup přípravných prací na</w:t>
      </w:r>
      <w:r w:rsidR="00314219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některých opatřeních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přenosové síti pro připojení ETEII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EDUII, která již probíhají s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tím, že postup těchto prací je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souladu s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harmonogramem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se smlouvami mezi ČEPS, ETEII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EDUII. Harmonogram byl pravidelně vyhodnocován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předkládán členům pracovní skupiny formou přílohy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záznamu z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jednání.</w:t>
      </w:r>
    </w:p>
    <w:p w14:paraId="7C31FA31" w14:textId="4901F9C3" w:rsidR="004827DE" w:rsidRPr="004827DE" w:rsidRDefault="004827DE" w:rsidP="00473EA8">
      <w:pPr>
        <w:spacing w:before="160" w:line="293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827DE">
        <w:rPr>
          <w:rFonts w:ascii="Calibri" w:eastAsia="Calibri" w:hAnsi="Calibri"/>
          <w:b/>
          <w:sz w:val="22"/>
          <w:szCs w:val="22"/>
          <w:lang w:eastAsia="en-US"/>
        </w:rPr>
        <w:t>3.3 Celkový harmonogram přípravy a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realizace výstavby NJZ</w:t>
      </w:r>
    </w:p>
    <w:p w14:paraId="24581327" w14:textId="7907F491" w:rsid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Celkový harmonogram přípravy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realizace výstavby NJZ byl průběžně doplňován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aktualizován. Na jednáních pracovní skupiny byl však vyhodnocován pouze okrajově. Hlavním důvodem byla </w:t>
      </w:r>
      <w:r w:rsidRPr="004827DE">
        <w:rPr>
          <w:rFonts w:ascii="Calibri" w:eastAsia="Calibri" w:hAnsi="Calibri"/>
          <w:sz w:val="22"/>
          <w:szCs w:val="22"/>
          <w:lang w:eastAsia="en-US"/>
        </w:rPr>
        <w:lastRenderedPageBreak/>
        <w:t>skutečnost, že bez promítnutí dopadů zásadních rozhodnutí (vypsání výběrového řízení, závěry jednání s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Evropskou komisí) má jeho sledování omezenou</w:t>
      </w:r>
      <w:r w:rsidR="0031421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827DE">
        <w:rPr>
          <w:rFonts w:ascii="Calibri" w:eastAsia="Calibri" w:hAnsi="Calibri"/>
          <w:sz w:val="22"/>
          <w:szCs w:val="22"/>
          <w:lang w:eastAsia="en-US"/>
        </w:rPr>
        <w:t>vypovídací hodnotu.</w:t>
      </w:r>
    </w:p>
    <w:p w14:paraId="1D6BF185" w14:textId="77777777" w:rsidR="002D75C3" w:rsidRPr="004827DE" w:rsidRDefault="002D75C3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1E381A1" w14:textId="590F9C1A" w:rsidR="004827DE" w:rsidRPr="004827DE" w:rsidRDefault="004827DE" w:rsidP="00314219">
      <w:pPr>
        <w:spacing w:before="160" w:line="293" w:lineRule="auto"/>
        <w:ind w:left="426" w:hanging="426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827DE">
        <w:rPr>
          <w:rFonts w:ascii="Calibri" w:eastAsia="Calibri" w:hAnsi="Calibri"/>
          <w:b/>
          <w:sz w:val="22"/>
          <w:szCs w:val="22"/>
          <w:lang w:eastAsia="en-US"/>
        </w:rPr>
        <w:t>3.4 Podmínky a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doporučení pro realizaci NJZ v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lokalitách ETE a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EDU – vývoj v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oblasti malých modulárních reaktorů</w:t>
      </w:r>
    </w:p>
    <w:p w14:paraId="211A8A3C" w14:textId="2173078F" w:rsidR="00802B55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K zhodnocení potenciálu SMR pro Českou republiku byla ve skupině ČEZ vypracována aktualizace studie proveditelnosti. S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jejími závěry budou seznámeni členové pracovní skupiny i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stálého výboru. Ve studii proveditelnosti byly použity vstupní údaje o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jednotlivých projektech SMR získané od potenciálních dodavatele SMR na základě žádostí o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poskytnutí informací.</w:t>
      </w:r>
    </w:p>
    <w:p w14:paraId="5AF06C13" w14:textId="413E4ADF" w:rsidR="004827DE" w:rsidRPr="004827DE" w:rsidRDefault="004827DE" w:rsidP="007105AF">
      <w:pPr>
        <w:spacing w:before="160" w:line="293" w:lineRule="auto"/>
        <w:ind w:left="426" w:hanging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4827DE">
        <w:rPr>
          <w:rFonts w:ascii="Calibri" w:eastAsia="Calibri" w:hAnsi="Calibri"/>
          <w:b/>
          <w:bCs/>
          <w:sz w:val="22"/>
          <w:szCs w:val="22"/>
          <w:lang w:eastAsia="en-US"/>
        </w:rPr>
        <w:t>3.5</w:t>
      </w:r>
      <w:r w:rsidR="0031421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4827DE">
        <w:rPr>
          <w:rFonts w:ascii="Calibri" w:eastAsia="Calibri" w:hAnsi="Calibri"/>
          <w:b/>
          <w:bCs/>
          <w:sz w:val="22"/>
          <w:szCs w:val="22"/>
          <w:lang w:eastAsia="en-US"/>
        </w:rPr>
        <w:t>Podkladový materiál pro rozhodnutí o</w:t>
      </w:r>
      <w:r w:rsidR="000A060F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bCs/>
          <w:sz w:val="22"/>
          <w:szCs w:val="22"/>
          <w:lang w:eastAsia="en-US"/>
        </w:rPr>
        <w:t>dalších blocích ve stávajících jaderných lokalitách Temelín a</w:t>
      </w:r>
      <w:r w:rsidR="000A060F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bCs/>
          <w:sz w:val="22"/>
          <w:szCs w:val="22"/>
          <w:lang w:eastAsia="en-US"/>
        </w:rPr>
        <w:t>Dukovany.</w:t>
      </w:r>
    </w:p>
    <w:p w14:paraId="546EF2F0" w14:textId="0DCB31F2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Materiál řešící podmínky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doporučení výstavby dalších bloků NJZ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lokalitách Temelín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Dukovany byl za koordinace MPO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části zodpovědnosti pracovní skupiny </w:t>
      </w:r>
      <w:proofErr w:type="spellStart"/>
      <w:r w:rsidRPr="004827DE">
        <w:rPr>
          <w:rFonts w:ascii="Calibri" w:eastAsia="Calibri" w:hAnsi="Calibri"/>
          <w:sz w:val="22"/>
          <w:szCs w:val="22"/>
          <w:lang w:eastAsia="en-US"/>
        </w:rPr>
        <w:t>technicko</w:t>
      </w:r>
      <w:r w:rsidR="00314219">
        <w:rPr>
          <w:rFonts w:ascii="Calibri" w:eastAsia="Calibri" w:hAnsi="Calibri"/>
          <w:sz w:val="22"/>
          <w:szCs w:val="22"/>
          <w:lang w:eastAsia="en-US"/>
        </w:rPr>
        <w:t>-</w:t>
      </w:r>
      <w:r w:rsidRPr="004827DE">
        <w:rPr>
          <w:rFonts w:ascii="Calibri" w:eastAsia="Calibri" w:hAnsi="Calibri"/>
          <w:sz w:val="22"/>
          <w:szCs w:val="22"/>
          <w:lang w:eastAsia="en-US"/>
        </w:rPr>
        <w:t>investiční</w:t>
      </w:r>
      <w:proofErr w:type="spellEnd"/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připraven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v závěru roku 2022 projednán na jednání pracovní skupiny.</w:t>
      </w:r>
    </w:p>
    <w:p w14:paraId="3F6AB974" w14:textId="2CEF9625" w:rsidR="004827DE" w:rsidRPr="004827DE" w:rsidRDefault="004827DE" w:rsidP="00473EA8">
      <w:pPr>
        <w:keepNext/>
        <w:spacing w:before="160" w:line="293" w:lineRule="auto"/>
        <w:ind w:left="432" w:hanging="432"/>
        <w:outlineLvl w:val="0"/>
        <w:rPr>
          <w:rFonts w:ascii="Calibri" w:hAnsi="Calibri"/>
          <w:b/>
          <w:bCs/>
          <w:kern w:val="32"/>
          <w:sz w:val="22"/>
          <w:szCs w:val="22"/>
          <w:lang w:eastAsia="en-US"/>
        </w:rPr>
      </w:pP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4. Prioritní úkoly k</w:t>
      </w:r>
      <w:r w:rsidR="000A060F">
        <w:rPr>
          <w:rFonts w:ascii="Calibri" w:hAnsi="Calibri"/>
          <w:b/>
          <w:bCs/>
          <w:kern w:val="32"/>
          <w:sz w:val="22"/>
          <w:szCs w:val="22"/>
          <w:lang w:eastAsia="en-US"/>
        </w:rPr>
        <w:t> </w:t>
      </w: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řešení pracovní skupinou v</w:t>
      </w:r>
      <w:r w:rsidR="000A060F">
        <w:rPr>
          <w:rFonts w:ascii="Calibri" w:hAnsi="Calibri"/>
          <w:b/>
          <w:bCs/>
          <w:kern w:val="32"/>
          <w:sz w:val="22"/>
          <w:szCs w:val="22"/>
          <w:lang w:eastAsia="en-US"/>
        </w:rPr>
        <w:t> </w:t>
      </w:r>
      <w:r w:rsidRPr="004827DE">
        <w:rPr>
          <w:rFonts w:ascii="Calibri" w:hAnsi="Calibri"/>
          <w:b/>
          <w:bCs/>
          <w:kern w:val="32"/>
          <w:sz w:val="22"/>
          <w:szCs w:val="22"/>
          <w:lang w:eastAsia="en-US"/>
        </w:rPr>
        <w:t>roce 2023</w:t>
      </w:r>
    </w:p>
    <w:p w14:paraId="7C596FED" w14:textId="58CE2291" w:rsidR="004827DE" w:rsidRPr="004827DE" w:rsidRDefault="004827DE" w:rsidP="00473EA8">
      <w:pPr>
        <w:spacing w:before="160" w:line="293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827DE">
        <w:rPr>
          <w:rFonts w:ascii="Calibri" w:eastAsia="Calibri" w:hAnsi="Calibri"/>
          <w:b/>
          <w:sz w:val="22"/>
          <w:szCs w:val="22"/>
          <w:lang w:eastAsia="en-US"/>
        </w:rPr>
        <w:t>4.1 Doprava nadrozměrných a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těžkých komponent (NTK) pro výstavbu NJZ EDU a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NJZ ETE</w:t>
      </w:r>
    </w:p>
    <w:p w14:paraId="0E27E0AB" w14:textId="4747B7BA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Příprava tras pro dopravu NTK bude pokračovat i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v roce 2023. Zvláštní pozornost bude třeba věnovat těm opatřením, kde se projevil odpor části veřejnosti (např. obchvat Třebíče) nebo </w:t>
      </w:r>
      <w:r w:rsidR="00314219">
        <w:rPr>
          <w:rFonts w:ascii="Calibri" w:eastAsia="Calibri" w:hAnsi="Calibri"/>
          <w:sz w:val="22"/>
          <w:szCs w:val="22"/>
          <w:lang w:eastAsia="en-US"/>
        </w:rPr>
        <w:t xml:space="preserve">byly identifikovány </w:t>
      </w:r>
      <w:r w:rsidRPr="004827DE">
        <w:rPr>
          <w:rFonts w:ascii="Calibri" w:eastAsia="Calibri" w:hAnsi="Calibri"/>
          <w:sz w:val="22"/>
          <w:szCs w:val="22"/>
          <w:lang w:eastAsia="en-US"/>
        </w:rPr>
        <w:t>problémy se zajištěním pozemků (České přístavy/Týnec nad Labem). Velký význam pro problematiku dopravy NTK má zahájení výběrového řízení na dodavatele NJZ.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nabídkách jsou požadovány podrobnější údaje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plánovaným přepravám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bude docházet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upřesňování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konečnému potvrzení dopravní trasy. Tato činnost bude mít přesah i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do dalších let.</w:t>
      </w:r>
    </w:p>
    <w:p w14:paraId="2AE2C67B" w14:textId="256037DC" w:rsid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V návaznosti na výstupy z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jednání NM MPO, MD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zástupců EDUII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problematice realizace opatření na dopravních trasách NTK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návozových tras materiálů výstavby NJZ EDU II bude připraven příslušný dokument jako podklad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projednání </w:t>
      </w:r>
      <w:proofErr w:type="spellStart"/>
      <w:r w:rsidRPr="004827DE">
        <w:rPr>
          <w:rFonts w:ascii="Calibri" w:eastAsia="Calibri" w:hAnsi="Calibri"/>
          <w:sz w:val="22"/>
          <w:szCs w:val="22"/>
          <w:lang w:eastAsia="en-US"/>
        </w:rPr>
        <w:t>SVVNJZ</w:t>
      </w:r>
      <w:proofErr w:type="spellEnd"/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následně vlád</w:t>
      </w:r>
      <w:r w:rsidR="00314219">
        <w:rPr>
          <w:rFonts w:ascii="Calibri" w:eastAsia="Calibri" w:hAnsi="Calibri"/>
          <w:sz w:val="22"/>
          <w:szCs w:val="22"/>
          <w:lang w:eastAsia="en-US"/>
        </w:rPr>
        <w:t>ou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ČR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řešení této problematiky.</w:t>
      </w:r>
    </w:p>
    <w:p w14:paraId="69E2C173" w14:textId="0ED23A67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4827DE">
        <w:rPr>
          <w:rFonts w:ascii="Calibri" w:eastAsia="Calibri" w:hAnsi="Calibri"/>
          <w:b/>
          <w:bCs/>
          <w:sz w:val="22"/>
          <w:szCs w:val="22"/>
          <w:lang w:eastAsia="en-US"/>
        </w:rPr>
        <w:t>4.2 Připojení nových jaderných bloků k</w:t>
      </w:r>
      <w:r w:rsidR="000A060F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bCs/>
          <w:sz w:val="22"/>
          <w:szCs w:val="22"/>
          <w:lang w:eastAsia="en-US"/>
        </w:rPr>
        <w:t>přenosové soustavě</w:t>
      </w:r>
    </w:p>
    <w:p w14:paraId="3B2438B0" w14:textId="65D77395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Na základě smluv uzavřených mezi společnostmi ČEPS, ETEII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EDU probíhají práce na připojení nových bloků do přenosové soustavy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na opatřeních, která jsou pro toto připojení nezbytná. Postup prací bude na pracovní skupině sledován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budou řešeny záležitosti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problémy, které mají přesah do dalších oblastí, nad rámec uzavřených smluv ČEPS – ETEII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ČEPS – EDUII. </w:t>
      </w:r>
    </w:p>
    <w:p w14:paraId="01A42A95" w14:textId="1D3040D6" w:rsidR="00786642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Aktualizace připojovací studie pro různé varianty souběhu </w:t>
      </w:r>
      <w:r w:rsidR="00367D3E">
        <w:rPr>
          <w:rFonts w:ascii="Calibri" w:eastAsia="Calibri" w:hAnsi="Calibri"/>
          <w:sz w:val="22"/>
          <w:szCs w:val="22"/>
          <w:lang w:eastAsia="en-US"/>
        </w:rPr>
        <w:t>NJZ EDU II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se stávajícími bloky EDU 1-4 by měla být dokončena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březnu 2023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její výstupy projednány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pracovní skupině.</w:t>
      </w:r>
    </w:p>
    <w:p w14:paraId="70CD0942" w14:textId="20DB129A" w:rsidR="004827DE" w:rsidRPr="004827DE" w:rsidRDefault="004827DE" w:rsidP="00156495">
      <w:pPr>
        <w:spacing w:before="160" w:line="293" w:lineRule="auto"/>
        <w:ind w:left="426"/>
        <w:rPr>
          <w:rFonts w:ascii="Calibri" w:eastAsia="Calibri" w:hAnsi="Calibri"/>
          <w:b/>
          <w:sz w:val="22"/>
          <w:szCs w:val="22"/>
          <w:lang w:eastAsia="en-US"/>
        </w:rPr>
      </w:pPr>
      <w:r w:rsidRPr="004827DE">
        <w:rPr>
          <w:rFonts w:ascii="Calibri" w:eastAsia="Calibri" w:hAnsi="Calibri"/>
          <w:b/>
          <w:sz w:val="22"/>
          <w:szCs w:val="22"/>
          <w:lang w:eastAsia="en-US"/>
        </w:rPr>
        <w:t>4.</w:t>
      </w:r>
      <w:r w:rsidR="00802B55"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 xml:space="preserve"> Smluvní uspořádání mezi státem a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EDUII, příprava výstavby dalších bloků NJZ v</w:t>
      </w:r>
      <w:r w:rsidR="000A060F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b/>
          <w:sz w:val="22"/>
          <w:szCs w:val="22"/>
          <w:lang w:eastAsia="en-US"/>
        </w:rPr>
        <w:t>ČR</w:t>
      </w:r>
    </w:p>
    <w:p w14:paraId="04E91853" w14:textId="34EAF0A4" w:rsid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V roce 2023 bude pokračovat spolupráce pracovní skupiny na vyžádaných činnostech spojených s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otázkami smluvního uspořádání mezi státem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EDUII</w:t>
      </w:r>
      <w:r w:rsidR="00314219">
        <w:rPr>
          <w:rFonts w:ascii="Calibri" w:eastAsia="Calibri" w:hAnsi="Calibri"/>
          <w:sz w:val="22"/>
          <w:szCs w:val="22"/>
          <w:lang w:eastAsia="en-US"/>
        </w:rPr>
        <w:t>,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to zejména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oblasti budoucího odběru </w:t>
      </w:r>
      <w:r w:rsidRPr="004827DE">
        <w:rPr>
          <w:rFonts w:ascii="Calibri" w:eastAsia="Calibri" w:hAnsi="Calibri"/>
          <w:sz w:val="22"/>
          <w:szCs w:val="22"/>
          <w:lang w:eastAsia="en-US"/>
        </w:rPr>
        <w:lastRenderedPageBreak/>
        <w:t>elektrické energie z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nového bloku </w:t>
      </w:r>
      <w:proofErr w:type="spellStart"/>
      <w:r w:rsidR="00367D3E">
        <w:rPr>
          <w:rFonts w:ascii="Calibri" w:eastAsia="Calibri" w:hAnsi="Calibri"/>
          <w:sz w:val="22"/>
          <w:szCs w:val="22"/>
          <w:lang w:eastAsia="en-US"/>
        </w:rPr>
        <w:t>NJZ</w:t>
      </w:r>
      <w:proofErr w:type="spellEnd"/>
      <w:r w:rsidR="00367D3E">
        <w:rPr>
          <w:rFonts w:ascii="Calibri" w:eastAsia="Calibri" w:hAnsi="Calibri"/>
          <w:sz w:val="22"/>
          <w:szCs w:val="22"/>
          <w:lang w:eastAsia="en-US"/>
        </w:rPr>
        <w:t xml:space="preserve"> EDU II</w:t>
      </w:r>
      <w:r w:rsidRPr="004827DE">
        <w:rPr>
          <w:rFonts w:ascii="Calibri" w:eastAsia="Calibri" w:hAnsi="Calibri"/>
          <w:sz w:val="22"/>
          <w:szCs w:val="22"/>
          <w:lang w:eastAsia="en-US"/>
        </w:rPr>
        <w:t>, případně některých podmínek</w:t>
      </w:r>
      <w:r w:rsidR="00B03A4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14219" w:rsidRPr="004827DE">
        <w:rPr>
          <w:rFonts w:ascii="Calibri" w:eastAsia="Calibri" w:hAnsi="Calibri"/>
          <w:sz w:val="22"/>
          <w:szCs w:val="22"/>
          <w:lang w:eastAsia="en-US"/>
        </w:rPr>
        <w:t>NFV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. Pracovní skupina </w:t>
      </w:r>
      <w:r w:rsidR="00FF30CB">
        <w:rPr>
          <w:rFonts w:ascii="Calibri" w:eastAsia="Calibri" w:hAnsi="Calibri"/>
          <w:sz w:val="22"/>
          <w:szCs w:val="22"/>
          <w:lang w:eastAsia="en-US"/>
        </w:rPr>
        <w:t>vypracuje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potřebné technické podklady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analýzy k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dokončení podkladového materiál pro rozhodnutí o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="00FF30CB">
        <w:rPr>
          <w:rFonts w:ascii="Calibri" w:eastAsia="Calibri" w:hAnsi="Calibri"/>
          <w:sz w:val="22"/>
          <w:szCs w:val="22"/>
          <w:lang w:eastAsia="en-US"/>
        </w:rPr>
        <w:t>výstavbě</w:t>
      </w:r>
      <w:r w:rsidR="00786642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dalších blo</w:t>
      </w:r>
      <w:r w:rsidR="00FF30CB">
        <w:rPr>
          <w:rFonts w:ascii="Calibri" w:eastAsia="Calibri" w:hAnsi="Calibri"/>
          <w:sz w:val="22"/>
          <w:szCs w:val="22"/>
          <w:lang w:eastAsia="en-US"/>
        </w:rPr>
        <w:t>ků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ve stávajících jaderných lokalitách Temelín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Dukovany</w:t>
      </w:r>
      <w:r w:rsidRPr="004827DE" w:rsidDel="008B372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827DE">
        <w:rPr>
          <w:rFonts w:ascii="Calibri" w:eastAsia="Calibri" w:hAnsi="Calibri"/>
          <w:sz w:val="22"/>
          <w:szCs w:val="22"/>
          <w:lang w:eastAsia="en-US"/>
        </w:rPr>
        <w:t>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následnému projednání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SVVNJZ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vládě ČR.</w:t>
      </w:r>
    </w:p>
    <w:p w14:paraId="07C18656" w14:textId="744EC67C" w:rsidR="004827DE" w:rsidRPr="004827DE" w:rsidRDefault="00802B55" w:rsidP="00156495">
      <w:pPr>
        <w:spacing w:before="160" w:line="293" w:lineRule="auto"/>
        <w:ind w:left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4.4 </w:t>
      </w:r>
      <w:r w:rsidR="004827DE" w:rsidRPr="004827DE">
        <w:rPr>
          <w:rFonts w:ascii="Calibri" w:eastAsia="Calibri" w:hAnsi="Calibri"/>
          <w:b/>
          <w:bCs/>
          <w:sz w:val="22"/>
          <w:szCs w:val="22"/>
          <w:lang w:eastAsia="en-US"/>
        </w:rPr>
        <w:t>Harmonogram projektu a</w:t>
      </w:r>
      <w:r w:rsidR="000A060F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="004827DE" w:rsidRPr="004827DE">
        <w:rPr>
          <w:rFonts w:ascii="Calibri" w:eastAsia="Calibri" w:hAnsi="Calibri"/>
          <w:b/>
          <w:bCs/>
          <w:sz w:val="22"/>
          <w:szCs w:val="22"/>
          <w:lang w:eastAsia="en-US"/>
        </w:rPr>
        <w:t>projednání návrhu harmonogramu po r. 2024</w:t>
      </w:r>
    </w:p>
    <w:p w14:paraId="264B4FCF" w14:textId="2C9C4A8C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V roce 2023 bude probíhat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návaznosti na další výstupy poskytnuté investorem spolupráce na</w:t>
      </w:r>
      <w:r w:rsidR="00314219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přípravě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projednání harmonogramu výstavby NJZ EDU </w:t>
      </w:r>
      <w:r w:rsidR="00367D3E">
        <w:rPr>
          <w:rFonts w:ascii="Calibri" w:eastAsia="Calibri" w:hAnsi="Calibri"/>
          <w:sz w:val="22"/>
          <w:szCs w:val="22"/>
          <w:lang w:eastAsia="en-US"/>
        </w:rPr>
        <w:t>II</w:t>
      </w:r>
      <w:r w:rsidRPr="004827DE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dalších bloků NJZ v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obou jaderných lokalitách.</w:t>
      </w:r>
    </w:p>
    <w:p w14:paraId="16A6912A" w14:textId="77777777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105AF">
        <w:rPr>
          <w:rFonts w:ascii="Calibri" w:eastAsia="Calibri" w:hAnsi="Calibri"/>
          <w:b/>
          <w:sz w:val="22"/>
          <w:szCs w:val="22"/>
          <w:lang w:eastAsia="en-US"/>
        </w:rPr>
        <w:t>Závěr</w:t>
      </w:r>
      <w:r w:rsidRPr="004827DE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0F1BB135" w14:textId="0CD8B2EF" w:rsidR="004827DE" w:rsidRPr="004827DE" w:rsidRDefault="004827DE" w:rsidP="00156495">
      <w:pPr>
        <w:spacing w:before="160" w:line="293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27DE">
        <w:rPr>
          <w:rFonts w:ascii="Calibri" w:eastAsia="Calibri" w:hAnsi="Calibri"/>
          <w:sz w:val="22"/>
          <w:szCs w:val="22"/>
          <w:lang w:eastAsia="en-US"/>
        </w:rPr>
        <w:t>Pracovní skupina při plnění úkolů úzce spolupracovala s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nově ustavenou sekcí jaderné energetiky MPO a</w:t>
      </w:r>
      <w:r w:rsidR="000A060F">
        <w:rPr>
          <w:rFonts w:ascii="Calibri" w:eastAsia="Calibri" w:hAnsi="Calibri"/>
          <w:sz w:val="22"/>
          <w:szCs w:val="22"/>
          <w:lang w:eastAsia="en-US"/>
        </w:rPr>
        <w:t> </w:t>
      </w:r>
      <w:r w:rsidRPr="004827DE">
        <w:rPr>
          <w:rFonts w:ascii="Calibri" w:eastAsia="Calibri" w:hAnsi="Calibri"/>
          <w:sz w:val="22"/>
          <w:szCs w:val="22"/>
          <w:lang w:eastAsia="en-US"/>
        </w:rPr>
        <w:t>ostatními pracovními skupinami. Díky aktivnímu přístupu všech členů plnila pracovní skupina všechny uložené úkoly.</w:t>
      </w:r>
    </w:p>
    <w:p w14:paraId="475F0EFC" w14:textId="77777777" w:rsidR="00100D2F" w:rsidRPr="00C56410" w:rsidRDefault="00100D2F" w:rsidP="00473EA8">
      <w:pPr>
        <w:pStyle w:val="Odstavecseseznamem"/>
        <w:spacing w:before="160" w:line="293" w:lineRule="auto"/>
        <w:ind w:left="786"/>
        <w:contextualSpacing w:val="0"/>
        <w:jc w:val="both"/>
        <w:rPr>
          <w:rFonts w:asciiTheme="minorHAnsi" w:hAnsiTheme="minorHAnsi"/>
          <w:b/>
          <w:bCs/>
          <w:u w:val="single"/>
        </w:rPr>
      </w:pPr>
    </w:p>
    <w:p w14:paraId="08FD0A1C" w14:textId="2374D80C" w:rsidR="0085511B" w:rsidRPr="00C56410" w:rsidRDefault="0085511B" w:rsidP="00473EA8">
      <w:pPr>
        <w:pStyle w:val="Odstavecseseznamem"/>
        <w:numPr>
          <w:ilvl w:val="0"/>
          <w:numId w:val="6"/>
        </w:numPr>
        <w:spacing w:before="160" w:line="293" w:lineRule="auto"/>
        <w:contextualSpacing w:val="0"/>
        <w:jc w:val="both"/>
        <w:rPr>
          <w:rFonts w:asciiTheme="minorHAnsi" w:hAnsiTheme="minorHAnsi"/>
          <w:b/>
          <w:bCs/>
          <w:u w:val="single"/>
        </w:rPr>
      </w:pPr>
      <w:bookmarkStart w:id="9" w:name="_Hlk124956732"/>
      <w:r w:rsidRPr="00C56410">
        <w:rPr>
          <w:rFonts w:asciiTheme="minorHAnsi" w:hAnsiTheme="minorHAnsi"/>
          <w:b/>
          <w:bCs/>
          <w:u w:val="single"/>
        </w:rPr>
        <w:t>Pracovní skupina</w:t>
      </w:r>
      <w:bookmarkEnd w:id="9"/>
      <w:r w:rsidRPr="00C56410">
        <w:rPr>
          <w:rFonts w:asciiTheme="minorHAnsi" w:hAnsiTheme="minorHAnsi"/>
          <w:b/>
          <w:bCs/>
          <w:u w:val="single"/>
        </w:rPr>
        <w:t xml:space="preserve"> pro uplatnitelnost malých a</w:t>
      </w:r>
      <w:r w:rsidR="000A060F">
        <w:rPr>
          <w:rFonts w:asciiTheme="minorHAnsi" w:hAnsiTheme="minorHAnsi"/>
          <w:b/>
          <w:bCs/>
          <w:u w:val="single"/>
        </w:rPr>
        <w:t> </w:t>
      </w:r>
      <w:r w:rsidRPr="00C56410">
        <w:rPr>
          <w:rFonts w:asciiTheme="minorHAnsi" w:hAnsiTheme="minorHAnsi"/>
          <w:b/>
          <w:bCs/>
          <w:u w:val="single"/>
        </w:rPr>
        <w:t>středních modulárních reaktorů v</w:t>
      </w:r>
      <w:r w:rsidR="000A060F">
        <w:rPr>
          <w:rFonts w:asciiTheme="minorHAnsi" w:hAnsiTheme="minorHAnsi"/>
          <w:b/>
          <w:bCs/>
          <w:u w:val="single"/>
        </w:rPr>
        <w:t> </w:t>
      </w:r>
      <w:r w:rsidRPr="00C56410">
        <w:rPr>
          <w:rFonts w:asciiTheme="minorHAnsi" w:hAnsiTheme="minorHAnsi"/>
          <w:b/>
          <w:bCs/>
          <w:u w:val="single"/>
        </w:rPr>
        <w:t>České republice</w:t>
      </w:r>
      <w:r w:rsidR="001A19EF">
        <w:rPr>
          <w:rFonts w:asciiTheme="minorHAnsi" w:hAnsiTheme="minorHAnsi"/>
          <w:b/>
          <w:bCs/>
          <w:u w:val="single"/>
        </w:rPr>
        <w:t xml:space="preserve"> PS4</w:t>
      </w:r>
    </w:p>
    <w:p w14:paraId="67AD1E3D" w14:textId="02E4BA60" w:rsidR="00A41315" w:rsidRPr="00A41315" w:rsidRDefault="00A41315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A41315">
        <w:rPr>
          <w:rFonts w:asciiTheme="minorHAnsi" w:hAnsiTheme="minorHAnsi"/>
          <w:bCs/>
          <w:sz w:val="22"/>
          <w:szCs w:val="22"/>
        </w:rPr>
        <w:t>Pracovní skupina (PS SMR) byla zřízena při MPO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A41315">
        <w:rPr>
          <w:rFonts w:asciiTheme="minorHAnsi" w:hAnsiTheme="minorHAnsi"/>
          <w:bCs/>
          <w:sz w:val="22"/>
          <w:szCs w:val="22"/>
        </w:rPr>
        <w:t>rámci pracovní skupiny technické k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A41315">
        <w:rPr>
          <w:rFonts w:asciiTheme="minorHAnsi" w:hAnsiTheme="minorHAnsi"/>
          <w:bCs/>
          <w:sz w:val="22"/>
          <w:szCs w:val="22"/>
        </w:rPr>
        <w:t>25. listopadu 2021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A41315">
        <w:rPr>
          <w:rFonts w:asciiTheme="minorHAnsi" w:hAnsiTheme="minorHAnsi"/>
          <w:bCs/>
          <w:sz w:val="22"/>
          <w:szCs w:val="22"/>
        </w:rPr>
        <w:t>schválena na VI. zasedání Stálého výboru pro výstavbu nových jaderných zdrojů (SVVNJZ) dne 20. září 2022. SVVNJZ vzal na vědomí informaci o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A41315">
        <w:rPr>
          <w:rFonts w:asciiTheme="minorHAnsi" w:hAnsiTheme="minorHAnsi"/>
          <w:bCs/>
          <w:sz w:val="22"/>
          <w:szCs w:val="22"/>
        </w:rPr>
        <w:t>činnostech MPO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A41315">
        <w:rPr>
          <w:rFonts w:asciiTheme="minorHAnsi" w:hAnsiTheme="minorHAnsi"/>
          <w:bCs/>
          <w:sz w:val="22"/>
          <w:szCs w:val="22"/>
        </w:rPr>
        <w:t xml:space="preserve">práci PS </w:t>
      </w:r>
      <w:proofErr w:type="spellStart"/>
      <w:r w:rsidRPr="00A41315">
        <w:rPr>
          <w:rFonts w:asciiTheme="minorHAnsi" w:hAnsiTheme="minorHAnsi"/>
          <w:bCs/>
          <w:sz w:val="22"/>
          <w:szCs w:val="22"/>
        </w:rPr>
        <w:t>SMR</w:t>
      </w:r>
      <w:proofErr w:type="spellEnd"/>
      <w:r w:rsidRPr="00A41315">
        <w:rPr>
          <w:rFonts w:asciiTheme="minorHAnsi" w:hAnsiTheme="minorHAnsi"/>
          <w:bCs/>
          <w:sz w:val="22"/>
          <w:szCs w:val="22"/>
        </w:rPr>
        <w:t xml:space="preserve">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A41315">
        <w:rPr>
          <w:rFonts w:asciiTheme="minorHAnsi" w:hAnsiTheme="minorHAnsi"/>
          <w:bCs/>
          <w:sz w:val="22"/>
          <w:szCs w:val="22"/>
        </w:rPr>
        <w:t>uložil j</w:t>
      </w:r>
      <w:r w:rsidR="00314219">
        <w:rPr>
          <w:rFonts w:asciiTheme="minorHAnsi" w:hAnsiTheme="minorHAnsi"/>
          <w:bCs/>
          <w:sz w:val="22"/>
          <w:szCs w:val="22"/>
        </w:rPr>
        <w:t>í</w:t>
      </w:r>
      <w:r w:rsidRPr="00A41315">
        <w:rPr>
          <w:rFonts w:asciiTheme="minorHAnsi" w:hAnsiTheme="minorHAnsi"/>
          <w:bCs/>
          <w:sz w:val="22"/>
          <w:szCs w:val="22"/>
        </w:rPr>
        <w:t xml:space="preserve">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A41315">
        <w:rPr>
          <w:rFonts w:asciiTheme="minorHAnsi" w:hAnsiTheme="minorHAnsi"/>
          <w:bCs/>
          <w:sz w:val="22"/>
          <w:szCs w:val="22"/>
        </w:rPr>
        <w:t>návaznosti na programové prohlášení vlády ČR vypracovat koncepci využití malých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A41315">
        <w:rPr>
          <w:rFonts w:asciiTheme="minorHAnsi" w:hAnsiTheme="minorHAnsi"/>
          <w:bCs/>
          <w:sz w:val="22"/>
          <w:szCs w:val="22"/>
        </w:rPr>
        <w:t>středních modulárních reaktorů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A41315">
        <w:rPr>
          <w:rFonts w:asciiTheme="minorHAnsi" w:hAnsiTheme="minorHAnsi"/>
          <w:bCs/>
          <w:sz w:val="22"/>
          <w:szCs w:val="22"/>
        </w:rPr>
        <w:t>ČR (vstup do Státní energetické koncepce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A41315">
        <w:rPr>
          <w:rFonts w:asciiTheme="minorHAnsi" w:hAnsiTheme="minorHAnsi"/>
          <w:bCs/>
          <w:sz w:val="22"/>
          <w:szCs w:val="22"/>
        </w:rPr>
        <w:t>Národního akčního plánu rozvoje jaderné energetiky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A41315">
        <w:rPr>
          <w:rFonts w:asciiTheme="minorHAnsi" w:hAnsiTheme="minorHAnsi"/>
          <w:bCs/>
          <w:sz w:val="22"/>
          <w:szCs w:val="22"/>
        </w:rPr>
        <w:t>ČR) do 30. dubna 2023. Přípravu materiálu bude koordinovat MPO. Pro podporu příprav materiálu se uskutečnilo během roku 2022 8 zasedání PS SMR</w:t>
      </w:r>
      <w:r w:rsidR="00314219">
        <w:rPr>
          <w:rFonts w:asciiTheme="minorHAnsi" w:hAnsiTheme="minorHAnsi"/>
          <w:bCs/>
          <w:sz w:val="22"/>
          <w:szCs w:val="22"/>
        </w:rPr>
        <w:t>, která byla zaměřena na</w:t>
      </w:r>
      <w:r w:rsidRPr="00A41315">
        <w:rPr>
          <w:rFonts w:asciiTheme="minorHAnsi" w:hAnsiTheme="minorHAnsi"/>
          <w:bCs/>
          <w:sz w:val="22"/>
          <w:szCs w:val="22"/>
        </w:rPr>
        <w:t>:</w:t>
      </w:r>
    </w:p>
    <w:p w14:paraId="776DF767" w14:textId="3E3C5541" w:rsidR="00A41315" w:rsidRPr="00A41315" w:rsidRDefault="002E785F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Dne </w:t>
      </w:r>
      <w:r w:rsidR="00A41315" w:rsidRPr="00A41315">
        <w:rPr>
          <w:rFonts w:asciiTheme="minorHAnsi" w:hAnsiTheme="minorHAnsi"/>
          <w:bCs/>
          <w:sz w:val="22"/>
          <w:szCs w:val="22"/>
        </w:rPr>
        <w:t>28. února</w:t>
      </w:r>
      <w:r w:rsidR="00C95129">
        <w:rPr>
          <w:rFonts w:asciiTheme="minorHAnsi" w:hAnsiTheme="minorHAnsi"/>
          <w:bCs/>
          <w:sz w:val="22"/>
          <w:szCs w:val="22"/>
        </w:rPr>
        <w:t xml:space="preserve"> 2022</w:t>
      </w:r>
      <w:r w:rsidR="00A41315" w:rsidRPr="00A41315">
        <w:rPr>
          <w:rFonts w:asciiTheme="minorHAnsi" w:hAnsiTheme="minorHAnsi"/>
          <w:bCs/>
          <w:sz w:val="22"/>
          <w:szCs w:val="22"/>
        </w:rPr>
        <w:t>: Probíhající aktivity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A41315" w:rsidRPr="00A41315">
        <w:rPr>
          <w:rFonts w:asciiTheme="minorHAnsi" w:hAnsiTheme="minorHAnsi"/>
          <w:bCs/>
          <w:sz w:val="22"/>
          <w:szCs w:val="22"/>
        </w:rPr>
        <w:t>EU, ČR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A41315" w:rsidRPr="00A41315">
        <w:rPr>
          <w:rFonts w:asciiTheme="minorHAnsi" w:hAnsiTheme="minorHAnsi"/>
          <w:bCs/>
          <w:sz w:val="22"/>
          <w:szCs w:val="22"/>
        </w:rPr>
        <w:t>na MPO, projekt TAČR Uplatnitelnost malých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A41315" w:rsidRPr="00A41315">
        <w:rPr>
          <w:rFonts w:asciiTheme="minorHAnsi" w:hAnsiTheme="minorHAnsi"/>
          <w:bCs/>
          <w:sz w:val="22"/>
          <w:szCs w:val="22"/>
        </w:rPr>
        <w:t>středních jaderných reaktorů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A41315" w:rsidRPr="00A41315">
        <w:rPr>
          <w:rFonts w:asciiTheme="minorHAnsi" w:hAnsiTheme="minorHAnsi"/>
          <w:bCs/>
          <w:sz w:val="22"/>
          <w:szCs w:val="22"/>
        </w:rPr>
        <w:t>ČR</w:t>
      </w:r>
      <w:r w:rsidR="008814CE">
        <w:rPr>
          <w:rFonts w:asciiTheme="minorHAnsi" w:hAnsiTheme="minorHAnsi"/>
          <w:bCs/>
          <w:sz w:val="22"/>
          <w:szCs w:val="22"/>
        </w:rPr>
        <w:t>.</w:t>
      </w:r>
    </w:p>
    <w:p w14:paraId="69ADB2A1" w14:textId="20DCA04E" w:rsidR="00A41315" w:rsidRPr="00A41315" w:rsidRDefault="00C95129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Dne </w:t>
      </w:r>
      <w:r w:rsidR="00A41315" w:rsidRPr="00A41315">
        <w:rPr>
          <w:rFonts w:asciiTheme="minorHAnsi" w:hAnsiTheme="minorHAnsi"/>
          <w:bCs/>
          <w:sz w:val="22"/>
          <w:szCs w:val="22"/>
        </w:rPr>
        <w:t>28. března</w:t>
      </w:r>
      <w:r>
        <w:rPr>
          <w:rFonts w:asciiTheme="minorHAnsi" w:hAnsiTheme="minorHAnsi"/>
          <w:bCs/>
          <w:sz w:val="22"/>
          <w:szCs w:val="22"/>
        </w:rPr>
        <w:t xml:space="preserve"> 2022</w:t>
      </w:r>
      <w:r w:rsidR="00A41315" w:rsidRPr="00A41315">
        <w:rPr>
          <w:rFonts w:asciiTheme="minorHAnsi" w:hAnsiTheme="minorHAnsi"/>
          <w:bCs/>
          <w:sz w:val="22"/>
          <w:szCs w:val="22"/>
        </w:rPr>
        <w:t>: Zdrojová přiměřenost elektrizační soustavy ČR, koncept odstupňovaného přístupu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A41315" w:rsidRPr="00A41315">
        <w:rPr>
          <w:rFonts w:asciiTheme="minorHAnsi" w:hAnsiTheme="minorHAnsi"/>
          <w:bCs/>
          <w:sz w:val="22"/>
          <w:szCs w:val="22"/>
        </w:rPr>
        <w:t>atomové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A41315" w:rsidRPr="00A41315">
        <w:rPr>
          <w:rFonts w:asciiTheme="minorHAnsi" w:hAnsiTheme="minorHAnsi"/>
          <w:bCs/>
          <w:sz w:val="22"/>
          <w:szCs w:val="22"/>
        </w:rPr>
        <w:t>legislativě</w:t>
      </w:r>
      <w:r w:rsidR="008814CE">
        <w:rPr>
          <w:rFonts w:asciiTheme="minorHAnsi" w:hAnsiTheme="minorHAnsi"/>
          <w:bCs/>
          <w:sz w:val="22"/>
          <w:szCs w:val="22"/>
        </w:rPr>
        <w:t>.</w:t>
      </w:r>
    </w:p>
    <w:p w14:paraId="47AAB3FD" w14:textId="060C66C4" w:rsidR="00A41315" w:rsidRPr="00A41315" w:rsidRDefault="00C95129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Dne </w:t>
      </w:r>
      <w:r w:rsidR="00A41315" w:rsidRPr="00A41315">
        <w:rPr>
          <w:rFonts w:asciiTheme="minorHAnsi" w:hAnsiTheme="minorHAnsi"/>
          <w:bCs/>
          <w:sz w:val="22"/>
          <w:szCs w:val="22"/>
        </w:rPr>
        <w:t>10. května</w:t>
      </w:r>
      <w:r>
        <w:rPr>
          <w:rFonts w:asciiTheme="minorHAnsi" w:hAnsiTheme="minorHAnsi"/>
          <w:bCs/>
          <w:sz w:val="22"/>
          <w:szCs w:val="22"/>
        </w:rPr>
        <w:t xml:space="preserve"> 2022</w:t>
      </w:r>
      <w:r w:rsidR="00A41315" w:rsidRPr="00A41315">
        <w:rPr>
          <w:rFonts w:asciiTheme="minorHAnsi" w:hAnsiTheme="minorHAnsi"/>
          <w:bCs/>
          <w:sz w:val="22"/>
          <w:szCs w:val="22"/>
        </w:rPr>
        <w:t>: Představení potřeb členů Teplárenského sdružení ČR, Svazu chemického průmyslu ČR, Ocelářské unie, a.s.</w:t>
      </w:r>
    </w:p>
    <w:p w14:paraId="7AC7C128" w14:textId="238917EA" w:rsidR="00A41315" w:rsidRPr="00A41315" w:rsidRDefault="00C95129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Dne </w:t>
      </w:r>
      <w:r w:rsidR="00A41315" w:rsidRPr="00A41315">
        <w:rPr>
          <w:rFonts w:asciiTheme="minorHAnsi" w:hAnsiTheme="minorHAnsi"/>
          <w:bCs/>
          <w:sz w:val="22"/>
          <w:szCs w:val="22"/>
        </w:rPr>
        <w:t>20. června</w:t>
      </w:r>
      <w:r>
        <w:rPr>
          <w:rFonts w:asciiTheme="minorHAnsi" w:hAnsiTheme="minorHAnsi"/>
          <w:bCs/>
          <w:sz w:val="22"/>
          <w:szCs w:val="22"/>
        </w:rPr>
        <w:t xml:space="preserve"> 2022</w:t>
      </w:r>
      <w:r w:rsidR="00A41315" w:rsidRPr="00A41315">
        <w:rPr>
          <w:rFonts w:asciiTheme="minorHAnsi" w:hAnsiTheme="minorHAnsi"/>
          <w:bCs/>
          <w:sz w:val="22"/>
          <w:szCs w:val="22"/>
        </w:rPr>
        <w:t>: Představení záměru Moravskoslezského kraje, Ústeckého kraje, Jihočeského kraje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A41315" w:rsidRPr="00A41315">
        <w:rPr>
          <w:rFonts w:asciiTheme="minorHAnsi" w:hAnsiTheme="minorHAnsi"/>
          <w:bCs/>
          <w:sz w:val="22"/>
          <w:szCs w:val="22"/>
        </w:rPr>
        <w:t>možností podpory MŽP/SFŽP, MPO</w:t>
      </w:r>
      <w:r w:rsidR="008814CE">
        <w:rPr>
          <w:rFonts w:asciiTheme="minorHAnsi" w:hAnsiTheme="minorHAnsi"/>
          <w:bCs/>
          <w:sz w:val="22"/>
          <w:szCs w:val="22"/>
        </w:rPr>
        <w:t>.</w:t>
      </w:r>
    </w:p>
    <w:p w14:paraId="5C4A09F9" w14:textId="4CBFBB9B" w:rsidR="00A41315" w:rsidRPr="00A41315" w:rsidRDefault="00C95129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Dne </w:t>
      </w:r>
      <w:r w:rsidR="00A41315" w:rsidRPr="00A41315">
        <w:rPr>
          <w:rFonts w:asciiTheme="minorHAnsi" w:hAnsiTheme="minorHAnsi"/>
          <w:bCs/>
          <w:sz w:val="22"/>
          <w:szCs w:val="22"/>
        </w:rPr>
        <w:t>23. září</w:t>
      </w:r>
      <w:r>
        <w:rPr>
          <w:rFonts w:asciiTheme="minorHAnsi" w:hAnsiTheme="minorHAnsi"/>
          <w:bCs/>
          <w:sz w:val="22"/>
          <w:szCs w:val="22"/>
        </w:rPr>
        <w:t xml:space="preserve"> 2022</w:t>
      </w:r>
      <w:r w:rsidR="00A41315" w:rsidRPr="00A41315">
        <w:rPr>
          <w:rFonts w:asciiTheme="minorHAnsi" w:hAnsiTheme="minorHAnsi"/>
          <w:bCs/>
          <w:sz w:val="22"/>
          <w:szCs w:val="22"/>
        </w:rPr>
        <w:t xml:space="preserve">: Představení strategie </w:t>
      </w:r>
      <w:proofErr w:type="spellStart"/>
      <w:r w:rsidR="00A41315" w:rsidRPr="00A41315">
        <w:rPr>
          <w:rFonts w:asciiTheme="minorHAnsi" w:hAnsiTheme="minorHAnsi"/>
          <w:bCs/>
          <w:sz w:val="22"/>
          <w:szCs w:val="22"/>
        </w:rPr>
        <w:t>Sev.en</w:t>
      </w:r>
      <w:proofErr w:type="spellEnd"/>
      <w:r w:rsidR="00A41315" w:rsidRPr="00A41315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A41315" w:rsidRPr="00A41315">
        <w:rPr>
          <w:rFonts w:asciiTheme="minorHAnsi" w:hAnsiTheme="minorHAnsi"/>
          <w:bCs/>
          <w:sz w:val="22"/>
          <w:szCs w:val="22"/>
        </w:rPr>
        <w:t>SUAS</w:t>
      </w:r>
      <w:proofErr w:type="spellEnd"/>
      <w:r w:rsidR="00A41315" w:rsidRPr="00A41315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A41315" w:rsidRPr="00A41315">
        <w:rPr>
          <w:rFonts w:asciiTheme="minorHAnsi" w:hAnsiTheme="minorHAnsi"/>
          <w:bCs/>
          <w:sz w:val="22"/>
          <w:szCs w:val="22"/>
        </w:rPr>
        <w:t>Veolia</w:t>
      </w:r>
      <w:proofErr w:type="spellEnd"/>
      <w:r w:rsidR="00A41315" w:rsidRPr="00A41315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A41315" w:rsidRPr="00A41315">
        <w:rPr>
          <w:rFonts w:asciiTheme="minorHAnsi" w:hAnsiTheme="minorHAnsi"/>
          <w:bCs/>
          <w:sz w:val="22"/>
          <w:szCs w:val="22"/>
        </w:rPr>
        <w:t>Innogy</w:t>
      </w:r>
      <w:proofErr w:type="spellEnd"/>
      <w:r w:rsidR="00A41315" w:rsidRPr="00A41315">
        <w:rPr>
          <w:rFonts w:asciiTheme="minorHAnsi" w:hAnsiTheme="minorHAnsi"/>
          <w:bCs/>
          <w:sz w:val="22"/>
          <w:szCs w:val="22"/>
        </w:rPr>
        <w:t>, PRE</w:t>
      </w:r>
      <w:r w:rsidR="008814CE">
        <w:rPr>
          <w:rFonts w:asciiTheme="minorHAnsi" w:hAnsiTheme="minorHAnsi"/>
          <w:bCs/>
          <w:sz w:val="22"/>
          <w:szCs w:val="22"/>
        </w:rPr>
        <w:t>.</w:t>
      </w:r>
    </w:p>
    <w:p w14:paraId="1F6D8BC5" w14:textId="5AD8EB11" w:rsidR="00A41315" w:rsidRPr="00A41315" w:rsidRDefault="00C95129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Dne </w:t>
      </w:r>
      <w:r w:rsidR="00A41315" w:rsidRPr="00A41315">
        <w:rPr>
          <w:rFonts w:asciiTheme="minorHAnsi" w:hAnsiTheme="minorHAnsi"/>
          <w:bCs/>
          <w:sz w:val="22"/>
          <w:szCs w:val="22"/>
        </w:rPr>
        <w:t>17. října</w:t>
      </w:r>
      <w:r>
        <w:rPr>
          <w:rFonts w:asciiTheme="minorHAnsi" w:hAnsiTheme="minorHAnsi"/>
          <w:bCs/>
          <w:sz w:val="22"/>
          <w:szCs w:val="22"/>
        </w:rPr>
        <w:t xml:space="preserve"> 2022</w:t>
      </w:r>
      <w:r w:rsidR="00A41315" w:rsidRPr="00A41315">
        <w:rPr>
          <w:rFonts w:asciiTheme="minorHAnsi" w:hAnsiTheme="minorHAnsi"/>
          <w:bCs/>
          <w:sz w:val="22"/>
          <w:szCs w:val="22"/>
        </w:rPr>
        <w:t xml:space="preserve">: Prezentace českých designů </w:t>
      </w:r>
      <w:proofErr w:type="spellStart"/>
      <w:r w:rsidR="00A41315" w:rsidRPr="00A41315">
        <w:rPr>
          <w:rFonts w:asciiTheme="minorHAnsi" w:hAnsiTheme="minorHAnsi"/>
          <w:bCs/>
          <w:sz w:val="22"/>
          <w:szCs w:val="22"/>
        </w:rPr>
        <w:t>ZČÚ</w:t>
      </w:r>
      <w:proofErr w:type="spellEnd"/>
      <w:r w:rsidR="00A41315" w:rsidRPr="00A41315">
        <w:rPr>
          <w:rFonts w:asciiTheme="minorHAnsi" w:hAnsiTheme="minorHAnsi"/>
          <w:bCs/>
          <w:sz w:val="22"/>
          <w:szCs w:val="22"/>
        </w:rPr>
        <w:t>/</w:t>
      </w:r>
      <w:proofErr w:type="spellStart"/>
      <w:r w:rsidR="00A41315" w:rsidRPr="00A41315">
        <w:rPr>
          <w:rFonts w:asciiTheme="minorHAnsi" w:hAnsiTheme="minorHAnsi"/>
          <w:bCs/>
          <w:sz w:val="22"/>
          <w:szCs w:val="22"/>
        </w:rPr>
        <w:t>CIIRC</w:t>
      </w:r>
      <w:proofErr w:type="spellEnd"/>
      <w:r w:rsidR="00A41315" w:rsidRPr="00A41315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A41315" w:rsidRPr="00A41315">
        <w:rPr>
          <w:rFonts w:asciiTheme="minorHAnsi" w:hAnsiTheme="minorHAnsi"/>
          <w:bCs/>
          <w:sz w:val="22"/>
          <w:szCs w:val="22"/>
        </w:rPr>
        <w:t>Teplator</w:t>
      </w:r>
      <w:proofErr w:type="spellEnd"/>
      <w:r w:rsidR="00A41315" w:rsidRPr="00A41315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A41315" w:rsidRPr="00A41315">
        <w:rPr>
          <w:rFonts w:asciiTheme="minorHAnsi" w:hAnsiTheme="minorHAnsi"/>
          <w:bCs/>
          <w:sz w:val="22"/>
          <w:szCs w:val="22"/>
        </w:rPr>
        <w:t>Witkowitz</w:t>
      </w:r>
      <w:proofErr w:type="spellEnd"/>
      <w:r w:rsidR="00A41315" w:rsidRPr="00A41315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A41315" w:rsidRPr="00A41315">
        <w:rPr>
          <w:rFonts w:asciiTheme="minorHAnsi" w:hAnsiTheme="minorHAnsi"/>
          <w:bCs/>
          <w:sz w:val="22"/>
          <w:szCs w:val="22"/>
        </w:rPr>
        <w:t>SMR</w:t>
      </w:r>
      <w:proofErr w:type="spellEnd"/>
      <w:r w:rsidR="00A41315" w:rsidRPr="00A41315">
        <w:rPr>
          <w:rFonts w:asciiTheme="minorHAnsi" w:hAnsiTheme="minorHAnsi"/>
          <w:bCs/>
          <w:sz w:val="22"/>
          <w:szCs w:val="22"/>
        </w:rPr>
        <w:t xml:space="preserve"> David, CVŘ CR-100 Sekce pro vědu, výzkum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A41315" w:rsidRPr="00A41315">
        <w:rPr>
          <w:rFonts w:asciiTheme="minorHAnsi" w:hAnsiTheme="minorHAnsi"/>
          <w:bCs/>
          <w:sz w:val="22"/>
          <w:szCs w:val="22"/>
        </w:rPr>
        <w:t>inovace při Úřadu vlády ČR</w:t>
      </w:r>
      <w:r w:rsidR="008814CE">
        <w:rPr>
          <w:rFonts w:asciiTheme="minorHAnsi" w:hAnsiTheme="minorHAnsi"/>
          <w:bCs/>
          <w:sz w:val="22"/>
          <w:szCs w:val="22"/>
        </w:rPr>
        <w:t>.</w:t>
      </w:r>
    </w:p>
    <w:p w14:paraId="4897D723" w14:textId="0081E882" w:rsidR="00A41315" w:rsidRPr="00A41315" w:rsidRDefault="00C95129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Dne </w:t>
      </w:r>
      <w:r w:rsidR="00A41315" w:rsidRPr="00A41315">
        <w:rPr>
          <w:rFonts w:asciiTheme="minorHAnsi" w:hAnsiTheme="minorHAnsi"/>
          <w:bCs/>
          <w:sz w:val="22"/>
          <w:szCs w:val="22"/>
        </w:rPr>
        <w:t>30. listopadu</w:t>
      </w:r>
      <w:r>
        <w:rPr>
          <w:rFonts w:asciiTheme="minorHAnsi" w:hAnsiTheme="minorHAnsi"/>
          <w:bCs/>
          <w:sz w:val="22"/>
          <w:szCs w:val="22"/>
        </w:rPr>
        <w:t xml:space="preserve"> 2022</w:t>
      </w:r>
      <w:r w:rsidR="00A41315" w:rsidRPr="00A41315">
        <w:rPr>
          <w:rFonts w:asciiTheme="minorHAnsi" w:hAnsiTheme="minorHAnsi"/>
          <w:bCs/>
          <w:sz w:val="22"/>
          <w:szCs w:val="22"/>
        </w:rPr>
        <w:t>: Možnosti financování, Evropská investiční banka, UK Export Finance, ČSOB, Česká spořitelna, Národní rozvojový fond</w:t>
      </w:r>
      <w:r w:rsidR="008814CE">
        <w:rPr>
          <w:rFonts w:asciiTheme="minorHAnsi" w:hAnsiTheme="minorHAnsi"/>
          <w:bCs/>
          <w:sz w:val="22"/>
          <w:szCs w:val="22"/>
        </w:rPr>
        <w:t>.</w:t>
      </w:r>
    </w:p>
    <w:p w14:paraId="1A535264" w14:textId="268774D4" w:rsidR="00346CA2" w:rsidRDefault="00C95129" w:rsidP="00156495">
      <w:pPr>
        <w:spacing w:before="160" w:line="293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 xml:space="preserve">Dne </w:t>
      </w:r>
      <w:r w:rsidR="00A41315" w:rsidRPr="00A41315">
        <w:rPr>
          <w:rFonts w:asciiTheme="minorHAnsi" w:hAnsiTheme="minorHAnsi"/>
          <w:bCs/>
          <w:sz w:val="22"/>
          <w:szCs w:val="22"/>
        </w:rPr>
        <w:t>20. prosince</w:t>
      </w:r>
      <w:r>
        <w:rPr>
          <w:rFonts w:asciiTheme="minorHAnsi" w:hAnsiTheme="minorHAnsi"/>
          <w:bCs/>
          <w:sz w:val="22"/>
          <w:szCs w:val="22"/>
        </w:rPr>
        <w:t xml:space="preserve"> 2022</w:t>
      </w:r>
      <w:r w:rsidR="00A41315" w:rsidRPr="00A41315">
        <w:rPr>
          <w:rFonts w:asciiTheme="minorHAnsi" w:hAnsiTheme="minorHAnsi"/>
          <w:bCs/>
          <w:sz w:val="22"/>
          <w:szCs w:val="22"/>
        </w:rPr>
        <w:t>: Dodavatelský řetězec, jednání MPO s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A41315" w:rsidRPr="00A41315">
        <w:rPr>
          <w:rFonts w:asciiTheme="minorHAnsi" w:hAnsiTheme="minorHAnsi"/>
          <w:bCs/>
          <w:sz w:val="22"/>
          <w:szCs w:val="22"/>
        </w:rPr>
        <w:t>dodavateli SMR, perspektivy ŠKODA JS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A41315" w:rsidRPr="00A41315">
        <w:rPr>
          <w:rFonts w:asciiTheme="minorHAnsi" w:hAnsiTheme="minorHAnsi"/>
          <w:bCs/>
          <w:sz w:val="22"/>
          <w:szCs w:val="22"/>
        </w:rPr>
        <w:t xml:space="preserve">SAFICHEM PROJEKTY GROUP pro dodávky </w:t>
      </w:r>
      <w:proofErr w:type="spellStart"/>
      <w:r w:rsidR="00A41315" w:rsidRPr="00A41315">
        <w:rPr>
          <w:rFonts w:asciiTheme="minorHAnsi" w:hAnsiTheme="minorHAnsi"/>
          <w:bCs/>
          <w:sz w:val="22"/>
          <w:szCs w:val="22"/>
        </w:rPr>
        <w:t>SMR</w:t>
      </w:r>
      <w:proofErr w:type="spellEnd"/>
      <w:r w:rsidR="00A41315" w:rsidRPr="00A41315">
        <w:rPr>
          <w:rFonts w:asciiTheme="minorHAnsi" w:hAnsiTheme="minorHAnsi"/>
          <w:bCs/>
          <w:sz w:val="22"/>
          <w:szCs w:val="22"/>
        </w:rPr>
        <w:t xml:space="preserve">, aktivity </w:t>
      </w:r>
      <w:proofErr w:type="spellStart"/>
      <w:r w:rsidR="00A41315" w:rsidRPr="00A41315">
        <w:rPr>
          <w:rFonts w:asciiTheme="minorHAnsi" w:hAnsiTheme="minorHAnsi"/>
          <w:bCs/>
          <w:sz w:val="22"/>
          <w:szCs w:val="22"/>
        </w:rPr>
        <w:t>CPIA</w:t>
      </w:r>
      <w:proofErr w:type="spellEnd"/>
      <w:r w:rsidR="00A41315" w:rsidRPr="00A41315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A41315" w:rsidRPr="00A41315">
        <w:rPr>
          <w:rFonts w:asciiTheme="minorHAnsi" w:hAnsiTheme="minorHAnsi"/>
          <w:bCs/>
          <w:sz w:val="22"/>
          <w:szCs w:val="22"/>
        </w:rPr>
        <w:t>CzechTrade</w:t>
      </w:r>
      <w:proofErr w:type="spellEnd"/>
      <w:r w:rsidR="00A41315" w:rsidRPr="00A41315">
        <w:rPr>
          <w:rFonts w:asciiTheme="minorHAnsi" w:hAnsiTheme="minorHAnsi"/>
          <w:bCs/>
          <w:sz w:val="22"/>
          <w:szCs w:val="22"/>
        </w:rPr>
        <w:t xml:space="preserve">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A41315" w:rsidRPr="00A41315">
        <w:rPr>
          <w:rFonts w:asciiTheme="minorHAnsi" w:hAnsiTheme="minorHAnsi"/>
          <w:bCs/>
          <w:sz w:val="22"/>
          <w:szCs w:val="22"/>
        </w:rPr>
        <w:t>projekty ekonomické diplomacie (PROPED), možnosti koordinace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="00A41315" w:rsidRPr="00A41315">
        <w:rPr>
          <w:rFonts w:asciiTheme="minorHAnsi" w:hAnsiTheme="minorHAnsi"/>
          <w:bCs/>
          <w:sz w:val="22"/>
          <w:szCs w:val="22"/>
        </w:rPr>
        <w:t>prezentace připravenosti dodavatelského řetězce.</w:t>
      </w:r>
    </w:p>
    <w:p w14:paraId="51A6FDB6" w14:textId="4BE3450F" w:rsidR="0085511B" w:rsidRPr="00C56410" w:rsidRDefault="0085511B" w:rsidP="00473EA8">
      <w:pPr>
        <w:pStyle w:val="Odstavecseseznamem"/>
        <w:numPr>
          <w:ilvl w:val="0"/>
          <w:numId w:val="6"/>
        </w:numPr>
        <w:spacing w:before="160" w:line="293" w:lineRule="auto"/>
        <w:contextualSpacing w:val="0"/>
        <w:jc w:val="both"/>
        <w:rPr>
          <w:rFonts w:asciiTheme="minorHAnsi" w:hAnsiTheme="minorHAnsi"/>
          <w:b/>
          <w:bCs/>
          <w:u w:val="single"/>
        </w:rPr>
      </w:pPr>
      <w:r w:rsidRPr="00C56410">
        <w:rPr>
          <w:rFonts w:asciiTheme="minorHAnsi" w:hAnsiTheme="minorHAnsi"/>
          <w:b/>
          <w:bCs/>
          <w:u w:val="single"/>
        </w:rPr>
        <w:t>Pracovní skupina pro zajištění lidských zdrojů pro rozvoj jaderné energetiky</w:t>
      </w:r>
      <w:r w:rsidR="001A19EF">
        <w:rPr>
          <w:rFonts w:asciiTheme="minorHAnsi" w:hAnsiTheme="minorHAnsi"/>
          <w:b/>
          <w:bCs/>
          <w:u w:val="single"/>
        </w:rPr>
        <w:t xml:space="preserve"> PS5</w:t>
      </w:r>
    </w:p>
    <w:p w14:paraId="386F832F" w14:textId="0BE8EB0C" w:rsidR="00BF7548" w:rsidRPr="00C56410" w:rsidRDefault="00BF7548" w:rsidP="00156495">
      <w:pPr>
        <w:pStyle w:val="Odstavecseseznamem"/>
        <w:spacing w:before="160" w:line="293" w:lineRule="auto"/>
        <w:ind w:left="426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56410">
        <w:rPr>
          <w:rFonts w:asciiTheme="minorHAnsi" w:hAnsiTheme="minorHAnsi"/>
          <w:bCs/>
          <w:sz w:val="22"/>
          <w:szCs w:val="22"/>
          <w:u w:val="single"/>
        </w:rPr>
        <w:t>Hodnocené období:</w:t>
      </w:r>
      <w:r w:rsidR="00802B55">
        <w:rPr>
          <w:rFonts w:asciiTheme="minorHAnsi" w:hAnsiTheme="minorHAnsi"/>
          <w:bCs/>
          <w:sz w:val="22"/>
          <w:szCs w:val="22"/>
        </w:rPr>
        <w:t xml:space="preserve"> z</w:t>
      </w:r>
      <w:r w:rsidRPr="00C56410">
        <w:rPr>
          <w:rFonts w:asciiTheme="minorHAnsi" w:hAnsiTheme="minorHAnsi"/>
          <w:bCs/>
          <w:sz w:val="22"/>
          <w:szCs w:val="22"/>
        </w:rPr>
        <w:t xml:space="preserve">áří </w:t>
      </w:r>
      <w:proofErr w:type="gramStart"/>
      <w:r w:rsidRPr="00C56410">
        <w:rPr>
          <w:rFonts w:asciiTheme="minorHAnsi" w:hAnsiTheme="minorHAnsi"/>
          <w:bCs/>
          <w:sz w:val="22"/>
          <w:szCs w:val="22"/>
        </w:rPr>
        <w:t>2022 – prosinec</w:t>
      </w:r>
      <w:proofErr w:type="gramEnd"/>
      <w:r w:rsidRPr="00C56410">
        <w:rPr>
          <w:rFonts w:asciiTheme="minorHAnsi" w:hAnsiTheme="minorHAnsi"/>
          <w:bCs/>
          <w:sz w:val="22"/>
          <w:szCs w:val="22"/>
        </w:rPr>
        <w:t xml:space="preserve"> 2022</w:t>
      </w:r>
    </w:p>
    <w:p w14:paraId="29087625" w14:textId="4C21FE70" w:rsidR="00BF7548" w:rsidRPr="00C56410" w:rsidRDefault="00BF7548" w:rsidP="00156495">
      <w:pPr>
        <w:pStyle w:val="Odstavecseseznamem"/>
        <w:spacing w:before="160" w:line="293" w:lineRule="auto"/>
        <w:ind w:left="426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56410">
        <w:rPr>
          <w:rFonts w:asciiTheme="minorHAnsi" w:hAnsiTheme="minorHAnsi"/>
          <w:bCs/>
          <w:sz w:val="22"/>
          <w:szCs w:val="22"/>
        </w:rPr>
        <w:t xml:space="preserve">Vznik (založení) Pracovní skupiny: </w:t>
      </w:r>
    </w:p>
    <w:p w14:paraId="44A93BA3" w14:textId="45B5C197" w:rsidR="00BF7548" w:rsidRPr="00C56410" w:rsidRDefault="00BF7548" w:rsidP="00156495">
      <w:pPr>
        <w:pStyle w:val="Odstavecseseznamem"/>
        <w:spacing w:before="160" w:line="293" w:lineRule="auto"/>
        <w:ind w:left="426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56410">
        <w:rPr>
          <w:rFonts w:asciiTheme="minorHAnsi" w:hAnsiTheme="minorHAnsi"/>
          <w:bCs/>
          <w:sz w:val="22"/>
          <w:szCs w:val="22"/>
        </w:rPr>
        <w:t xml:space="preserve">Pracovní skupina byla ustanovena na zasedání Stálého výboru pro výstavbu nových jaderných zdrojů (dále také SVVNJZ) </w:t>
      </w:r>
      <w:r w:rsidR="00314219">
        <w:rPr>
          <w:rFonts w:asciiTheme="minorHAnsi" w:hAnsiTheme="minorHAnsi"/>
          <w:bCs/>
          <w:sz w:val="22"/>
          <w:szCs w:val="22"/>
        </w:rPr>
        <w:t xml:space="preserve">dne </w:t>
      </w:r>
      <w:r w:rsidRPr="00C56410">
        <w:rPr>
          <w:rFonts w:asciiTheme="minorHAnsi" w:hAnsiTheme="minorHAnsi"/>
          <w:bCs/>
          <w:sz w:val="22"/>
          <w:szCs w:val="22"/>
        </w:rPr>
        <w:t xml:space="preserve">20. září 2022. </w:t>
      </w:r>
    </w:p>
    <w:p w14:paraId="2B61C005" w14:textId="77777777" w:rsidR="00BF7548" w:rsidRPr="00C56410" w:rsidRDefault="00BF7548" w:rsidP="00156495">
      <w:pPr>
        <w:pStyle w:val="Odstavecseseznamem"/>
        <w:spacing w:before="160" w:line="293" w:lineRule="auto"/>
        <w:ind w:left="426"/>
        <w:contextualSpacing w:val="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C56410">
        <w:rPr>
          <w:rFonts w:asciiTheme="minorHAnsi" w:hAnsiTheme="minorHAnsi"/>
          <w:bCs/>
          <w:sz w:val="22"/>
          <w:szCs w:val="22"/>
          <w:u w:val="single"/>
        </w:rPr>
        <w:t xml:space="preserve">Členské subjekty: </w:t>
      </w:r>
    </w:p>
    <w:p w14:paraId="6010578E" w14:textId="7EF158CF" w:rsidR="00BF7548" w:rsidRPr="00C56410" w:rsidRDefault="00BF7548" w:rsidP="00156495">
      <w:pPr>
        <w:pStyle w:val="Odstavecseseznamem"/>
        <w:spacing w:before="160" w:line="293" w:lineRule="auto"/>
        <w:ind w:left="426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56410">
        <w:rPr>
          <w:rFonts w:asciiTheme="minorHAnsi" w:hAnsiTheme="minorHAnsi"/>
          <w:bCs/>
          <w:sz w:val="22"/>
          <w:szCs w:val="22"/>
        </w:rPr>
        <w:t>Členy PS jsou MŠMT, MPO, MPSV, ČEZ/</w:t>
      </w:r>
      <w:proofErr w:type="spellStart"/>
      <w:r w:rsidRPr="00C56410">
        <w:rPr>
          <w:rFonts w:asciiTheme="minorHAnsi" w:hAnsiTheme="minorHAnsi"/>
          <w:bCs/>
          <w:sz w:val="22"/>
          <w:szCs w:val="22"/>
        </w:rPr>
        <w:t>EDUII</w:t>
      </w:r>
      <w:proofErr w:type="spellEnd"/>
      <w:r w:rsidRPr="00C56410">
        <w:rPr>
          <w:rFonts w:asciiTheme="minorHAnsi" w:hAnsiTheme="minorHAnsi"/>
          <w:bCs/>
          <w:sz w:val="22"/>
          <w:szCs w:val="22"/>
        </w:rPr>
        <w:t xml:space="preserve">, </w:t>
      </w:r>
      <w:r w:rsidR="005D5BE1" w:rsidRPr="005D5BE1">
        <w:rPr>
          <w:rFonts w:asciiTheme="minorHAnsi" w:hAnsiTheme="minorHAnsi"/>
          <w:bCs/>
          <w:sz w:val="22"/>
          <w:szCs w:val="22"/>
        </w:rPr>
        <w:t>Český svaz zaměstnavatelů v</w:t>
      </w:r>
      <w:r w:rsidR="00314219">
        <w:rPr>
          <w:rFonts w:asciiTheme="minorHAnsi" w:hAnsiTheme="minorHAnsi"/>
          <w:bCs/>
          <w:sz w:val="22"/>
          <w:szCs w:val="22"/>
        </w:rPr>
        <w:t> </w:t>
      </w:r>
      <w:r w:rsidR="005D5BE1" w:rsidRPr="005D5BE1">
        <w:rPr>
          <w:rFonts w:asciiTheme="minorHAnsi" w:hAnsiTheme="minorHAnsi"/>
          <w:bCs/>
          <w:sz w:val="22"/>
          <w:szCs w:val="22"/>
        </w:rPr>
        <w:t>energetice</w:t>
      </w:r>
      <w:r w:rsidR="00314219">
        <w:rPr>
          <w:rFonts w:asciiTheme="minorHAnsi" w:hAnsiTheme="minorHAnsi"/>
          <w:bCs/>
          <w:sz w:val="22"/>
          <w:szCs w:val="22"/>
        </w:rPr>
        <w:t xml:space="preserve"> (</w:t>
      </w:r>
      <w:proofErr w:type="spellStart"/>
      <w:r w:rsidR="00314219" w:rsidRPr="00C56410">
        <w:rPr>
          <w:rFonts w:asciiTheme="minorHAnsi" w:hAnsiTheme="minorHAnsi"/>
          <w:bCs/>
          <w:sz w:val="22"/>
          <w:szCs w:val="22"/>
        </w:rPr>
        <w:t>ČSZE</w:t>
      </w:r>
      <w:proofErr w:type="spellEnd"/>
      <w:r w:rsidR="005D5BE1">
        <w:rPr>
          <w:rFonts w:asciiTheme="minorHAnsi" w:hAnsiTheme="minorHAnsi"/>
          <w:bCs/>
          <w:sz w:val="22"/>
          <w:szCs w:val="22"/>
        </w:rPr>
        <w:t>)</w:t>
      </w:r>
      <w:r w:rsidRPr="00C56410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C56410">
        <w:rPr>
          <w:rFonts w:asciiTheme="minorHAnsi" w:hAnsiTheme="minorHAnsi"/>
          <w:bCs/>
          <w:sz w:val="22"/>
          <w:szCs w:val="22"/>
        </w:rPr>
        <w:t>CPIA</w:t>
      </w:r>
      <w:proofErr w:type="spellEnd"/>
      <w:r w:rsidRPr="00C56410">
        <w:rPr>
          <w:rFonts w:asciiTheme="minorHAnsi" w:hAnsiTheme="minorHAnsi"/>
          <w:bCs/>
          <w:sz w:val="22"/>
          <w:szCs w:val="22"/>
        </w:rPr>
        <w:t xml:space="preserve">, </w:t>
      </w:r>
      <w:r w:rsidR="005D5BE1">
        <w:rPr>
          <w:rFonts w:asciiTheme="minorHAnsi" w:hAnsiTheme="minorHAnsi"/>
          <w:bCs/>
          <w:sz w:val="22"/>
          <w:szCs w:val="22"/>
        </w:rPr>
        <w:t>Svaz podnikatelů ve stavebnictví</w:t>
      </w:r>
      <w:r w:rsidR="00314219">
        <w:rPr>
          <w:rFonts w:asciiTheme="minorHAnsi" w:hAnsiTheme="minorHAnsi"/>
          <w:bCs/>
          <w:sz w:val="22"/>
          <w:szCs w:val="22"/>
        </w:rPr>
        <w:t xml:space="preserve"> (</w:t>
      </w:r>
      <w:proofErr w:type="spellStart"/>
      <w:r w:rsidR="00314219" w:rsidRPr="00C56410">
        <w:rPr>
          <w:rFonts w:asciiTheme="minorHAnsi" w:hAnsiTheme="minorHAnsi"/>
          <w:bCs/>
          <w:sz w:val="22"/>
          <w:szCs w:val="22"/>
        </w:rPr>
        <w:t>SPS</w:t>
      </w:r>
      <w:proofErr w:type="spellEnd"/>
      <w:r w:rsidR="005D5BE1">
        <w:rPr>
          <w:rFonts w:asciiTheme="minorHAnsi" w:hAnsiTheme="minorHAnsi"/>
          <w:bCs/>
          <w:sz w:val="22"/>
          <w:szCs w:val="22"/>
        </w:rPr>
        <w:t>)</w:t>
      </w:r>
      <w:r w:rsidRPr="00C56410">
        <w:rPr>
          <w:rFonts w:asciiTheme="minorHAnsi" w:hAnsiTheme="minorHAnsi"/>
          <w:bCs/>
          <w:sz w:val="22"/>
          <w:szCs w:val="22"/>
        </w:rPr>
        <w:t xml:space="preserve">, </w:t>
      </w:r>
      <w:r w:rsidR="005D5BE1">
        <w:rPr>
          <w:rFonts w:asciiTheme="minorHAnsi" w:hAnsiTheme="minorHAnsi"/>
          <w:bCs/>
          <w:sz w:val="22"/>
          <w:szCs w:val="22"/>
        </w:rPr>
        <w:t>Hospodářská komora ČR</w:t>
      </w:r>
      <w:r w:rsidR="00314219">
        <w:rPr>
          <w:rFonts w:asciiTheme="minorHAnsi" w:hAnsiTheme="minorHAnsi"/>
          <w:bCs/>
          <w:sz w:val="22"/>
          <w:szCs w:val="22"/>
        </w:rPr>
        <w:t xml:space="preserve"> (</w:t>
      </w:r>
      <w:proofErr w:type="spellStart"/>
      <w:r w:rsidR="00314219" w:rsidRPr="00C56410">
        <w:rPr>
          <w:rFonts w:asciiTheme="minorHAnsi" w:hAnsiTheme="minorHAnsi"/>
          <w:bCs/>
          <w:sz w:val="22"/>
          <w:szCs w:val="22"/>
        </w:rPr>
        <w:t>HKČR</w:t>
      </w:r>
      <w:proofErr w:type="spellEnd"/>
      <w:r w:rsidR="005D5BE1">
        <w:rPr>
          <w:rFonts w:asciiTheme="minorHAnsi" w:hAnsiTheme="minorHAnsi"/>
          <w:bCs/>
          <w:sz w:val="22"/>
          <w:szCs w:val="22"/>
        </w:rPr>
        <w:t xml:space="preserve">) </w:t>
      </w:r>
      <w:r w:rsidRPr="00C56410">
        <w:rPr>
          <w:rFonts w:asciiTheme="minorHAnsi" w:hAnsiTheme="minorHAnsi"/>
          <w:bCs/>
          <w:sz w:val="22"/>
          <w:szCs w:val="22"/>
        </w:rPr>
        <w:t>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>zástupci VŠ. Jednání se</w:t>
      </w:r>
      <w:r w:rsidR="005D5BE1" w:rsidRPr="005D5BE1">
        <w:t xml:space="preserve"> </w:t>
      </w:r>
      <w:r w:rsidRPr="00C56410">
        <w:rPr>
          <w:rFonts w:asciiTheme="minorHAnsi" w:hAnsiTheme="minorHAnsi"/>
          <w:bCs/>
          <w:sz w:val="22"/>
          <w:szCs w:val="22"/>
        </w:rPr>
        <w:t xml:space="preserve">dále účastní zástupci krajů. </w:t>
      </w:r>
    </w:p>
    <w:p w14:paraId="6DFBD752" w14:textId="6E133FF5" w:rsidR="00BF7548" w:rsidRPr="00C56410" w:rsidRDefault="00BF7548" w:rsidP="00156495">
      <w:pPr>
        <w:pStyle w:val="Odstavecseseznamem"/>
        <w:spacing w:before="160" w:line="293" w:lineRule="auto"/>
        <w:ind w:left="426"/>
        <w:contextualSpacing w:val="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C56410">
        <w:rPr>
          <w:rFonts w:asciiTheme="minorHAnsi" w:hAnsiTheme="minorHAnsi"/>
          <w:bCs/>
          <w:sz w:val="22"/>
          <w:szCs w:val="22"/>
          <w:u w:val="single"/>
        </w:rPr>
        <w:t xml:space="preserve">Cíle pracovní skupiny: </w:t>
      </w:r>
    </w:p>
    <w:p w14:paraId="718064D7" w14:textId="2C337171" w:rsidR="00BF7548" w:rsidRPr="00C56410" w:rsidRDefault="00BF7548" w:rsidP="00156495">
      <w:pPr>
        <w:pStyle w:val="Odstavecseseznamem"/>
        <w:spacing w:before="160" w:line="293" w:lineRule="auto"/>
        <w:ind w:left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56410">
        <w:rPr>
          <w:rFonts w:asciiTheme="minorHAnsi" w:hAnsiTheme="minorHAnsi"/>
          <w:bCs/>
          <w:sz w:val="22"/>
          <w:szCs w:val="22"/>
        </w:rPr>
        <w:t>Příprava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 xml:space="preserve">podpora </w:t>
      </w:r>
      <w:proofErr w:type="spellStart"/>
      <w:r w:rsidRPr="00C56410">
        <w:rPr>
          <w:rFonts w:asciiTheme="minorHAnsi" w:hAnsiTheme="minorHAnsi"/>
          <w:bCs/>
          <w:sz w:val="22"/>
          <w:szCs w:val="22"/>
        </w:rPr>
        <w:t>roadmap</w:t>
      </w:r>
      <w:proofErr w:type="spellEnd"/>
      <w:r w:rsidRPr="00C56410">
        <w:rPr>
          <w:rFonts w:asciiTheme="minorHAnsi" w:hAnsiTheme="minorHAnsi"/>
          <w:bCs/>
          <w:sz w:val="22"/>
          <w:szCs w:val="22"/>
        </w:rPr>
        <w:t xml:space="preserve">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 xml:space="preserve">komunikace mezi zúčastněnými stranami. </w:t>
      </w:r>
    </w:p>
    <w:p w14:paraId="65A97647" w14:textId="7EEAF076" w:rsidR="00BF7548" w:rsidRPr="00C56410" w:rsidRDefault="00BF7548" w:rsidP="00156495">
      <w:pPr>
        <w:pStyle w:val="Odstavecseseznamem"/>
        <w:spacing w:before="160" w:line="293" w:lineRule="auto"/>
        <w:ind w:left="567"/>
        <w:contextualSpacing w:val="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C56410">
        <w:rPr>
          <w:rFonts w:asciiTheme="minorHAnsi" w:hAnsiTheme="minorHAnsi"/>
          <w:bCs/>
          <w:sz w:val="22"/>
          <w:szCs w:val="22"/>
          <w:u w:val="single"/>
        </w:rPr>
        <w:t xml:space="preserve">Zhodnocení činnosti pracovní skupiny 2023: </w:t>
      </w:r>
    </w:p>
    <w:p w14:paraId="312B6A78" w14:textId="7CF45272" w:rsidR="00BF7548" w:rsidRPr="00C56410" w:rsidRDefault="00BF7548" w:rsidP="00156495">
      <w:pPr>
        <w:pStyle w:val="Odstavecseseznamem"/>
        <w:spacing w:before="160" w:line="293" w:lineRule="auto"/>
        <w:ind w:left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56410">
        <w:rPr>
          <w:rFonts w:asciiTheme="minorHAnsi" w:hAnsiTheme="minorHAnsi"/>
          <w:bCs/>
          <w:sz w:val="22"/>
          <w:szCs w:val="22"/>
        </w:rPr>
        <w:t>Před ustanovením pracovní skupiny proběhla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>roce 2022 mezi MPO, MŠMT dvě přípravná jednání,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>to 19. května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>30. června. Na jednání byli přizváni i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>zástupci ČEZ, CPIA, SPS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 xml:space="preserve">ČZSE. Výsledkem byl návrh </w:t>
      </w:r>
      <w:proofErr w:type="spellStart"/>
      <w:r w:rsidRPr="00C56410">
        <w:rPr>
          <w:rFonts w:asciiTheme="minorHAnsi" w:hAnsiTheme="minorHAnsi"/>
          <w:bCs/>
          <w:sz w:val="22"/>
          <w:szCs w:val="22"/>
        </w:rPr>
        <w:t>roadmap</w:t>
      </w:r>
      <w:proofErr w:type="spellEnd"/>
      <w:r w:rsidRPr="00C56410">
        <w:rPr>
          <w:rFonts w:asciiTheme="minorHAnsi" w:hAnsiTheme="minorHAnsi"/>
          <w:bCs/>
          <w:sz w:val="22"/>
          <w:szCs w:val="22"/>
        </w:rPr>
        <w:t xml:space="preserve"> pro zajištění lidských zdrojů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 xml:space="preserve">jaderné energetice. </w:t>
      </w:r>
    </w:p>
    <w:p w14:paraId="69A04DEA" w14:textId="392C154C" w:rsidR="00BF7548" w:rsidRPr="00C56410" w:rsidRDefault="00BF7548" w:rsidP="00156495">
      <w:pPr>
        <w:pStyle w:val="Odstavecseseznamem"/>
        <w:spacing w:before="160" w:line="293" w:lineRule="auto"/>
        <w:ind w:left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56410">
        <w:rPr>
          <w:rFonts w:asciiTheme="minorHAnsi" w:hAnsiTheme="minorHAnsi"/>
          <w:bCs/>
          <w:sz w:val="22"/>
          <w:szCs w:val="22"/>
        </w:rPr>
        <w:t>Vlastní činnost zahájila pracovní skupina 1. jednáním dne 23. listopadu 2022. Byl projednán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 xml:space="preserve">připomínkován návrh </w:t>
      </w:r>
      <w:proofErr w:type="spellStart"/>
      <w:r w:rsidRPr="00C56410">
        <w:rPr>
          <w:rFonts w:asciiTheme="minorHAnsi" w:hAnsiTheme="minorHAnsi"/>
          <w:bCs/>
          <w:sz w:val="22"/>
          <w:szCs w:val="22"/>
        </w:rPr>
        <w:t>roadmap</w:t>
      </w:r>
      <w:proofErr w:type="spellEnd"/>
      <w:r w:rsidRPr="00C56410">
        <w:rPr>
          <w:rFonts w:asciiTheme="minorHAnsi" w:hAnsiTheme="minorHAnsi"/>
          <w:bCs/>
          <w:sz w:val="22"/>
          <w:szCs w:val="22"/>
        </w:rPr>
        <w:t>. Byly stanoveny hlavní úkoly pro následné jednání: (i) příprava studie personálních kapacit potřebných pro výstavbu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>provoz jaderných zdrojů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>členění po profesích v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>souladu se soustavou oborů ze strany ČZSE, ČEZ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>svazů, (</w:t>
      </w:r>
      <w:proofErr w:type="spellStart"/>
      <w:r w:rsidRPr="00C56410">
        <w:rPr>
          <w:rFonts w:asciiTheme="minorHAnsi" w:hAnsiTheme="minorHAnsi"/>
          <w:bCs/>
          <w:sz w:val="22"/>
          <w:szCs w:val="22"/>
        </w:rPr>
        <w:t>ii</w:t>
      </w:r>
      <w:proofErr w:type="spellEnd"/>
      <w:r w:rsidRPr="00C56410">
        <w:rPr>
          <w:rFonts w:asciiTheme="minorHAnsi" w:hAnsiTheme="minorHAnsi"/>
          <w:bCs/>
          <w:sz w:val="22"/>
          <w:szCs w:val="22"/>
        </w:rPr>
        <w:t>) zmapování dobré praxe pro motivaci či pobídky studentům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 xml:space="preserve">pedagogům technických oborů ze strany </w:t>
      </w:r>
      <w:proofErr w:type="spellStart"/>
      <w:r w:rsidRPr="00C56410">
        <w:rPr>
          <w:rFonts w:asciiTheme="minorHAnsi" w:hAnsiTheme="minorHAnsi"/>
          <w:bCs/>
          <w:sz w:val="22"/>
          <w:szCs w:val="22"/>
        </w:rPr>
        <w:t>ČZSE</w:t>
      </w:r>
      <w:proofErr w:type="spellEnd"/>
      <w:r w:rsidRPr="00C56410">
        <w:rPr>
          <w:rFonts w:asciiTheme="minorHAnsi" w:hAnsiTheme="minorHAnsi"/>
          <w:bCs/>
          <w:sz w:val="22"/>
          <w:szCs w:val="22"/>
        </w:rPr>
        <w:t xml:space="preserve">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>(</w:t>
      </w:r>
      <w:proofErr w:type="spellStart"/>
      <w:r w:rsidRPr="00C56410">
        <w:rPr>
          <w:rFonts w:asciiTheme="minorHAnsi" w:hAnsiTheme="minorHAnsi"/>
          <w:bCs/>
          <w:sz w:val="22"/>
          <w:szCs w:val="22"/>
        </w:rPr>
        <w:t>iii</w:t>
      </w:r>
      <w:proofErr w:type="spellEnd"/>
      <w:r w:rsidRPr="00C56410">
        <w:rPr>
          <w:rFonts w:asciiTheme="minorHAnsi" w:hAnsiTheme="minorHAnsi"/>
          <w:bCs/>
          <w:sz w:val="22"/>
          <w:szCs w:val="22"/>
        </w:rPr>
        <w:t>) zmapování možností marketingové podpory pro školy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>kraje ze strany MPO a</w:t>
      </w:r>
      <w:r w:rsidR="000A060F">
        <w:rPr>
          <w:rFonts w:asciiTheme="minorHAnsi" w:hAnsiTheme="minorHAnsi"/>
          <w:bCs/>
          <w:sz w:val="22"/>
          <w:szCs w:val="22"/>
        </w:rPr>
        <w:t> </w:t>
      </w:r>
      <w:r w:rsidRPr="00C56410">
        <w:rPr>
          <w:rFonts w:asciiTheme="minorHAnsi" w:hAnsiTheme="minorHAnsi"/>
          <w:bCs/>
          <w:sz w:val="22"/>
          <w:szCs w:val="22"/>
        </w:rPr>
        <w:t xml:space="preserve">ČEZ. </w:t>
      </w:r>
    </w:p>
    <w:p w14:paraId="6F880B99" w14:textId="040FA8E9" w:rsidR="00BF7548" w:rsidRPr="00C56410" w:rsidRDefault="00044965" w:rsidP="00156495">
      <w:pPr>
        <w:pStyle w:val="Odstavecseseznamem"/>
        <w:spacing w:before="160" w:line="293" w:lineRule="auto"/>
        <w:ind w:left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044965">
        <w:rPr>
          <w:rFonts w:asciiTheme="minorHAnsi" w:hAnsiTheme="minorHAnsi"/>
          <w:bCs/>
          <w:sz w:val="22"/>
          <w:szCs w:val="22"/>
        </w:rPr>
        <w:t>Činnost pracovní skupiny pokračovala v roce 2023 2. jednáním, které se konalo dne 30. ledna 2023.</w:t>
      </w:r>
      <w:bookmarkEnd w:id="7"/>
    </w:p>
    <w:sectPr w:rsidR="00BF7548" w:rsidRPr="00C56410" w:rsidSect="008A4C38"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FF870" w14:textId="77777777" w:rsidR="00044965" w:rsidRDefault="00044965" w:rsidP="00242386">
      <w:r>
        <w:separator/>
      </w:r>
    </w:p>
  </w:endnote>
  <w:endnote w:type="continuationSeparator" w:id="0">
    <w:p w14:paraId="04552792" w14:textId="77777777" w:rsidR="00044965" w:rsidRDefault="00044965" w:rsidP="0024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258230"/>
      <w:docPartObj>
        <w:docPartGallery w:val="Page Numbers (Bottom of Page)"/>
        <w:docPartUnique/>
      </w:docPartObj>
    </w:sdtPr>
    <w:sdtEndPr/>
    <w:sdtContent>
      <w:p w14:paraId="559E694A" w14:textId="652E8303" w:rsidR="00044965" w:rsidRPr="008A4C38" w:rsidRDefault="00044965" w:rsidP="008A4C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0281270"/>
      <w:docPartObj>
        <w:docPartGallery w:val="Page Numbers (Bottom of Page)"/>
        <w:docPartUnique/>
      </w:docPartObj>
    </w:sdtPr>
    <w:sdtEndPr/>
    <w:sdtContent>
      <w:p w14:paraId="07873932" w14:textId="77777777" w:rsidR="00044965" w:rsidRDefault="000449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A9E06B" w14:textId="77777777" w:rsidR="00044965" w:rsidRDefault="000449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FA5E5" w14:textId="77777777" w:rsidR="00044965" w:rsidRDefault="00044965" w:rsidP="00242386">
      <w:r>
        <w:separator/>
      </w:r>
    </w:p>
  </w:footnote>
  <w:footnote w:type="continuationSeparator" w:id="0">
    <w:p w14:paraId="18812753" w14:textId="77777777" w:rsidR="00044965" w:rsidRDefault="00044965" w:rsidP="0024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3371" w14:textId="3A55BCA5" w:rsidR="00044965" w:rsidRPr="00947CBD" w:rsidRDefault="00044965" w:rsidP="00947CBD">
    <w:pPr>
      <w:pStyle w:val="Zhlav"/>
      <w:jc w:val="right"/>
      <w:rPr>
        <w:rFonts w:asciiTheme="majorHAnsi" w:hAnsiTheme="majorHAnsi"/>
      </w:rPr>
    </w:pPr>
    <w:r w:rsidRPr="00947CBD">
      <w:rPr>
        <w:rFonts w:asciiTheme="majorHAnsi" w:hAnsiTheme="majorHAnsi"/>
      </w:rPr>
      <w:t>I</w:t>
    </w:r>
    <w:r w:rsidR="006D2F7D">
      <w:rPr>
        <w:rFonts w:asciiTheme="majorHAnsi" w:hAnsiTheme="majorHAnsi"/>
      </w:rPr>
      <w:t>I.</w:t>
    </w:r>
  </w:p>
  <w:p w14:paraId="72362A1A" w14:textId="77777777" w:rsidR="00044965" w:rsidRDefault="000449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clip_image001"/>
      </v:shape>
    </w:pict>
  </w:numPicBullet>
  <w:numPicBullet w:numPicBulletId="1">
    <w:pict>
      <v:shape id="_x0000_i1035" type="#_x0000_t75" style="width:277.25pt;height:203.85pt" o:bullet="t">
        <v:imagedata r:id="rId2" o:title="artD490"/>
      </v:shape>
    </w:pict>
  </w:numPicBullet>
  <w:abstractNum w:abstractNumId="0" w15:restartNumberingAfterBreak="0">
    <w:nsid w:val="009573AA"/>
    <w:multiLevelType w:val="hybridMultilevel"/>
    <w:tmpl w:val="E37471EE"/>
    <w:lvl w:ilvl="0" w:tplc="ADB44858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DE49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084E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6FC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0C1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788E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093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A8A7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A827FA"/>
    <w:multiLevelType w:val="hybridMultilevel"/>
    <w:tmpl w:val="6E589C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6D0C"/>
    <w:multiLevelType w:val="hybridMultilevel"/>
    <w:tmpl w:val="54AA937E"/>
    <w:lvl w:ilvl="0" w:tplc="B4FCA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60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0B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AD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28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C26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0C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8A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4C459F"/>
    <w:multiLevelType w:val="hybridMultilevel"/>
    <w:tmpl w:val="5A5008AA"/>
    <w:lvl w:ilvl="0" w:tplc="9E6C2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8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094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07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40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E7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C5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0D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C3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E75A4"/>
    <w:multiLevelType w:val="hybridMultilevel"/>
    <w:tmpl w:val="DE5ABFF6"/>
    <w:lvl w:ilvl="0" w:tplc="C7102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C1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6F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CA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EC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CB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E0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C4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0C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DF1BE3"/>
    <w:multiLevelType w:val="multilevel"/>
    <w:tmpl w:val="F50C6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48563D"/>
    <w:multiLevelType w:val="hybridMultilevel"/>
    <w:tmpl w:val="BA46C4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4D121E"/>
    <w:multiLevelType w:val="hybridMultilevel"/>
    <w:tmpl w:val="982C6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543F2"/>
    <w:multiLevelType w:val="hybridMultilevel"/>
    <w:tmpl w:val="C9463BD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653E74"/>
    <w:multiLevelType w:val="hybridMultilevel"/>
    <w:tmpl w:val="38965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36565"/>
    <w:multiLevelType w:val="hybridMultilevel"/>
    <w:tmpl w:val="4CF6EC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942C06"/>
    <w:multiLevelType w:val="hybridMultilevel"/>
    <w:tmpl w:val="1D9653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E362900"/>
    <w:multiLevelType w:val="hybridMultilevel"/>
    <w:tmpl w:val="5A340F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F6D6005"/>
    <w:multiLevelType w:val="hybridMultilevel"/>
    <w:tmpl w:val="AF5CDB72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0B61DD4"/>
    <w:multiLevelType w:val="hybridMultilevel"/>
    <w:tmpl w:val="AC7C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7945"/>
    <w:multiLevelType w:val="hybridMultilevel"/>
    <w:tmpl w:val="8D940F2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9A5EA2"/>
    <w:multiLevelType w:val="multilevel"/>
    <w:tmpl w:val="E8BAE50A"/>
    <w:numStyleLink w:val="VariantaA-odrky"/>
  </w:abstractNum>
  <w:abstractNum w:abstractNumId="18" w15:restartNumberingAfterBreak="0">
    <w:nsid w:val="29E1621F"/>
    <w:multiLevelType w:val="hybridMultilevel"/>
    <w:tmpl w:val="123C029E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2FAA5A7E"/>
    <w:multiLevelType w:val="hybridMultilevel"/>
    <w:tmpl w:val="D5BE6FC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346C4A74"/>
    <w:multiLevelType w:val="multilevel"/>
    <w:tmpl w:val="32AC5D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48478F2"/>
    <w:multiLevelType w:val="hybridMultilevel"/>
    <w:tmpl w:val="E6BE9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E08A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866E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7E62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07C0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EA2C9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EAEF4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E8D8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65DC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B6A2016"/>
    <w:multiLevelType w:val="hybridMultilevel"/>
    <w:tmpl w:val="C6646080"/>
    <w:lvl w:ilvl="0" w:tplc="ADB4485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30C90"/>
    <w:multiLevelType w:val="multilevel"/>
    <w:tmpl w:val="CBF04E28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DF7124"/>
    <w:multiLevelType w:val="multilevel"/>
    <w:tmpl w:val="78780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5657DED"/>
    <w:multiLevelType w:val="hybridMultilevel"/>
    <w:tmpl w:val="053663C8"/>
    <w:lvl w:ilvl="0" w:tplc="5F4ECC1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8" w:hanging="360"/>
      </w:pPr>
    </w:lvl>
    <w:lvl w:ilvl="2" w:tplc="0405001B" w:tentative="1">
      <w:start w:val="1"/>
      <w:numFmt w:val="lowerRoman"/>
      <w:lvlText w:val="%3."/>
      <w:lvlJc w:val="right"/>
      <w:pPr>
        <w:ind w:left="2388" w:hanging="180"/>
      </w:pPr>
    </w:lvl>
    <w:lvl w:ilvl="3" w:tplc="0405000F" w:tentative="1">
      <w:start w:val="1"/>
      <w:numFmt w:val="decimal"/>
      <w:lvlText w:val="%4."/>
      <w:lvlJc w:val="left"/>
      <w:pPr>
        <w:ind w:left="3108" w:hanging="360"/>
      </w:pPr>
    </w:lvl>
    <w:lvl w:ilvl="4" w:tplc="04050019" w:tentative="1">
      <w:start w:val="1"/>
      <w:numFmt w:val="lowerLetter"/>
      <w:lvlText w:val="%5."/>
      <w:lvlJc w:val="left"/>
      <w:pPr>
        <w:ind w:left="3828" w:hanging="360"/>
      </w:pPr>
    </w:lvl>
    <w:lvl w:ilvl="5" w:tplc="0405001B" w:tentative="1">
      <w:start w:val="1"/>
      <w:numFmt w:val="lowerRoman"/>
      <w:lvlText w:val="%6."/>
      <w:lvlJc w:val="right"/>
      <w:pPr>
        <w:ind w:left="4548" w:hanging="180"/>
      </w:pPr>
    </w:lvl>
    <w:lvl w:ilvl="6" w:tplc="0405000F" w:tentative="1">
      <w:start w:val="1"/>
      <w:numFmt w:val="decimal"/>
      <w:lvlText w:val="%7."/>
      <w:lvlJc w:val="left"/>
      <w:pPr>
        <w:ind w:left="5268" w:hanging="360"/>
      </w:pPr>
    </w:lvl>
    <w:lvl w:ilvl="7" w:tplc="04050019" w:tentative="1">
      <w:start w:val="1"/>
      <w:numFmt w:val="lowerLetter"/>
      <w:lvlText w:val="%8."/>
      <w:lvlJc w:val="left"/>
      <w:pPr>
        <w:ind w:left="5988" w:hanging="360"/>
      </w:pPr>
    </w:lvl>
    <w:lvl w:ilvl="8" w:tplc="040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6" w15:restartNumberingAfterBreak="0">
    <w:nsid w:val="475121C3"/>
    <w:multiLevelType w:val="hybridMultilevel"/>
    <w:tmpl w:val="AC8E5C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D25FD"/>
    <w:multiLevelType w:val="hybridMultilevel"/>
    <w:tmpl w:val="39BA0B00"/>
    <w:lvl w:ilvl="0" w:tplc="040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517828F0"/>
    <w:multiLevelType w:val="hybridMultilevel"/>
    <w:tmpl w:val="6E287AF6"/>
    <w:lvl w:ilvl="0" w:tplc="ADB4485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2D461FB"/>
    <w:multiLevelType w:val="hybridMultilevel"/>
    <w:tmpl w:val="A684A390"/>
    <w:lvl w:ilvl="0" w:tplc="040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57D97788"/>
    <w:multiLevelType w:val="hybridMultilevel"/>
    <w:tmpl w:val="EC121742"/>
    <w:lvl w:ilvl="0" w:tplc="ABEE63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7E26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20F5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5E4C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070EB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E01F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856336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F66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80D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2" w15:restartNumberingAfterBreak="0">
    <w:nsid w:val="5C85239E"/>
    <w:multiLevelType w:val="hybridMultilevel"/>
    <w:tmpl w:val="4D0E8A88"/>
    <w:lvl w:ilvl="0" w:tplc="2D988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03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2B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E3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6C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20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A4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29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4D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A530D8"/>
    <w:multiLevelType w:val="multilevel"/>
    <w:tmpl w:val="279CDF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3044DA8"/>
    <w:multiLevelType w:val="hybridMultilevel"/>
    <w:tmpl w:val="0E4A7CEC"/>
    <w:lvl w:ilvl="0" w:tplc="D9B69E6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B37E693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446C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2DA6AFE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E167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2832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9848C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4EE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F4977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36" w15:restartNumberingAfterBreak="0">
    <w:nsid w:val="6A866DA0"/>
    <w:multiLevelType w:val="hybridMultilevel"/>
    <w:tmpl w:val="D4EAAE46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07B8F"/>
    <w:multiLevelType w:val="hybridMultilevel"/>
    <w:tmpl w:val="9CD08732"/>
    <w:lvl w:ilvl="0" w:tplc="F9FA8ACE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8" w:hanging="360"/>
      </w:pPr>
    </w:lvl>
    <w:lvl w:ilvl="2" w:tplc="0405001B" w:tentative="1">
      <w:start w:val="1"/>
      <w:numFmt w:val="lowerRoman"/>
      <w:lvlText w:val="%3."/>
      <w:lvlJc w:val="right"/>
      <w:pPr>
        <w:ind w:left="3108" w:hanging="180"/>
      </w:pPr>
    </w:lvl>
    <w:lvl w:ilvl="3" w:tplc="0405000F" w:tentative="1">
      <w:start w:val="1"/>
      <w:numFmt w:val="decimal"/>
      <w:lvlText w:val="%4."/>
      <w:lvlJc w:val="left"/>
      <w:pPr>
        <w:ind w:left="3828" w:hanging="360"/>
      </w:pPr>
    </w:lvl>
    <w:lvl w:ilvl="4" w:tplc="04050019" w:tentative="1">
      <w:start w:val="1"/>
      <w:numFmt w:val="lowerLetter"/>
      <w:lvlText w:val="%5."/>
      <w:lvlJc w:val="left"/>
      <w:pPr>
        <w:ind w:left="4548" w:hanging="360"/>
      </w:pPr>
    </w:lvl>
    <w:lvl w:ilvl="5" w:tplc="0405001B" w:tentative="1">
      <w:start w:val="1"/>
      <w:numFmt w:val="lowerRoman"/>
      <w:lvlText w:val="%6."/>
      <w:lvlJc w:val="right"/>
      <w:pPr>
        <w:ind w:left="5268" w:hanging="180"/>
      </w:pPr>
    </w:lvl>
    <w:lvl w:ilvl="6" w:tplc="0405000F" w:tentative="1">
      <w:start w:val="1"/>
      <w:numFmt w:val="decimal"/>
      <w:lvlText w:val="%7."/>
      <w:lvlJc w:val="left"/>
      <w:pPr>
        <w:ind w:left="5988" w:hanging="360"/>
      </w:pPr>
    </w:lvl>
    <w:lvl w:ilvl="7" w:tplc="04050019" w:tentative="1">
      <w:start w:val="1"/>
      <w:numFmt w:val="lowerLetter"/>
      <w:lvlText w:val="%8."/>
      <w:lvlJc w:val="left"/>
      <w:pPr>
        <w:ind w:left="6708" w:hanging="360"/>
      </w:pPr>
    </w:lvl>
    <w:lvl w:ilvl="8" w:tplc="040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8" w15:restartNumberingAfterBreak="0">
    <w:nsid w:val="6CD91121"/>
    <w:multiLevelType w:val="hybridMultilevel"/>
    <w:tmpl w:val="B1241D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E3378A"/>
    <w:multiLevelType w:val="multilevel"/>
    <w:tmpl w:val="BA7A4F12"/>
    <w:lvl w:ilvl="0">
      <w:start w:val="1"/>
      <w:numFmt w:val="bullet"/>
      <w:lvlText w:val="•"/>
      <w:lvlJc w:val="left"/>
      <w:pPr>
        <w:ind w:left="1702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2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6D78D6"/>
    <w:multiLevelType w:val="hybridMultilevel"/>
    <w:tmpl w:val="EFAC3C18"/>
    <w:lvl w:ilvl="0" w:tplc="0405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1" w15:restartNumberingAfterBreak="0">
    <w:nsid w:val="748C028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7"/>
  </w:num>
  <w:num w:numId="4">
    <w:abstractNumId w:val="24"/>
  </w:num>
  <w:num w:numId="5">
    <w:abstractNumId w:val="0"/>
  </w:num>
  <w:num w:numId="6">
    <w:abstractNumId w:val="22"/>
  </w:num>
  <w:num w:numId="7">
    <w:abstractNumId w:val="21"/>
  </w:num>
  <w:num w:numId="8">
    <w:abstractNumId w:val="34"/>
  </w:num>
  <w:num w:numId="9">
    <w:abstractNumId w:val="35"/>
  </w:num>
  <w:num w:numId="10">
    <w:abstractNumId w:val="42"/>
  </w:num>
  <w:num w:numId="11">
    <w:abstractNumId w:val="23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36"/>
  </w:num>
  <w:num w:numId="13">
    <w:abstractNumId w:val="23"/>
  </w:num>
  <w:num w:numId="14">
    <w:abstractNumId w:val="4"/>
  </w:num>
  <w:num w:numId="15">
    <w:abstractNumId w:val="39"/>
  </w:num>
  <w:num w:numId="16">
    <w:abstractNumId w:val="2"/>
  </w:num>
  <w:num w:numId="17">
    <w:abstractNumId w:val="32"/>
  </w:num>
  <w:num w:numId="18">
    <w:abstractNumId w:val="5"/>
  </w:num>
  <w:num w:numId="19">
    <w:abstractNumId w:val="3"/>
  </w:num>
  <w:num w:numId="20">
    <w:abstractNumId w:val="30"/>
  </w:num>
  <w:num w:numId="21">
    <w:abstractNumId w:val="20"/>
  </w:num>
  <w:num w:numId="22">
    <w:abstractNumId w:val="15"/>
  </w:num>
  <w:num w:numId="23">
    <w:abstractNumId w:val="8"/>
  </w:num>
  <w:num w:numId="24">
    <w:abstractNumId w:val="38"/>
  </w:num>
  <w:num w:numId="25">
    <w:abstractNumId w:val="12"/>
  </w:num>
  <w:num w:numId="26">
    <w:abstractNumId w:val="28"/>
  </w:num>
  <w:num w:numId="27">
    <w:abstractNumId w:val="26"/>
  </w:num>
  <w:num w:numId="28">
    <w:abstractNumId w:val="29"/>
  </w:num>
  <w:num w:numId="29">
    <w:abstractNumId w:val="9"/>
  </w:num>
  <w:num w:numId="30">
    <w:abstractNumId w:val="16"/>
  </w:num>
  <w:num w:numId="31">
    <w:abstractNumId w:val="40"/>
  </w:num>
  <w:num w:numId="32">
    <w:abstractNumId w:val="25"/>
  </w:num>
  <w:num w:numId="33">
    <w:abstractNumId w:val="11"/>
  </w:num>
  <w:num w:numId="34">
    <w:abstractNumId w:val="13"/>
  </w:num>
  <w:num w:numId="35">
    <w:abstractNumId w:val="41"/>
  </w:num>
  <w:num w:numId="36">
    <w:abstractNumId w:val="7"/>
  </w:num>
  <w:num w:numId="37">
    <w:abstractNumId w:val="6"/>
  </w:num>
  <w:num w:numId="38">
    <w:abstractNumId w:val="37"/>
  </w:num>
  <w:num w:numId="39">
    <w:abstractNumId w:val="14"/>
  </w:num>
  <w:num w:numId="40">
    <w:abstractNumId w:val="27"/>
  </w:num>
  <w:num w:numId="41">
    <w:abstractNumId w:val="33"/>
  </w:num>
  <w:num w:numId="42">
    <w:abstractNumId w:val="18"/>
  </w:num>
  <w:num w:numId="43">
    <w:abstractNumId w:val="19"/>
  </w:num>
  <w:num w:numId="4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5E"/>
    <w:rsid w:val="0000002A"/>
    <w:rsid w:val="0000109C"/>
    <w:rsid w:val="000012FC"/>
    <w:rsid w:val="00003B57"/>
    <w:rsid w:val="000040EA"/>
    <w:rsid w:val="00004B4B"/>
    <w:rsid w:val="00005089"/>
    <w:rsid w:val="0000625B"/>
    <w:rsid w:val="00007303"/>
    <w:rsid w:val="00010387"/>
    <w:rsid w:val="00010C75"/>
    <w:rsid w:val="000112B4"/>
    <w:rsid w:val="000122F3"/>
    <w:rsid w:val="000168C9"/>
    <w:rsid w:val="000176B6"/>
    <w:rsid w:val="00017AA8"/>
    <w:rsid w:val="00020EC7"/>
    <w:rsid w:val="000227D4"/>
    <w:rsid w:val="0002289A"/>
    <w:rsid w:val="000249BB"/>
    <w:rsid w:val="00025770"/>
    <w:rsid w:val="000270B7"/>
    <w:rsid w:val="00027863"/>
    <w:rsid w:val="000305E5"/>
    <w:rsid w:val="0003205C"/>
    <w:rsid w:val="0003213D"/>
    <w:rsid w:val="00032920"/>
    <w:rsid w:val="00032F97"/>
    <w:rsid w:val="00034759"/>
    <w:rsid w:val="0003482F"/>
    <w:rsid w:val="00035865"/>
    <w:rsid w:val="00037335"/>
    <w:rsid w:val="000402C1"/>
    <w:rsid w:val="0004057F"/>
    <w:rsid w:val="00044965"/>
    <w:rsid w:val="000470DA"/>
    <w:rsid w:val="000475EC"/>
    <w:rsid w:val="0005075B"/>
    <w:rsid w:val="0005367B"/>
    <w:rsid w:val="000543E8"/>
    <w:rsid w:val="00055870"/>
    <w:rsid w:val="00055CDA"/>
    <w:rsid w:val="00062001"/>
    <w:rsid w:val="0006249B"/>
    <w:rsid w:val="00063731"/>
    <w:rsid w:val="000642ED"/>
    <w:rsid w:val="00065524"/>
    <w:rsid w:val="00065B5E"/>
    <w:rsid w:val="00067A22"/>
    <w:rsid w:val="00070EEB"/>
    <w:rsid w:val="00072522"/>
    <w:rsid w:val="00074AE8"/>
    <w:rsid w:val="0007725C"/>
    <w:rsid w:val="00077FFA"/>
    <w:rsid w:val="00082085"/>
    <w:rsid w:val="00082A16"/>
    <w:rsid w:val="000832C5"/>
    <w:rsid w:val="0008330E"/>
    <w:rsid w:val="00086673"/>
    <w:rsid w:val="0008679D"/>
    <w:rsid w:val="0009035B"/>
    <w:rsid w:val="000918B3"/>
    <w:rsid w:val="000936AE"/>
    <w:rsid w:val="00093DEC"/>
    <w:rsid w:val="000943BC"/>
    <w:rsid w:val="00096E40"/>
    <w:rsid w:val="00097BF6"/>
    <w:rsid w:val="000A060F"/>
    <w:rsid w:val="000A0C12"/>
    <w:rsid w:val="000A11D8"/>
    <w:rsid w:val="000A5733"/>
    <w:rsid w:val="000B011E"/>
    <w:rsid w:val="000B18B7"/>
    <w:rsid w:val="000B66E2"/>
    <w:rsid w:val="000B6AB6"/>
    <w:rsid w:val="000C0DAC"/>
    <w:rsid w:val="000C36E6"/>
    <w:rsid w:val="000C3E23"/>
    <w:rsid w:val="000C45E5"/>
    <w:rsid w:val="000D255D"/>
    <w:rsid w:val="000D2F3C"/>
    <w:rsid w:val="000D5FD1"/>
    <w:rsid w:val="000D678B"/>
    <w:rsid w:val="000D7B9B"/>
    <w:rsid w:val="000E1BCF"/>
    <w:rsid w:val="000E54A3"/>
    <w:rsid w:val="000E7401"/>
    <w:rsid w:val="000F0708"/>
    <w:rsid w:val="000F3F0B"/>
    <w:rsid w:val="000F49AD"/>
    <w:rsid w:val="000F5153"/>
    <w:rsid w:val="000F76B0"/>
    <w:rsid w:val="00100881"/>
    <w:rsid w:val="001008F2"/>
    <w:rsid w:val="00100D2F"/>
    <w:rsid w:val="00102598"/>
    <w:rsid w:val="00104322"/>
    <w:rsid w:val="00110CC0"/>
    <w:rsid w:val="00111334"/>
    <w:rsid w:val="00112829"/>
    <w:rsid w:val="00112C17"/>
    <w:rsid w:val="00115417"/>
    <w:rsid w:val="00121E9C"/>
    <w:rsid w:val="001226F1"/>
    <w:rsid w:val="00124E75"/>
    <w:rsid w:val="001252D0"/>
    <w:rsid w:val="00133993"/>
    <w:rsid w:val="001402D6"/>
    <w:rsid w:val="001406AA"/>
    <w:rsid w:val="00140A82"/>
    <w:rsid w:val="00143222"/>
    <w:rsid w:val="0015279B"/>
    <w:rsid w:val="00153AEB"/>
    <w:rsid w:val="00153F64"/>
    <w:rsid w:val="00154F0B"/>
    <w:rsid w:val="00155681"/>
    <w:rsid w:val="00156495"/>
    <w:rsid w:val="00156DCE"/>
    <w:rsid w:val="00157149"/>
    <w:rsid w:val="001700F5"/>
    <w:rsid w:val="00172541"/>
    <w:rsid w:val="00173E36"/>
    <w:rsid w:val="00175580"/>
    <w:rsid w:val="00176DD1"/>
    <w:rsid w:val="00181CCD"/>
    <w:rsid w:val="001846D5"/>
    <w:rsid w:val="00184B33"/>
    <w:rsid w:val="001867D5"/>
    <w:rsid w:val="00186FF8"/>
    <w:rsid w:val="0019392F"/>
    <w:rsid w:val="00193DBF"/>
    <w:rsid w:val="00197B8E"/>
    <w:rsid w:val="001A19EF"/>
    <w:rsid w:val="001A2FC5"/>
    <w:rsid w:val="001A30D4"/>
    <w:rsid w:val="001A3B85"/>
    <w:rsid w:val="001A539C"/>
    <w:rsid w:val="001A5D50"/>
    <w:rsid w:val="001B0266"/>
    <w:rsid w:val="001B223B"/>
    <w:rsid w:val="001B273A"/>
    <w:rsid w:val="001B2A63"/>
    <w:rsid w:val="001B5B9A"/>
    <w:rsid w:val="001B7E41"/>
    <w:rsid w:val="001C0E79"/>
    <w:rsid w:val="001C379E"/>
    <w:rsid w:val="001C3CB9"/>
    <w:rsid w:val="001C6CC4"/>
    <w:rsid w:val="001C7F7F"/>
    <w:rsid w:val="001D1ED4"/>
    <w:rsid w:val="001D47B4"/>
    <w:rsid w:val="001E114E"/>
    <w:rsid w:val="001E2247"/>
    <w:rsid w:val="001E2A4F"/>
    <w:rsid w:val="001E2FED"/>
    <w:rsid w:val="001E3408"/>
    <w:rsid w:val="001E345D"/>
    <w:rsid w:val="001E4E6A"/>
    <w:rsid w:val="001F0D77"/>
    <w:rsid w:val="001F22D9"/>
    <w:rsid w:val="001F51F1"/>
    <w:rsid w:val="001F7136"/>
    <w:rsid w:val="001F726E"/>
    <w:rsid w:val="002005FA"/>
    <w:rsid w:val="00202AD3"/>
    <w:rsid w:val="00204C7D"/>
    <w:rsid w:val="0020662F"/>
    <w:rsid w:val="00207DD9"/>
    <w:rsid w:val="002107D7"/>
    <w:rsid w:val="00211A70"/>
    <w:rsid w:val="00211DC9"/>
    <w:rsid w:val="00213FF8"/>
    <w:rsid w:val="00214119"/>
    <w:rsid w:val="00214758"/>
    <w:rsid w:val="00215E55"/>
    <w:rsid w:val="00215EB7"/>
    <w:rsid w:val="0022013A"/>
    <w:rsid w:val="00220169"/>
    <w:rsid w:val="00220358"/>
    <w:rsid w:val="00222137"/>
    <w:rsid w:val="002239AC"/>
    <w:rsid w:val="00223E2D"/>
    <w:rsid w:val="00226F04"/>
    <w:rsid w:val="002274E7"/>
    <w:rsid w:val="00231074"/>
    <w:rsid w:val="00235365"/>
    <w:rsid w:val="00236E1E"/>
    <w:rsid w:val="00242386"/>
    <w:rsid w:val="00242BCA"/>
    <w:rsid w:val="00243BDA"/>
    <w:rsid w:val="00243F3F"/>
    <w:rsid w:val="002466FD"/>
    <w:rsid w:val="002541F1"/>
    <w:rsid w:val="00256791"/>
    <w:rsid w:val="002609CC"/>
    <w:rsid w:val="00261DE8"/>
    <w:rsid w:val="00262E1E"/>
    <w:rsid w:val="002633C7"/>
    <w:rsid w:val="00267AEE"/>
    <w:rsid w:val="002721E6"/>
    <w:rsid w:val="00272686"/>
    <w:rsid w:val="0027679B"/>
    <w:rsid w:val="002809D0"/>
    <w:rsid w:val="002838F6"/>
    <w:rsid w:val="00283F66"/>
    <w:rsid w:val="00284540"/>
    <w:rsid w:val="00286FFC"/>
    <w:rsid w:val="002904A8"/>
    <w:rsid w:val="00291A4E"/>
    <w:rsid w:val="00292976"/>
    <w:rsid w:val="00294B1B"/>
    <w:rsid w:val="0029626C"/>
    <w:rsid w:val="00296E41"/>
    <w:rsid w:val="002A3598"/>
    <w:rsid w:val="002A471D"/>
    <w:rsid w:val="002A6756"/>
    <w:rsid w:val="002B00BE"/>
    <w:rsid w:val="002B0247"/>
    <w:rsid w:val="002B0D8D"/>
    <w:rsid w:val="002B0E6E"/>
    <w:rsid w:val="002B1FCD"/>
    <w:rsid w:val="002B4799"/>
    <w:rsid w:val="002B5269"/>
    <w:rsid w:val="002B7DD4"/>
    <w:rsid w:val="002C7B94"/>
    <w:rsid w:val="002D0D72"/>
    <w:rsid w:val="002D75C3"/>
    <w:rsid w:val="002E0926"/>
    <w:rsid w:val="002E1218"/>
    <w:rsid w:val="002E13DE"/>
    <w:rsid w:val="002E40EF"/>
    <w:rsid w:val="002E785F"/>
    <w:rsid w:val="002F1DA9"/>
    <w:rsid w:val="002F5470"/>
    <w:rsid w:val="0030401C"/>
    <w:rsid w:val="00306E5E"/>
    <w:rsid w:val="00310595"/>
    <w:rsid w:val="0031293B"/>
    <w:rsid w:val="00313375"/>
    <w:rsid w:val="00313870"/>
    <w:rsid w:val="00314219"/>
    <w:rsid w:val="0032005D"/>
    <w:rsid w:val="00320135"/>
    <w:rsid w:val="003214F3"/>
    <w:rsid w:val="0032171B"/>
    <w:rsid w:val="003229AE"/>
    <w:rsid w:val="003257BA"/>
    <w:rsid w:val="003262E7"/>
    <w:rsid w:val="00327080"/>
    <w:rsid w:val="00327EC3"/>
    <w:rsid w:val="003304A7"/>
    <w:rsid w:val="003328F6"/>
    <w:rsid w:val="00332C1C"/>
    <w:rsid w:val="003332F6"/>
    <w:rsid w:val="003362A0"/>
    <w:rsid w:val="003362D3"/>
    <w:rsid w:val="00336B41"/>
    <w:rsid w:val="00341785"/>
    <w:rsid w:val="00342FB4"/>
    <w:rsid w:val="003449C6"/>
    <w:rsid w:val="00345E7B"/>
    <w:rsid w:val="00346CA2"/>
    <w:rsid w:val="00352631"/>
    <w:rsid w:val="00352DEC"/>
    <w:rsid w:val="00352E30"/>
    <w:rsid w:val="0035344E"/>
    <w:rsid w:val="0035605E"/>
    <w:rsid w:val="00366D63"/>
    <w:rsid w:val="00367120"/>
    <w:rsid w:val="0036714E"/>
    <w:rsid w:val="0036788A"/>
    <w:rsid w:val="00367B94"/>
    <w:rsid w:val="00367D3E"/>
    <w:rsid w:val="00367E3E"/>
    <w:rsid w:val="00370668"/>
    <w:rsid w:val="003738FF"/>
    <w:rsid w:val="0038003B"/>
    <w:rsid w:val="003813E7"/>
    <w:rsid w:val="00382CAB"/>
    <w:rsid w:val="0038435E"/>
    <w:rsid w:val="00384646"/>
    <w:rsid w:val="00390B16"/>
    <w:rsid w:val="00392A0D"/>
    <w:rsid w:val="00393159"/>
    <w:rsid w:val="00394F2C"/>
    <w:rsid w:val="00395663"/>
    <w:rsid w:val="00395DEF"/>
    <w:rsid w:val="003A32D6"/>
    <w:rsid w:val="003A39F8"/>
    <w:rsid w:val="003A458E"/>
    <w:rsid w:val="003A6009"/>
    <w:rsid w:val="003B1B95"/>
    <w:rsid w:val="003B2586"/>
    <w:rsid w:val="003B49AE"/>
    <w:rsid w:val="003B522D"/>
    <w:rsid w:val="003B64E0"/>
    <w:rsid w:val="003B7F2C"/>
    <w:rsid w:val="003C00D4"/>
    <w:rsid w:val="003C0849"/>
    <w:rsid w:val="003C1789"/>
    <w:rsid w:val="003C30EA"/>
    <w:rsid w:val="003C31C4"/>
    <w:rsid w:val="003C35D2"/>
    <w:rsid w:val="003C7937"/>
    <w:rsid w:val="003C7A44"/>
    <w:rsid w:val="003D05E8"/>
    <w:rsid w:val="003D1462"/>
    <w:rsid w:val="003D1496"/>
    <w:rsid w:val="003D1BD2"/>
    <w:rsid w:val="003D1EBF"/>
    <w:rsid w:val="003D25F3"/>
    <w:rsid w:val="003D6614"/>
    <w:rsid w:val="003E063B"/>
    <w:rsid w:val="003E3780"/>
    <w:rsid w:val="003E3915"/>
    <w:rsid w:val="003E5E04"/>
    <w:rsid w:val="003E5EE2"/>
    <w:rsid w:val="003E6120"/>
    <w:rsid w:val="003E6C96"/>
    <w:rsid w:val="003E7425"/>
    <w:rsid w:val="003E7643"/>
    <w:rsid w:val="003E79DD"/>
    <w:rsid w:val="003F61A6"/>
    <w:rsid w:val="003F61DE"/>
    <w:rsid w:val="00402335"/>
    <w:rsid w:val="00403EE3"/>
    <w:rsid w:val="004047FF"/>
    <w:rsid w:val="0040769C"/>
    <w:rsid w:val="00414B89"/>
    <w:rsid w:val="00415149"/>
    <w:rsid w:val="00415B9F"/>
    <w:rsid w:val="0042349F"/>
    <w:rsid w:val="004243CF"/>
    <w:rsid w:val="00431646"/>
    <w:rsid w:val="00431ADF"/>
    <w:rsid w:val="00431E3B"/>
    <w:rsid w:val="00433F2C"/>
    <w:rsid w:val="0043761A"/>
    <w:rsid w:val="00437FDF"/>
    <w:rsid w:val="00443DD9"/>
    <w:rsid w:val="00444851"/>
    <w:rsid w:val="0045137E"/>
    <w:rsid w:val="0045232B"/>
    <w:rsid w:val="00452841"/>
    <w:rsid w:val="00453C25"/>
    <w:rsid w:val="004557AB"/>
    <w:rsid w:val="0046020D"/>
    <w:rsid w:val="0046088C"/>
    <w:rsid w:val="00461C0B"/>
    <w:rsid w:val="00462B81"/>
    <w:rsid w:val="00464944"/>
    <w:rsid w:val="00464A45"/>
    <w:rsid w:val="00466165"/>
    <w:rsid w:val="00467592"/>
    <w:rsid w:val="00471EE5"/>
    <w:rsid w:val="00473005"/>
    <w:rsid w:val="00473340"/>
    <w:rsid w:val="00473EA8"/>
    <w:rsid w:val="0047432F"/>
    <w:rsid w:val="004754EA"/>
    <w:rsid w:val="00475CC3"/>
    <w:rsid w:val="004765D9"/>
    <w:rsid w:val="00476678"/>
    <w:rsid w:val="0047745A"/>
    <w:rsid w:val="004827DE"/>
    <w:rsid w:val="004861D9"/>
    <w:rsid w:val="004865E7"/>
    <w:rsid w:val="004905BA"/>
    <w:rsid w:val="0049110A"/>
    <w:rsid w:val="00491448"/>
    <w:rsid w:val="00492E3E"/>
    <w:rsid w:val="00496BC0"/>
    <w:rsid w:val="004A19FB"/>
    <w:rsid w:val="004A200E"/>
    <w:rsid w:val="004A49ED"/>
    <w:rsid w:val="004A4A2C"/>
    <w:rsid w:val="004A572C"/>
    <w:rsid w:val="004A679D"/>
    <w:rsid w:val="004B0B71"/>
    <w:rsid w:val="004B276F"/>
    <w:rsid w:val="004B3716"/>
    <w:rsid w:val="004B666F"/>
    <w:rsid w:val="004C3805"/>
    <w:rsid w:val="004C5AE6"/>
    <w:rsid w:val="004C7869"/>
    <w:rsid w:val="004D1AB2"/>
    <w:rsid w:val="004D26BC"/>
    <w:rsid w:val="004D3F65"/>
    <w:rsid w:val="004D4639"/>
    <w:rsid w:val="004D595D"/>
    <w:rsid w:val="004D690F"/>
    <w:rsid w:val="004E03D0"/>
    <w:rsid w:val="004E1243"/>
    <w:rsid w:val="004E2C6B"/>
    <w:rsid w:val="004E4E8B"/>
    <w:rsid w:val="004E5770"/>
    <w:rsid w:val="004E5EB9"/>
    <w:rsid w:val="004E72A0"/>
    <w:rsid w:val="004E7873"/>
    <w:rsid w:val="004F0137"/>
    <w:rsid w:val="004F12F2"/>
    <w:rsid w:val="004F1E1C"/>
    <w:rsid w:val="004F20EA"/>
    <w:rsid w:val="004F211D"/>
    <w:rsid w:val="004F33A9"/>
    <w:rsid w:val="004F52E2"/>
    <w:rsid w:val="004F5F0B"/>
    <w:rsid w:val="004F6150"/>
    <w:rsid w:val="004F6808"/>
    <w:rsid w:val="004F78D3"/>
    <w:rsid w:val="0050080D"/>
    <w:rsid w:val="0050325E"/>
    <w:rsid w:val="00506A3F"/>
    <w:rsid w:val="005104FC"/>
    <w:rsid w:val="005116F6"/>
    <w:rsid w:val="00513CF3"/>
    <w:rsid w:val="005146C9"/>
    <w:rsid w:val="00516890"/>
    <w:rsid w:val="005201EB"/>
    <w:rsid w:val="00521109"/>
    <w:rsid w:val="0052361F"/>
    <w:rsid w:val="00524742"/>
    <w:rsid w:val="005249C9"/>
    <w:rsid w:val="005253E1"/>
    <w:rsid w:val="00526CCE"/>
    <w:rsid w:val="00526F78"/>
    <w:rsid w:val="005305B2"/>
    <w:rsid w:val="00530DC3"/>
    <w:rsid w:val="005317FD"/>
    <w:rsid w:val="00533F49"/>
    <w:rsid w:val="005375CF"/>
    <w:rsid w:val="005407FF"/>
    <w:rsid w:val="0054121A"/>
    <w:rsid w:val="00541AFB"/>
    <w:rsid w:val="00542955"/>
    <w:rsid w:val="00542AB2"/>
    <w:rsid w:val="00546D60"/>
    <w:rsid w:val="00547117"/>
    <w:rsid w:val="0054732D"/>
    <w:rsid w:val="00547431"/>
    <w:rsid w:val="00551FD8"/>
    <w:rsid w:val="00553051"/>
    <w:rsid w:val="005534EF"/>
    <w:rsid w:val="00554296"/>
    <w:rsid w:val="0055529B"/>
    <w:rsid w:val="00563E5F"/>
    <w:rsid w:val="00564F86"/>
    <w:rsid w:val="00565608"/>
    <w:rsid w:val="00570925"/>
    <w:rsid w:val="00572279"/>
    <w:rsid w:val="005765A8"/>
    <w:rsid w:val="00577590"/>
    <w:rsid w:val="00582D24"/>
    <w:rsid w:val="0058303C"/>
    <w:rsid w:val="00587555"/>
    <w:rsid w:val="00590E7C"/>
    <w:rsid w:val="00591B43"/>
    <w:rsid w:val="0059604D"/>
    <w:rsid w:val="005966F2"/>
    <w:rsid w:val="0059681B"/>
    <w:rsid w:val="00596DA4"/>
    <w:rsid w:val="005A33D1"/>
    <w:rsid w:val="005A3C0E"/>
    <w:rsid w:val="005A510D"/>
    <w:rsid w:val="005A61FD"/>
    <w:rsid w:val="005B074A"/>
    <w:rsid w:val="005B4160"/>
    <w:rsid w:val="005B50D0"/>
    <w:rsid w:val="005B52A9"/>
    <w:rsid w:val="005B6ACA"/>
    <w:rsid w:val="005C0125"/>
    <w:rsid w:val="005C1EBD"/>
    <w:rsid w:val="005C32FF"/>
    <w:rsid w:val="005C69E1"/>
    <w:rsid w:val="005C7720"/>
    <w:rsid w:val="005D4AC3"/>
    <w:rsid w:val="005D5982"/>
    <w:rsid w:val="005D5BE1"/>
    <w:rsid w:val="005D6182"/>
    <w:rsid w:val="005D66C9"/>
    <w:rsid w:val="005E0091"/>
    <w:rsid w:val="005E153A"/>
    <w:rsid w:val="005E1772"/>
    <w:rsid w:val="005E3003"/>
    <w:rsid w:val="005E3350"/>
    <w:rsid w:val="005E6691"/>
    <w:rsid w:val="005F32F6"/>
    <w:rsid w:val="005F3477"/>
    <w:rsid w:val="0060040D"/>
    <w:rsid w:val="00604166"/>
    <w:rsid w:val="00605625"/>
    <w:rsid w:val="006067F3"/>
    <w:rsid w:val="006103C4"/>
    <w:rsid w:val="00610FA1"/>
    <w:rsid w:val="00611038"/>
    <w:rsid w:val="006126DD"/>
    <w:rsid w:val="00614CA0"/>
    <w:rsid w:val="006170EA"/>
    <w:rsid w:val="00620593"/>
    <w:rsid w:val="00621BA4"/>
    <w:rsid w:val="006222C0"/>
    <w:rsid w:val="00623FE0"/>
    <w:rsid w:val="0062655F"/>
    <w:rsid w:val="006272F9"/>
    <w:rsid w:val="006352AE"/>
    <w:rsid w:val="0063547D"/>
    <w:rsid w:val="00635893"/>
    <w:rsid w:val="00636698"/>
    <w:rsid w:val="006406FA"/>
    <w:rsid w:val="00641A81"/>
    <w:rsid w:val="00642DCA"/>
    <w:rsid w:val="00643828"/>
    <w:rsid w:val="00643853"/>
    <w:rsid w:val="00643C02"/>
    <w:rsid w:val="006443C1"/>
    <w:rsid w:val="00644CEB"/>
    <w:rsid w:val="00645E54"/>
    <w:rsid w:val="00650D01"/>
    <w:rsid w:val="0065154C"/>
    <w:rsid w:val="006525BE"/>
    <w:rsid w:val="00653368"/>
    <w:rsid w:val="006555C5"/>
    <w:rsid w:val="00656E82"/>
    <w:rsid w:val="00657144"/>
    <w:rsid w:val="00657523"/>
    <w:rsid w:val="00660E27"/>
    <w:rsid w:val="006629BB"/>
    <w:rsid w:val="00664EA7"/>
    <w:rsid w:val="0066668B"/>
    <w:rsid w:val="00666765"/>
    <w:rsid w:val="006722D3"/>
    <w:rsid w:val="0067391B"/>
    <w:rsid w:val="0067521A"/>
    <w:rsid w:val="00675AFE"/>
    <w:rsid w:val="0067701C"/>
    <w:rsid w:val="00677B2B"/>
    <w:rsid w:val="00681AA7"/>
    <w:rsid w:val="0068619B"/>
    <w:rsid w:val="006861F1"/>
    <w:rsid w:val="00691675"/>
    <w:rsid w:val="00691AD2"/>
    <w:rsid w:val="00693C9A"/>
    <w:rsid w:val="0069502E"/>
    <w:rsid w:val="00695090"/>
    <w:rsid w:val="006971A6"/>
    <w:rsid w:val="006A2C16"/>
    <w:rsid w:val="006A3103"/>
    <w:rsid w:val="006A493E"/>
    <w:rsid w:val="006A7A17"/>
    <w:rsid w:val="006B0B2A"/>
    <w:rsid w:val="006B1379"/>
    <w:rsid w:val="006B3467"/>
    <w:rsid w:val="006B370E"/>
    <w:rsid w:val="006B5E02"/>
    <w:rsid w:val="006B605F"/>
    <w:rsid w:val="006C0AAB"/>
    <w:rsid w:val="006C23BB"/>
    <w:rsid w:val="006C242F"/>
    <w:rsid w:val="006C3508"/>
    <w:rsid w:val="006C3BF8"/>
    <w:rsid w:val="006C62DE"/>
    <w:rsid w:val="006D1171"/>
    <w:rsid w:val="006D1DC2"/>
    <w:rsid w:val="006D2F7D"/>
    <w:rsid w:val="006D738F"/>
    <w:rsid w:val="006D739F"/>
    <w:rsid w:val="006E0FF6"/>
    <w:rsid w:val="006E13C0"/>
    <w:rsid w:val="006E1973"/>
    <w:rsid w:val="006E3E7E"/>
    <w:rsid w:val="006E7869"/>
    <w:rsid w:val="006F2D04"/>
    <w:rsid w:val="006F3E17"/>
    <w:rsid w:val="006F5DF0"/>
    <w:rsid w:val="006F6687"/>
    <w:rsid w:val="006F6E9E"/>
    <w:rsid w:val="007003DB"/>
    <w:rsid w:val="00701769"/>
    <w:rsid w:val="00702D07"/>
    <w:rsid w:val="007030C5"/>
    <w:rsid w:val="00705F32"/>
    <w:rsid w:val="007105AF"/>
    <w:rsid w:val="007106B4"/>
    <w:rsid w:val="007128ED"/>
    <w:rsid w:val="00712D04"/>
    <w:rsid w:val="00712E34"/>
    <w:rsid w:val="00712E7A"/>
    <w:rsid w:val="007159C0"/>
    <w:rsid w:val="007177E5"/>
    <w:rsid w:val="007214E8"/>
    <w:rsid w:val="00725382"/>
    <w:rsid w:val="00726B9C"/>
    <w:rsid w:val="00727CAF"/>
    <w:rsid w:val="00727DFC"/>
    <w:rsid w:val="00730911"/>
    <w:rsid w:val="00730972"/>
    <w:rsid w:val="00731ED1"/>
    <w:rsid w:val="0074023C"/>
    <w:rsid w:val="007411AC"/>
    <w:rsid w:val="007429AD"/>
    <w:rsid w:val="00743B2F"/>
    <w:rsid w:val="00744E26"/>
    <w:rsid w:val="0074621C"/>
    <w:rsid w:val="00747B49"/>
    <w:rsid w:val="00751768"/>
    <w:rsid w:val="00754761"/>
    <w:rsid w:val="00756A92"/>
    <w:rsid w:val="00761625"/>
    <w:rsid w:val="007629C7"/>
    <w:rsid w:val="00767416"/>
    <w:rsid w:val="007676A0"/>
    <w:rsid w:val="00767F17"/>
    <w:rsid w:val="00770EFF"/>
    <w:rsid w:val="00772C44"/>
    <w:rsid w:val="007753D0"/>
    <w:rsid w:val="00780798"/>
    <w:rsid w:val="00780D41"/>
    <w:rsid w:val="0078135E"/>
    <w:rsid w:val="00781BB8"/>
    <w:rsid w:val="00784A53"/>
    <w:rsid w:val="00785A5A"/>
    <w:rsid w:val="00786642"/>
    <w:rsid w:val="00786673"/>
    <w:rsid w:val="007868A4"/>
    <w:rsid w:val="00790231"/>
    <w:rsid w:val="00793788"/>
    <w:rsid w:val="007949E7"/>
    <w:rsid w:val="00795229"/>
    <w:rsid w:val="00795EB1"/>
    <w:rsid w:val="0079722A"/>
    <w:rsid w:val="00797DBB"/>
    <w:rsid w:val="007A04B6"/>
    <w:rsid w:val="007A1134"/>
    <w:rsid w:val="007A6B46"/>
    <w:rsid w:val="007B34CB"/>
    <w:rsid w:val="007B5BB2"/>
    <w:rsid w:val="007C1353"/>
    <w:rsid w:val="007C1376"/>
    <w:rsid w:val="007C203E"/>
    <w:rsid w:val="007C27DB"/>
    <w:rsid w:val="007C3707"/>
    <w:rsid w:val="007C5CAF"/>
    <w:rsid w:val="007C62BE"/>
    <w:rsid w:val="007C6428"/>
    <w:rsid w:val="007C78EE"/>
    <w:rsid w:val="007D0010"/>
    <w:rsid w:val="007D140A"/>
    <w:rsid w:val="007D1526"/>
    <w:rsid w:val="007D3A79"/>
    <w:rsid w:val="007D4723"/>
    <w:rsid w:val="007D4F5C"/>
    <w:rsid w:val="007D7F07"/>
    <w:rsid w:val="007E11BA"/>
    <w:rsid w:val="007E1393"/>
    <w:rsid w:val="007E172A"/>
    <w:rsid w:val="007E3838"/>
    <w:rsid w:val="007E3B5B"/>
    <w:rsid w:val="007E4AB5"/>
    <w:rsid w:val="007E5270"/>
    <w:rsid w:val="007E56BB"/>
    <w:rsid w:val="007F3332"/>
    <w:rsid w:val="007F3373"/>
    <w:rsid w:val="007F6167"/>
    <w:rsid w:val="007F637C"/>
    <w:rsid w:val="007F6DD3"/>
    <w:rsid w:val="00801F97"/>
    <w:rsid w:val="00802B55"/>
    <w:rsid w:val="00802FFB"/>
    <w:rsid w:val="00805BF2"/>
    <w:rsid w:val="00806C55"/>
    <w:rsid w:val="00810E32"/>
    <w:rsid w:val="008115FF"/>
    <w:rsid w:val="00812B01"/>
    <w:rsid w:val="0081422A"/>
    <w:rsid w:val="00815D07"/>
    <w:rsid w:val="00815F85"/>
    <w:rsid w:val="008171C7"/>
    <w:rsid w:val="00820863"/>
    <w:rsid w:val="00822708"/>
    <w:rsid w:val="00825F01"/>
    <w:rsid w:val="008264C7"/>
    <w:rsid w:val="00831916"/>
    <w:rsid w:val="00831DC1"/>
    <w:rsid w:val="00832C2B"/>
    <w:rsid w:val="0083366A"/>
    <w:rsid w:val="0083462A"/>
    <w:rsid w:val="00835275"/>
    <w:rsid w:val="00836915"/>
    <w:rsid w:val="008426D9"/>
    <w:rsid w:val="008444C2"/>
    <w:rsid w:val="00844E4C"/>
    <w:rsid w:val="00846613"/>
    <w:rsid w:val="00846A63"/>
    <w:rsid w:val="00850F7C"/>
    <w:rsid w:val="008521B5"/>
    <w:rsid w:val="0085326F"/>
    <w:rsid w:val="0085511B"/>
    <w:rsid w:val="00855BF4"/>
    <w:rsid w:val="008567D9"/>
    <w:rsid w:val="008600BB"/>
    <w:rsid w:val="00860116"/>
    <w:rsid w:val="00860390"/>
    <w:rsid w:val="00860C9F"/>
    <w:rsid w:val="00863179"/>
    <w:rsid w:val="0086658B"/>
    <w:rsid w:val="00866756"/>
    <w:rsid w:val="00866A5F"/>
    <w:rsid w:val="00872973"/>
    <w:rsid w:val="00872EB3"/>
    <w:rsid w:val="00873ADD"/>
    <w:rsid w:val="0087451E"/>
    <w:rsid w:val="008814CE"/>
    <w:rsid w:val="0088209F"/>
    <w:rsid w:val="00883D1F"/>
    <w:rsid w:val="008842D8"/>
    <w:rsid w:val="008862E6"/>
    <w:rsid w:val="00886C86"/>
    <w:rsid w:val="00887B58"/>
    <w:rsid w:val="008904F1"/>
    <w:rsid w:val="00890DBB"/>
    <w:rsid w:val="00891BF2"/>
    <w:rsid w:val="008924A5"/>
    <w:rsid w:val="00894B42"/>
    <w:rsid w:val="008951AF"/>
    <w:rsid w:val="008A1091"/>
    <w:rsid w:val="008A2F54"/>
    <w:rsid w:val="008A4C38"/>
    <w:rsid w:val="008A5012"/>
    <w:rsid w:val="008A51ED"/>
    <w:rsid w:val="008A67D9"/>
    <w:rsid w:val="008A6D0C"/>
    <w:rsid w:val="008A78A3"/>
    <w:rsid w:val="008B11B6"/>
    <w:rsid w:val="008B3890"/>
    <w:rsid w:val="008B3AB4"/>
    <w:rsid w:val="008B41A9"/>
    <w:rsid w:val="008B5628"/>
    <w:rsid w:val="008B5F76"/>
    <w:rsid w:val="008B6F3E"/>
    <w:rsid w:val="008B7107"/>
    <w:rsid w:val="008B7807"/>
    <w:rsid w:val="008C0711"/>
    <w:rsid w:val="008C09DD"/>
    <w:rsid w:val="008C3074"/>
    <w:rsid w:val="008C5453"/>
    <w:rsid w:val="008C6DBE"/>
    <w:rsid w:val="008C7803"/>
    <w:rsid w:val="008C7D4F"/>
    <w:rsid w:val="008D1FA0"/>
    <w:rsid w:val="008D2BCA"/>
    <w:rsid w:val="008D43DB"/>
    <w:rsid w:val="008D5F50"/>
    <w:rsid w:val="008D75EC"/>
    <w:rsid w:val="008D7EFF"/>
    <w:rsid w:val="008E0798"/>
    <w:rsid w:val="008E16E0"/>
    <w:rsid w:val="008E4B6B"/>
    <w:rsid w:val="008E55DC"/>
    <w:rsid w:val="008E55E9"/>
    <w:rsid w:val="008E5D3B"/>
    <w:rsid w:val="008F05C4"/>
    <w:rsid w:val="008F0E9B"/>
    <w:rsid w:val="008F15E7"/>
    <w:rsid w:val="008F5A17"/>
    <w:rsid w:val="00904248"/>
    <w:rsid w:val="009059B9"/>
    <w:rsid w:val="00907AB8"/>
    <w:rsid w:val="00911791"/>
    <w:rsid w:val="00912D5E"/>
    <w:rsid w:val="00912D89"/>
    <w:rsid w:val="00913264"/>
    <w:rsid w:val="00913EBC"/>
    <w:rsid w:val="00914876"/>
    <w:rsid w:val="009152F4"/>
    <w:rsid w:val="00917EA2"/>
    <w:rsid w:val="00920379"/>
    <w:rsid w:val="009226BA"/>
    <w:rsid w:val="00923102"/>
    <w:rsid w:val="009247DE"/>
    <w:rsid w:val="00924F2B"/>
    <w:rsid w:val="00925B32"/>
    <w:rsid w:val="00926395"/>
    <w:rsid w:val="00927E23"/>
    <w:rsid w:val="009332C8"/>
    <w:rsid w:val="009332D0"/>
    <w:rsid w:val="00934B0B"/>
    <w:rsid w:val="0093769E"/>
    <w:rsid w:val="0093780E"/>
    <w:rsid w:val="00937E45"/>
    <w:rsid w:val="00944864"/>
    <w:rsid w:val="00946322"/>
    <w:rsid w:val="0094697D"/>
    <w:rsid w:val="00947ABD"/>
    <w:rsid w:val="00947CBD"/>
    <w:rsid w:val="009529FC"/>
    <w:rsid w:val="00955112"/>
    <w:rsid w:val="00955552"/>
    <w:rsid w:val="00956A0C"/>
    <w:rsid w:val="00960B72"/>
    <w:rsid w:val="0096268F"/>
    <w:rsid w:val="0096284B"/>
    <w:rsid w:val="00965DC0"/>
    <w:rsid w:val="0096601B"/>
    <w:rsid w:val="0096725A"/>
    <w:rsid w:val="009709B3"/>
    <w:rsid w:val="00974CB3"/>
    <w:rsid w:val="00974CF3"/>
    <w:rsid w:val="00975AD5"/>
    <w:rsid w:val="00977E25"/>
    <w:rsid w:val="009826A9"/>
    <w:rsid w:val="00986F41"/>
    <w:rsid w:val="00987A74"/>
    <w:rsid w:val="0099044B"/>
    <w:rsid w:val="00991FDB"/>
    <w:rsid w:val="009923AF"/>
    <w:rsid w:val="009925B2"/>
    <w:rsid w:val="00993C04"/>
    <w:rsid w:val="00995E5C"/>
    <w:rsid w:val="00996888"/>
    <w:rsid w:val="009977F8"/>
    <w:rsid w:val="00997B2E"/>
    <w:rsid w:val="009A2A57"/>
    <w:rsid w:val="009A5662"/>
    <w:rsid w:val="009A687A"/>
    <w:rsid w:val="009A7311"/>
    <w:rsid w:val="009A75E1"/>
    <w:rsid w:val="009A7B99"/>
    <w:rsid w:val="009B03E4"/>
    <w:rsid w:val="009B05A0"/>
    <w:rsid w:val="009B3C1F"/>
    <w:rsid w:val="009B603B"/>
    <w:rsid w:val="009C0074"/>
    <w:rsid w:val="009C0EF7"/>
    <w:rsid w:val="009C2423"/>
    <w:rsid w:val="009C3037"/>
    <w:rsid w:val="009C3E36"/>
    <w:rsid w:val="009C58F0"/>
    <w:rsid w:val="009D0EBD"/>
    <w:rsid w:val="009D463D"/>
    <w:rsid w:val="009D50E0"/>
    <w:rsid w:val="009E194A"/>
    <w:rsid w:val="009E5E38"/>
    <w:rsid w:val="009E5F4A"/>
    <w:rsid w:val="009F13DE"/>
    <w:rsid w:val="009F1D37"/>
    <w:rsid w:val="009F279F"/>
    <w:rsid w:val="009F545A"/>
    <w:rsid w:val="009F5584"/>
    <w:rsid w:val="009F5807"/>
    <w:rsid w:val="009F5EBA"/>
    <w:rsid w:val="009F60BE"/>
    <w:rsid w:val="009F6B58"/>
    <w:rsid w:val="00A02427"/>
    <w:rsid w:val="00A02D74"/>
    <w:rsid w:val="00A051A1"/>
    <w:rsid w:val="00A05BE3"/>
    <w:rsid w:val="00A109A9"/>
    <w:rsid w:val="00A11D2A"/>
    <w:rsid w:val="00A13CB7"/>
    <w:rsid w:val="00A15167"/>
    <w:rsid w:val="00A160AF"/>
    <w:rsid w:val="00A16E57"/>
    <w:rsid w:val="00A20C4E"/>
    <w:rsid w:val="00A20F78"/>
    <w:rsid w:val="00A22493"/>
    <w:rsid w:val="00A22AB3"/>
    <w:rsid w:val="00A255EA"/>
    <w:rsid w:val="00A25DA0"/>
    <w:rsid w:val="00A27328"/>
    <w:rsid w:val="00A3181B"/>
    <w:rsid w:val="00A32746"/>
    <w:rsid w:val="00A33341"/>
    <w:rsid w:val="00A34635"/>
    <w:rsid w:val="00A351A0"/>
    <w:rsid w:val="00A35F83"/>
    <w:rsid w:val="00A3685A"/>
    <w:rsid w:val="00A36ED0"/>
    <w:rsid w:val="00A400B2"/>
    <w:rsid w:val="00A410C7"/>
    <w:rsid w:val="00A41315"/>
    <w:rsid w:val="00A41F1C"/>
    <w:rsid w:val="00A4380B"/>
    <w:rsid w:val="00A439BC"/>
    <w:rsid w:val="00A43D39"/>
    <w:rsid w:val="00A44CE4"/>
    <w:rsid w:val="00A45286"/>
    <w:rsid w:val="00A45E69"/>
    <w:rsid w:val="00A469AC"/>
    <w:rsid w:val="00A46B37"/>
    <w:rsid w:val="00A47FBA"/>
    <w:rsid w:val="00A50B85"/>
    <w:rsid w:val="00A51FEE"/>
    <w:rsid w:val="00A55A2E"/>
    <w:rsid w:val="00A572C4"/>
    <w:rsid w:val="00A601DF"/>
    <w:rsid w:val="00A611BE"/>
    <w:rsid w:val="00A63416"/>
    <w:rsid w:val="00A64555"/>
    <w:rsid w:val="00A651A4"/>
    <w:rsid w:val="00A6528B"/>
    <w:rsid w:val="00A71E92"/>
    <w:rsid w:val="00A80868"/>
    <w:rsid w:val="00A81953"/>
    <w:rsid w:val="00A910CB"/>
    <w:rsid w:val="00A93529"/>
    <w:rsid w:val="00A94476"/>
    <w:rsid w:val="00A94D40"/>
    <w:rsid w:val="00A95F92"/>
    <w:rsid w:val="00A96008"/>
    <w:rsid w:val="00A971FD"/>
    <w:rsid w:val="00AA043E"/>
    <w:rsid w:val="00AA157A"/>
    <w:rsid w:val="00AA1A7B"/>
    <w:rsid w:val="00AA2F46"/>
    <w:rsid w:val="00AA745A"/>
    <w:rsid w:val="00AB22F9"/>
    <w:rsid w:val="00AB356A"/>
    <w:rsid w:val="00AB7382"/>
    <w:rsid w:val="00AB7E39"/>
    <w:rsid w:val="00AC433E"/>
    <w:rsid w:val="00AC5460"/>
    <w:rsid w:val="00AC586F"/>
    <w:rsid w:val="00AC6561"/>
    <w:rsid w:val="00AD1560"/>
    <w:rsid w:val="00AD1D93"/>
    <w:rsid w:val="00AD3709"/>
    <w:rsid w:val="00AD68A7"/>
    <w:rsid w:val="00AE0571"/>
    <w:rsid w:val="00AE07DE"/>
    <w:rsid w:val="00AE0B68"/>
    <w:rsid w:val="00AE43B5"/>
    <w:rsid w:val="00AE620B"/>
    <w:rsid w:val="00AE6F44"/>
    <w:rsid w:val="00AE733B"/>
    <w:rsid w:val="00AE7C5F"/>
    <w:rsid w:val="00AE7CA6"/>
    <w:rsid w:val="00AF03C3"/>
    <w:rsid w:val="00AF1232"/>
    <w:rsid w:val="00AF65A3"/>
    <w:rsid w:val="00AF74EA"/>
    <w:rsid w:val="00B02241"/>
    <w:rsid w:val="00B03A4D"/>
    <w:rsid w:val="00B04263"/>
    <w:rsid w:val="00B05830"/>
    <w:rsid w:val="00B05BDD"/>
    <w:rsid w:val="00B120AC"/>
    <w:rsid w:val="00B15A59"/>
    <w:rsid w:val="00B16C73"/>
    <w:rsid w:val="00B218C9"/>
    <w:rsid w:val="00B22184"/>
    <w:rsid w:val="00B24AEE"/>
    <w:rsid w:val="00B2597F"/>
    <w:rsid w:val="00B25A35"/>
    <w:rsid w:val="00B27928"/>
    <w:rsid w:val="00B316B8"/>
    <w:rsid w:val="00B321E7"/>
    <w:rsid w:val="00B33379"/>
    <w:rsid w:val="00B33762"/>
    <w:rsid w:val="00B3427C"/>
    <w:rsid w:val="00B34B62"/>
    <w:rsid w:val="00B416F1"/>
    <w:rsid w:val="00B41A07"/>
    <w:rsid w:val="00B41AF8"/>
    <w:rsid w:val="00B42608"/>
    <w:rsid w:val="00B44314"/>
    <w:rsid w:val="00B46C7E"/>
    <w:rsid w:val="00B5688F"/>
    <w:rsid w:val="00B61959"/>
    <w:rsid w:val="00B61BB4"/>
    <w:rsid w:val="00B61EC7"/>
    <w:rsid w:val="00B6292C"/>
    <w:rsid w:val="00B6537A"/>
    <w:rsid w:val="00B65665"/>
    <w:rsid w:val="00B6686B"/>
    <w:rsid w:val="00B67FB8"/>
    <w:rsid w:val="00B720E1"/>
    <w:rsid w:val="00B73D0C"/>
    <w:rsid w:val="00B751EB"/>
    <w:rsid w:val="00B75B89"/>
    <w:rsid w:val="00B76555"/>
    <w:rsid w:val="00B8375B"/>
    <w:rsid w:val="00B84E39"/>
    <w:rsid w:val="00B85A30"/>
    <w:rsid w:val="00B8732F"/>
    <w:rsid w:val="00B92255"/>
    <w:rsid w:val="00B92CD2"/>
    <w:rsid w:val="00B93815"/>
    <w:rsid w:val="00B968BE"/>
    <w:rsid w:val="00BA1D23"/>
    <w:rsid w:val="00BA2AAE"/>
    <w:rsid w:val="00BA2B0A"/>
    <w:rsid w:val="00BA30CF"/>
    <w:rsid w:val="00BA31D9"/>
    <w:rsid w:val="00BA5693"/>
    <w:rsid w:val="00BB3DF3"/>
    <w:rsid w:val="00BB3E3C"/>
    <w:rsid w:val="00BB546C"/>
    <w:rsid w:val="00BB5AE0"/>
    <w:rsid w:val="00BB69DD"/>
    <w:rsid w:val="00BC3C01"/>
    <w:rsid w:val="00BC48B4"/>
    <w:rsid w:val="00BC67A6"/>
    <w:rsid w:val="00BC7D4C"/>
    <w:rsid w:val="00BD2582"/>
    <w:rsid w:val="00BD26E8"/>
    <w:rsid w:val="00BD2AB1"/>
    <w:rsid w:val="00BD72A5"/>
    <w:rsid w:val="00BE3120"/>
    <w:rsid w:val="00BE48EE"/>
    <w:rsid w:val="00BE7922"/>
    <w:rsid w:val="00BF098F"/>
    <w:rsid w:val="00BF1B4F"/>
    <w:rsid w:val="00BF2F9D"/>
    <w:rsid w:val="00BF452A"/>
    <w:rsid w:val="00BF50FB"/>
    <w:rsid w:val="00BF6A68"/>
    <w:rsid w:val="00BF7548"/>
    <w:rsid w:val="00C109FC"/>
    <w:rsid w:val="00C1167C"/>
    <w:rsid w:val="00C12619"/>
    <w:rsid w:val="00C127C7"/>
    <w:rsid w:val="00C15117"/>
    <w:rsid w:val="00C15BAB"/>
    <w:rsid w:val="00C16830"/>
    <w:rsid w:val="00C2447A"/>
    <w:rsid w:val="00C256C3"/>
    <w:rsid w:val="00C267E5"/>
    <w:rsid w:val="00C27473"/>
    <w:rsid w:val="00C27C48"/>
    <w:rsid w:val="00C306B5"/>
    <w:rsid w:val="00C320E9"/>
    <w:rsid w:val="00C327E8"/>
    <w:rsid w:val="00C37CA9"/>
    <w:rsid w:val="00C4408D"/>
    <w:rsid w:val="00C44D44"/>
    <w:rsid w:val="00C45301"/>
    <w:rsid w:val="00C453EA"/>
    <w:rsid w:val="00C4720D"/>
    <w:rsid w:val="00C50371"/>
    <w:rsid w:val="00C51E11"/>
    <w:rsid w:val="00C54401"/>
    <w:rsid w:val="00C5454D"/>
    <w:rsid w:val="00C56079"/>
    <w:rsid w:val="00C56399"/>
    <w:rsid w:val="00C56410"/>
    <w:rsid w:val="00C56942"/>
    <w:rsid w:val="00C606BE"/>
    <w:rsid w:val="00C644AA"/>
    <w:rsid w:val="00C64B51"/>
    <w:rsid w:val="00C66CF5"/>
    <w:rsid w:val="00C73781"/>
    <w:rsid w:val="00C76AA1"/>
    <w:rsid w:val="00C76C71"/>
    <w:rsid w:val="00C844C4"/>
    <w:rsid w:val="00C8507E"/>
    <w:rsid w:val="00C86684"/>
    <w:rsid w:val="00C86C21"/>
    <w:rsid w:val="00C90503"/>
    <w:rsid w:val="00C91199"/>
    <w:rsid w:val="00C92347"/>
    <w:rsid w:val="00C9363C"/>
    <w:rsid w:val="00C9418B"/>
    <w:rsid w:val="00C95129"/>
    <w:rsid w:val="00C9773D"/>
    <w:rsid w:val="00CA02D1"/>
    <w:rsid w:val="00CA04A2"/>
    <w:rsid w:val="00CA2456"/>
    <w:rsid w:val="00CA69BE"/>
    <w:rsid w:val="00CB0D6F"/>
    <w:rsid w:val="00CB4BB3"/>
    <w:rsid w:val="00CB5081"/>
    <w:rsid w:val="00CB6FA8"/>
    <w:rsid w:val="00CB72BA"/>
    <w:rsid w:val="00CC2650"/>
    <w:rsid w:val="00CC6013"/>
    <w:rsid w:val="00CD0C8A"/>
    <w:rsid w:val="00CD1E16"/>
    <w:rsid w:val="00CD3CEE"/>
    <w:rsid w:val="00CD5C73"/>
    <w:rsid w:val="00CD6CFA"/>
    <w:rsid w:val="00CE16E9"/>
    <w:rsid w:val="00CE1B1D"/>
    <w:rsid w:val="00CE2C7E"/>
    <w:rsid w:val="00CE3FF7"/>
    <w:rsid w:val="00CE481D"/>
    <w:rsid w:val="00CE5408"/>
    <w:rsid w:val="00CE5443"/>
    <w:rsid w:val="00CE61FA"/>
    <w:rsid w:val="00CF1EFE"/>
    <w:rsid w:val="00CF2622"/>
    <w:rsid w:val="00CF2FFF"/>
    <w:rsid w:val="00CF6D76"/>
    <w:rsid w:val="00CF6FDE"/>
    <w:rsid w:val="00D00C1F"/>
    <w:rsid w:val="00D00E60"/>
    <w:rsid w:val="00D02CDC"/>
    <w:rsid w:val="00D05CD9"/>
    <w:rsid w:val="00D06521"/>
    <w:rsid w:val="00D07476"/>
    <w:rsid w:val="00D11409"/>
    <w:rsid w:val="00D13C8C"/>
    <w:rsid w:val="00D14B4F"/>
    <w:rsid w:val="00D15654"/>
    <w:rsid w:val="00D15B9B"/>
    <w:rsid w:val="00D15C30"/>
    <w:rsid w:val="00D16780"/>
    <w:rsid w:val="00D17E80"/>
    <w:rsid w:val="00D20C55"/>
    <w:rsid w:val="00D2230A"/>
    <w:rsid w:val="00D226A0"/>
    <w:rsid w:val="00D22A74"/>
    <w:rsid w:val="00D24C1F"/>
    <w:rsid w:val="00D269DA"/>
    <w:rsid w:val="00D274F9"/>
    <w:rsid w:val="00D3162E"/>
    <w:rsid w:val="00D32645"/>
    <w:rsid w:val="00D328A3"/>
    <w:rsid w:val="00D32D24"/>
    <w:rsid w:val="00D33DD3"/>
    <w:rsid w:val="00D3490F"/>
    <w:rsid w:val="00D35A39"/>
    <w:rsid w:val="00D374A8"/>
    <w:rsid w:val="00D40195"/>
    <w:rsid w:val="00D4084A"/>
    <w:rsid w:val="00D42929"/>
    <w:rsid w:val="00D42FD7"/>
    <w:rsid w:val="00D4396D"/>
    <w:rsid w:val="00D44441"/>
    <w:rsid w:val="00D46838"/>
    <w:rsid w:val="00D46880"/>
    <w:rsid w:val="00D50499"/>
    <w:rsid w:val="00D50DC4"/>
    <w:rsid w:val="00D53B41"/>
    <w:rsid w:val="00D53E60"/>
    <w:rsid w:val="00D545A9"/>
    <w:rsid w:val="00D57C23"/>
    <w:rsid w:val="00D61070"/>
    <w:rsid w:val="00D6210B"/>
    <w:rsid w:val="00D65184"/>
    <w:rsid w:val="00D66E88"/>
    <w:rsid w:val="00D675D7"/>
    <w:rsid w:val="00D67A9D"/>
    <w:rsid w:val="00D67BB4"/>
    <w:rsid w:val="00D70777"/>
    <w:rsid w:val="00D7108B"/>
    <w:rsid w:val="00D763BB"/>
    <w:rsid w:val="00D814FB"/>
    <w:rsid w:val="00D81A29"/>
    <w:rsid w:val="00D82AEC"/>
    <w:rsid w:val="00D852EF"/>
    <w:rsid w:val="00D86250"/>
    <w:rsid w:val="00D872E2"/>
    <w:rsid w:val="00D90227"/>
    <w:rsid w:val="00D91A69"/>
    <w:rsid w:val="00D94786"/>
    <w:rsid w:val="00D95CAA"/>
    <w:rsid w:val="00D96A89"/>
    <w:rsid w:val="00D97434"/>
    <w:rsid w:val="00D97E7C"/>
    <w:rsid w:val="00DA0ECD"/>
    <w:rsid w:val="00DA124E"/>
    <w:rsid w:val="00DA1869"/>
    <w:rsid w:val="00DB0045"/>
    <w:rsid w:val="00DB4E23"/>
    <w:rsid w:val="00DC22E3"/>
    <w:rsid w:val="00DC3A49"/>
    <w:rsid w:val="00DC6793"/>
    <w:rsid w:val="00DD0B60"/>
    <w:rsid w:val="00DD1590"/>
    <w:rsid w:val="00DD27B2"/>
    <w:rsid w:val="00DD2BD7"/>
    <w:rsid w:val="00DD3B85"/>
    <w:rsid w:val="00DD4AD0"/>
    <w:rsid w:val="00DD5B75"/>
    <w:rsid w:val="00DD6C65"/>
    <w:rsid w:val="00DD791A"/>
    <w:rsid w:val="00DE4AA8"/>
    <w:rsid w:val="00DE76D5"/>
    <w:rsid w:val="00DE7CE3"/>
    <w:rsid w:val="00DE7D06"/>
    <w:rsid w:val="00DF1608"/>
    <w:rsid w:val="00DF4448"/>
    <w:rsid w:val="00DF6DC3"/>
    <w:rsid w:val="00E00C5C"/>
    <w:rsid w:val="00E014F7"/>
    <w:rsid w:val="00E01600"/>
    <w:rsid w:val="00E02128"/>
    <w:rsid w:val="00E0695B"/>
    <w:rsid w:val="00E06C02"/>
    <w:rsid w:val="00E07716"/>
    <w:rsid w:val="00E13420"/>
    <w:rsid w:val="00E13E86"/>
    <w:rsid w:val="00E20B2F"/>
    <w:rsid w:val="00E244E8"/>
    <w:rsid w:val="00E2464E"/>
    <w:rsid w:val="00E25A96"/>
    <w:rsid w:val="00E26BA4"/>
    <w:rsid w:val="00E26BF4"/>
    <w:rsid w:val="00E27587"/>
    <w:rsid w:val="00E30948"/>
    <w:rsid w:val="00E31442"/>
    <w:rsid w:val="00E318FD"/>
    <w:rsid w:val="00E34E20"/>
    <w:rsid w:val="00E37CFC"/>
    <w:rsid w:val="00E4022B"/>
    <w:rsid w:val="00E40E16"/>
    <w:rsid w:val="00E414F7"/>
    <w:rsid w:val="00E42753"/>
    <w:rsid w:val="00E42859"/>
    <w:rsid w:val="00E457A8"/>
    <w:rsid w:val="00E469C6"/>
    <w:rsid w:val="00E51B20"/>
    <w:rsid w:val="00E52668"/>
    <w:rsid w:val="00E52C81"/>
    <w:rsid w:val="00E5304C"/>
    <w:rsid w:val="00E55708"/>
    <w:rsid w:val="00E558BE"/>
    <w:rsid w:val="00E56775"/>
    <w:rsid w:val="00E567C9"/>
    <w:rsid w:val="00E57744"/>
    <w:rsid w:val="00E62C20"/>
    <w:rsid w:val="00E63ADD"/>
    <w:rsid w:val="00E64DFF"/>
    <w:rsid w:val="00E70EAA"/>
    <w:rsid w:val="00E7102F"/>
    <w:rsid w:val="00E72D7B"/>
    <w:rsid w:val="00E74013"/>
    <w:rsid w:val="00E76048"/>
    <w:rsid w:val="00E7631C"/>
    <w:rsid w:val="00E77FC7"/>
    <w:rsid w:val="00E80F78"/>
    <w:rsid w:val="00E81F24"/>
    <w:rsid w:val="00E820FD"/>
    <w:rsid w:val="00E85585"/>
    <w:rsid w:val="00E8583D"/>
    <w:rsid w:val="00E933D7"/>
    <w:rsid w:val="00E96BEB"/>
    <w:rsid w:val="00E97722"/>
    <w:rsid w:val="00E97EF0"/>
    <w:rsid w:val="00EA34D0"/>
    <w:rsid w:val="00EA3A95"/>
    <w:rsid w:val="00EA4BDA"/>
    <w:rsid w:val="00EA6199"/>
    <w:rsid w:val="00EA6457"/>
    <w:rsid w:val="00EB028F"/>
    <w:rsid w:val="00EB2AD1"/>
    <w:rsid w:val="00EB518A"/>
    <w:rsid w:val="00EC0BCD"/>
    <w:rsid w:val="00EC22F4"/>
    <w:rsid w:val="00EC288F"/>
    <w:rsid w:val="00EC3123"/>
    <w:rsid w:val="00EC31FD"/>
    <w:rsid w:val="00ED0F5C"/>
    <w:rsid w:val="00ED167A"/>
    <w:rsid w:val="00ED238C"/>
    <w:rsid w:val="00ED25FE"/>
    <w:rsid w:val="00ED36D8"/>
    <w:rsid w:val="00ED6B5C"/>
    <w:rsid w:val="00ED6F8B"/>
    <w:rsid w:val="00ED7B6B"/>
    <w:rsid w:val="00ED7CBA"/>
    <w:rsid w:val="00EE1385"/>
    <w:rsid w:val="00EE18B1"/>
    <w:rsid w:val="00EE21E9"/>
    <w:rsid w:val="00EE263D"/>
    <w:rsid w:val="00EE43A9"/>
    <w:rsid w:val="00EE5401"/>
    <w:rsid w:val="00EE5485"/>
    <w:rsid w:val="00EF2CB7"/>
    <w:rsid w:val="00EF3E30"/>
    <w:rsid w:val="00EF42E7"/>
    <w:rsid w:val="00EF7396"/>
    <w:rsid w:val="00EF7812"/>
    <w:rsid w:val="00F060A9"/>
    <w:rsid w:val="00F1195B"/>
    <w:rsid w:val="00F15FB3"/>
    <w:rsid w:val="00F22A9E"/>
    <w:rsid w:val="00F2471D"/>
    <w:rsid w:val="00F270C4"/>
    <w:rsid w:val="00F4184C"/>
    <w:rsid w:val="00F43D01"/>
    <w:rsid w:val="00F4412E"/>
    <w:rsid w:val="00F44794"/>
    <w:rsid w:val="00F45CDD"/>
    <w:rsid w:val="00F464EC"/>
    <w:rsid w:val="00F50FFB"/>
    <w:rsid w:val="00F511ED"/>
    <w:rsid w:val="00F5157C"/>
    <w:rsid w:val="00F5171A"/>
    <w:rsid w:val="00F52272"/>
    <w:rsid w:val="00F52C0F"/>
    <w:rsid w:val="00F616AC"/>
    <w:rsid w:val="00F64402"/>
    <w:rsid w:val="00F651E5"/>
    <w:rsid w:val="00F65C53"/>
    <w:rsid w:val="00F709B2"/>
    <w:rsid w:val="00F711C9"/>
    <w:rsid w:val="00F72C69"/>
    <w:rsid w:val="00F73219"/>
    <w:rsid w:val="00F80662"/>
    <w:rsid w:val="00F80DD9"/>
    <w:rsid w:val="00F836C6"/>
    <w:rsid w:val="00F84958"/>
    <w:rsid w:val="00F853C6"/>
    <w:rsid w:val="00F85445"/>
    <w:rsid w:val="00F8698F"/>
    <w:rsid w:val="00F86D42"/>
    <w:rsid w:val="00F875E1"/>
    <w:rsid w:val="00F87BE0"/>
    <w:rsid w:val="00F90317"/>
    <w:rsid w:val="00F97497"/>
    <w:rsid w:val="00FA0167"/>
    <w:rsid w:val="00FA077E"/>
    <w:rsid w:val="00FA2FB7"/>
    <w:rsid w:val="00FA48BE"/>
    <w:rsid w:val="00FA7F3F"/>
    <w:rsid w:val="00FB0D43"/>
    <w:rsid w:val="00FB44AB"/>
    <w:rsid w:val="00FB45B2"/>
    <w:rsid w:val="00FB4657"/>
    <w:rsid w:val="00FB4FA0"/>
    <w:rsid w:val="00FB638D"/>
    <w:rsid w:val="00FB6CB0"/>
    <w:rsid w:val="00FB70ED"/>
    <w:rsid w:val="00FC0101"/>
    <w:rsid w:val="00FC24D9"/>
    <w:rsid w:val="00FC472C"/>
    <w:rsid w:val="00FC5934"/>
    <w:rsid w:val="00FC6ACF"/>
    <w:rsid w:val="00FD025E"/>
    <w:rsid w:val="00FD03D4"/>
    <w:rsid w:val="00FD18F5"/>
    <w:rsid w:val="00FD2E23"/>
    <w:rsid w:val="00FD2F36"/>
    <w:rsid w:val="00FD43B0"/>
    <w:rsid w:val="00FD4F7E"/>
    <w:rsid w:val="00FD6022"/>
    <w:rsid w:val="00FE1BCA"/>
    <w:rsid w:val="00FE4BB2"/>
    <w:rsid w:val="00FE4F9D"/>
    <w:rsid w:val="00FE5BE3"/>
    <w:rsid w:val="00FE79EF"/>
    <w:rsid w:val="00FE7B93"/>
    <w:rsid w:val="00FE7C92"/>
    <w:rsid w:val="00FF10CA"/>
    <w:rsid w:val="00FF134E"/>
    <w:rsid w:val="00FF2F41"/>
    <w:rsid w:val="00FF30CB"/>
    <w:rsid w:val="00FF3E32"/>
    <w:rsid w:val="00FF42FD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98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F05C4"/>
    <w:pPr>
      <w:keepNext/>
      <w:keepLines/>
      <w:spacing w:after="36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dpis2">
    <w:name w:val="heading 2"/>
    <w:aliases w:val="Nadpis 2;Nadpis 2 úroveň,h2,Nadpis 2 úroveň"/>
    <w:basedOn w:val="Odstavecseseznamem"/>
    <w:next w:val="Normln"/>
    <w:link w:val="Nadpis2Char"/>
    <w:uiPriority w:val="9"/>
    <w:unhideWhenUsed/>
    <w:qFormat/>
    <w:rsid w:val="008F05C4"/>
    <w:pPr>
      <w:numPr>
        <w:ilvl w:val="1"/>
        <w:numId w:val="1"/>
      </w:numPr>
      <w:spacing w:after="200" w:line="276" w:lineRule="auto"/>
      <w:outlineLvl w:val="1"/>
    </w:pPr>
    <w:rPr>
      <w:rFonts w:asciiTheme="minorHAnsi" w:eastAsiaTheme="minorHAnsi" w:hAnsiTheme="minorHAnsi" w:cstheme="minorBidi"/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9A5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6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23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3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3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3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2386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uiPriority w:val="11"/>
    <w:rsid w:val="00242386"/>
    <w:rPr>
      <w:rFonts w:ascii="Cambria" w:eastAsia="Times New Roman" w:hAnsi="Cambria" w:cs="Times New Roman"/>
      <w:sz w:val="24"/>
      <w:szCs w:val="24"/>
      <w:lang w:eastAsia="cs-CZ"/>
    </w:rPr>
  </w:style>
  <w:style w:type="paragraph" w:styleId="Odstavecseseznamem">
    <w:name w:val="List Paragraph"/>
    <w:aliases w:val="Conclusion de partie,List Paragraph"/>
    <w:basedOn w:val="Normln"/>
    <w:link w:val="OdstavecseseznamemChar"/>
    <w:qFormat/>
    <w:rsid w:val="008F05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F05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Nadpis 2;Nadpis 2 úroveň Char,h2 Char,Nadpis 2 úroveň Char"/>
    <w:basedOn w:val="Standardnpsmoodstavce"/>
    <w:link w:val="Nadpis2"/>
    <w:uiPriority w:val="9"/>
    <w:rsid w:val="008F05C4"/>
    <w:rPr>
      <w:b/>
      <w:sz w:val="24"/>
      <w:szCs w:val="20"/>
    </w:rPr>
  </w:style>
  <w:style w:type="character" w:customStyle="1" w:styleId="OdstavecseseznamemChar">
    <w:name w:val="Odstavec se seznamem Char"/>
    <w:aliases w:val="Conclusion de partie Char,List Paragraph Char"/>
    <w:link w:val="Odstavecseseznamem"/>
    <w:rsid w:val="008F05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B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5B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5BAB"/>
    <w:rPr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084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084A"/>
    <w:rPr>
      <w:rFonts w:ascii="Calibri" w:hAnsi="Calibri" w:cs="Consolas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A611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11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11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1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1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FB4FA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8D1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">
    <w:name w:val="bodytext"/>
    <w:basedOn w:val="Normln"/>
    <w:rsid w:val="00863179"/>
    <w:pPr>
      <w:spacing w:before="100" w:beforeAutospacing="1" w:after="100" w:afterAutospacing="1"/>
    </w:pPr>
  </w:style>
  <w:style w:type="numbering" w:customStyle="1" w:styleId="VariantaA-odrky">
    <w:name w:val="Varianta A - odrážky"/>
    <w:uiPriority w:val="99"/>
    <w:rsid w:val="00AD1D93"/>
    <w:pPr>
      <w:numPr>
        <w:numId w:val="2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AD1D93"/>
    <w:pPr>
      <w:numPr>
        <w:ilvl w:val="2"/>
        <w:numId w:val="3"/>
      </w:numPr>
      <w:spacing w:line="293" w:lineRule="auto"/>
      <w:ind w:left="2880" w:hanging="18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styleId="Seznamsodrkami4">
    <w:name w:val="List Bullet 4"/>
    <w:aliases w:val="Seznam s odrážkami A 4"/>
    <w:basedOn w:val="Normln"/>
    <w:uiPriority w:val="10"/>
    <w:qFormat/>
    <w:rsid w:val="00AD1D93"/>
    <w:pPr>
      <w:numPr>
        <w:ilvl w:val="3"/>
        <w:numId w:val="3"/>
      </w:numPr>
      <w:spacing w:line="293" w:lineRule="auto"/>
      <w:ind w:left="3600" w:hanging="36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styleId="Seznamsodrkami5">
    <w:name w:val="List Bullet 5"/>
    <w:aliases w:val="Seznam s odrážkami A 5"/>
    <w:basedOn w:val="Normln"/>
    <w:uiPriority w:val="10"/>
    <w:qFormat/>
    <w:rsid w:val="00AD1D93"/>
    <w:pPr>
      <w:numPr>
        <w:ilvl w:val="4"/>
        <w:numId w:val="3"/>
      </w:numPr>
      <w:spacing w:line="293" w:lineRule="auto"/>
      <w:ind w:left="4320" w:hanging="360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styleId="Seznamsodrkami">
    <w:name w:val="List Bullet"/>
    <w:aliases w:val="Seznam s odrážkami A"/>
    <w:basedOn w:val="Normln"/>
    <w:uiPriority w:val="10"/>
    <w:qFormat/>
    <w:rsid w:val="00AD1D93"/>
    <w:pPr>
      <w:numPr>
        <w:numId w:val="3"/>
      </w:numPr>
      <w:spacing w:line="293" w:lineRule="auto"/>
      <w:ind w:left="1440" w:hanging="36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styleId="Seznamsodrkami2">
    <w:name w:val="List Bullet 2"/>
    <w:aliases w:val="Seznam s odrážkami A 2"/>
    <w:basedOn w:val="Normln"/>
    <w:uiPriority w:val="10"/>
    <w:qFormat/>
    <w:rsid w:val="00AD1D93"/>
    <w:pPr>
      <w:numPr>
        <w:ilvl w:val="1"/>
        <w:numId w:val="3"/>
      </w:numPr>
      <w:spacing w:line="293" w:lineRule="auto"/>
      <w:ind w:left="2160" w:hanging="36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352A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A32D6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D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azen">
    <w:name w:val="Normální_odsazený"/>
    <w:basedOn w:val="Normln"/>
    <w:qFormat/>
    <w:rsid w:val="00F73219"/>
    <w:pPr>
      <w:spacing w:after="160" w:line="340" w:lineRule="exact"/>
      <w:ind w:left="284"/>
    </w:pPr>
    <w:rPr>
      <w:rFonts w:asciiTheme="minorHAnsi" w:hAnsiTheme="minorHAnsi"/>
      <w:sz w:val="22"/>
      <w:lang w:eastAsia="en-US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B316B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draznn">
    <w:name w:val="Emphasis"/>
    <w:basedOn w:val="Standardnpsmoodstavce"/>
    <w:uiPriority w:val="20"/>
    <w:qFormat/>
    <w:rsid w:val="00070EEB"/>
    <w:rPr>
      <w:i/>
      <w:iCs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D4AD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1-1">
    <w:name w:val="Styl1 - 1."/>
    <w:basedOn w:val="Normln"/>
    <w:link w:val="Styl1-1Char"/>
    <w:qFormat/>
    <w:rsid w:val="007F3373"/>
    <w:pPr>
      <w:numPr>
        <w:numId w:val="9"/>
      </w:numPr>
      <w:overflowPunct w:val="0"/>
      <w:autoSpaceDE w:val="0"/>
      <w:autoSpaceDN w:val="0"/>
      <w:adjustRightInd w:val="0"/>
      <w:spacing w:before="120" w:after="240"/>
      <w:ind w:left="357" w:hanging="357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Styl1-a">
    <w:name w:val="Styl1 - a)"/>
    <w:basedOn w:val="Styl1-1"/>
    <w:link w:val="Styl1-aChar"/>
    <w:qFormat/>
    <w:rsid w:val="007F3373"/>
    <w:pPr>
      <w:numPr>
        <w:numId w:val="10"/>
      </w:numPr>
      <w:ind w:left="357" w:hanging="357"/>
    </w:pPr>
  </w:style>
  <w:style w:type="character" w:customStyle="1" w:styleId="Styl1-aChar">
    <w:name w:val="Styl1 - a) Char"/>
    <w:basedOn w:val="Standardnpsmoodstavce"/>
    <w:link w:val="Styl1-a"/>
    <w:rsid w:val="007F3373"/>
    <w:rPr>
      <w:rFonts w:ascii="Arial" w:eastAsia="Times New Roman" w:hAnsi="Arial" w:cs="Arial"/>
      <w:lang w:eastAsia="cs-CZ"/>
    </w:rPr>
  </w:style>
  <w:style w:type="numbering" w:customStyle="1" w:styleId="StylI-aa">
    <w:name w:val="Styl I-aa)"/>
    <w:uiPriority w:val="99"/>
    <w:rsid w:val="007F3373"/>
    <w:pPr>
      <w:numPr>
        <w:numId w:val="13"/>
      </w:numPr>
    </w:pPr>
  </w:style>
  <w:style w:type="paragraph" w:customStyle="1" w:styleId="StylI">
    <w:name w:val="Styl I."/>
    <w:basedOn w:val="Odstavecseseznamem"/>
    <w:link w:val="StylIChar"/>
    <w:qFormat/>
    <w:rsid w:val="007F3373"/>
    <w:pPr>
      <w:numPr>
        <w:numId w:val="11"/>
      </w:numPr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7F3373"/>
    <w:pPr>
      <w:numPr>
        <w:ilvl w:val="3"/>
        <w:numId w:val="11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7F3373"/>
    <w:pPr>
      <w:numPr>
        <w:ilvl w:val="2"/>
        <w:numId w:val="11"/>
      </w:numPr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7F3373"/>
    <w:rPr>
      <w:rFonts w:ascii="Arial" w:eastAsia="Calibri" w:hAnsi="Arial" w:cs="Arial"/>
    </w:rPr>
  </w:style>
  <w:style w:type="character" w:customStyle="1" w:styleId="Styl1Char">
    <w:name w:val="Styl   1. Char"/>
    <w:link w:val="Styl1"/>
    <w:locked/>
    <w:rsid w:val="007F3373"/>
    <w:rPr>
      <w:rFonts w:ascii="Arial" w:hAnsi="Arial" w:cs="Arial"/>
    </w:rPr>
  </w:style>
  <w:style w:type="paragraph" w:customStyle="1" w:styleId="Styl1">
    <w:name w:val="Styl   1."/>
    <w:basedOn w:val="Normln"/>
    <w:link w:val="Styl1Char"/>
    <w:qFormat/>
    <w:rsid w:val="007F3373"/>
    <w:pPr>
      <w:numPr>
        <w:numId w:val="12"/>
      </w:numPr>
      <w:spacing w:before="120" w:after="2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5236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yl1-1Char">
    <w:name w:val="Styl1 - 1. Char"/>
    <w:link w:val="Styl1-1"/>
    <w:rsid w:val="00701769"/>
    <w:rPr>
      <w:rFonts w:ascii="Arial" w:eastAsia="Times New Roman" w:hAnsi="Arial" w:cs="Arial"/>
      <w:lang w:eastAsia="cs-CZ"/>
    </w:rPr>
  </w:style>
  <w:style w:type="paragraph" w:customStyle="1" w:styleId="Styl1-I">
    <w:name w:val="Styl1 - I."/>
    <w:basedOn w:val="Normln"/>
    <w:link w:val="Styl1-IChar"/>
    <w:qFormat/>
    <w:rsid w:val="0008679D"/>
    <w:pPr>
      <w:numPr>
        <w:numId w:val="14"/>
      </w:numPr>
      <w:overflowPunct w:val="0"/>
      <w:autoSpaceDE w:val="0"/>
      <w:autoSpaceDN w:val="0"/>
      <w:adjustRightInd w:val="0"/>
      <w:spacing w:before="120" w:after="240"/>
      <w:ind w:left="357" w:hanging="357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Styl1-IChar">
    <w:name w:val="Styl1 - I. Char"/>
    <w:link w:val="Styl1-I"/>
    <w:rsid w:val="0008679D"/>
    <w:rPr>
      <w:rFonts w:ascii="Arial" w:eastAsia="Times New Roman" w:hAnsi="Arial" w:cs="Arial"/>
      <w:lang w:eastAsia="cs-CZ"/>
    </w:rPr>
  </w:style>
  <w:style w:type="character" w:customStyle="1" w:styleId="StylIChar">
    <w:name w:val="Styl I. Char"/>
    <w:link w:val="StylI"/>
    <w:rsid w:val="0008679D"/>
    <w:rPr>
      <w:rFonts w:ascii="Arial" w:eastAsia="Calibri" w:hAnsi="Arial" w:cs="Arial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"/>
    <w:basedOn w:val="Normln"/>
    <w:rsid w:val="002809D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1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16F1"/>
    <w:rPr>
      <w:color w:val="800080" w:themeColor="followedHyperlink"/>
      <w:u w:val="single"/>
    </w:rPr>
  </w:style>
  <w:style w:type="paragraph" w:customStyle="1" w:styleId="Nadpis31">
    <w:name w:val="Nadpis 31"/>
    <w:basedOn w:val="Normln"/>
    <w:next w:val="Normln"/>
    <w:uiPriority w:val="9"/>
    <w:semiHidden/>
    <w:unhideWhenUsed/>
    <w:qFormat/>
    <w:rsid w:val="0005367B"/>
    <w:pPr>
      <w:keepNext/>
      <w:spacing w:before="240" w:after="60" w:line="276" w:lineRule="auto"/>
      <w:ind w:left="2160" w:hanging="3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customStyle="1" w:styleId="Nadpis41">
    <w:name w:val="Nadpis 41"/>
    <w:basedOn w:val="Normln"/>
    <w:next w:val="Normln"/>
    <w:uiPriority w:val="9"/>
    <w:semiHidden/>
    <w:unhideWhenUsed/>
    <w:qFormat/>
    <w:rsid w:val="0005367B"/>
    <w:pPr>
      <w:keepNext/>
      <w:spacing w:before="240" w:after="60" w:line="276" w:lineRule="auto"/>
      <w:ind w:left="2880" w:hanging="3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"/>
    <w:next w:val="Normln"/>
    <w:uiPriority w:val="9"/>
    <w:semiHidden/>
    <w:unhideWhenUsed/>
    <w:qFormat/>
    <w:rsid w:val="0005367B"/>
    <w:pPr>
      <w:spacing w:before="240" w:after="60" w:line="276" w:lineRule="auto"/>
      <w:ind w:left="3600" w:hanging="3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"/>
    <w:next w:val="Normln"/>
    <w:uiPriority w:val="9"/>
    <w:semiHidden/>
    <w:unhideWhenUsed/>
    <w:qFormat/>
    <w:rsid w:val="0005367B"/>
    <w:pPr>
      <w:spacing w:before="240" w:after="60" w:line="276" w:lineRule="auto"/>
      <w:ind w:left="4320" w:hanging="360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05367B"/>
    <w:pPr>
      <w:spacing w:before="240" w:after="60" w:line="276" w:lineRule="auto"/>
      <w:ind w:left="5040" w:hanging="360"/>
      <w:outlineLvl w:val="6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05367B"/>
    <w:pPr>
      <w:spacing w:before="240" w:after="60" w:line="276" w:lineRule="auto"/>
      <w:ind w:left="5760" w:hanging="360"/>
      <w:outlineLvl w:val="7"/>
    </w:pPr>
    <w:rPr>
      <w:rFonts w:ascii="Calibri" w:eastAsia="Calibri" w:hAnsi="Calibri"/>
      <w:i/>
      <w:iCs/>
      <w:sz w:val="22"/>
      <w:szCs w:val="22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05367B"/>
    <w:pPr>
      <w:spacing w:before="240" w:after="60" w:line="276" w:lineRule="auto"/>
      <w:ind w:left="6480" w:hanging="360"/>
      <w:outlineLvl w:val="8"/>
    </w:pPr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8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555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86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999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12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47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23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3096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258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531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654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1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1140">
          <w:marLeft w:val="547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801">
          <w:marLeft w:val="10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6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9492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186">
          <w:marLeft w:val="172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1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06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29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8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701">
          <w:marLeft w:val="562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234">
          <w:marLeft w:val="562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1080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89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544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099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750">
          <w:marLeft w:val="172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F96B68F7D40A4BB0B8E46477EAE32D" ma:contentTypeVersion="12" ma:contentTypeDescription="Vytvoří nový dokument" ma:contentTypeScope="" ma:versionID="4667e4581948d627c9d16843adc51de1">
  <xsd:schema xmlns:xsd="http://www.w3.org/2001/XMLSchema" xmlns:xs="http://www.w3.org/2001/XMLSchema" xmlns:p="http://schemas.microsoft.com/office/2006/metadata/properties" xmlns:ns3="8f3018b8-9849-45a5-89cf-281e95f485d4" xmlns:ns4="c60299f8-0fd5-4013-864f-b36842f3a72d" targetNamespace="http://schemas.microsoft.com/office/2006/metadata/properties" ma:root="true" ma:fieldsID="956fe52924d0d638b35980280d92cef3" ns3:_="" ns4:_="">
    <xsd:import namespace="8f3018b8-9849-45a5-89cf-281e95f485d4"/>
    <xsd:import namespace="c60299f8-0fd5-4013-864f-b36842f3a7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018b8-9849-45a5-89cf-281e95f485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99f8-0fd5-4013-864f-b36842f3a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8241-D0F5-49A5-81A2-6FD63EBA9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C331E-8DC5-49EC-8508-C0A3279FF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018b8-9849-45a5-89cf-281e95f485d4"/>
    <ds:schemaRef ds:uri="c60299f8-0fd5-4013-864f-b36842f3a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51DC5-22C8-4402-81E2-7E2C5E72D24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60299f8-0fd5-4013-864f-b36842f3a72d"/>
    <ds:schemaRef ds:uri="http://purl.org/dc/elements/1.1/"/>
    <ds:schemaRef ds:uri="8f3018b8-9849-45a5-89cf-281e95f485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62E249-8EEC-462A-94A7-2EB29CF9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B7B9225A.dotm</Template>
  <TotalTime>0</TotalTime>
  <Pages>14</Pages>
  <Words>4768</Words>
  <Characters>28136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2023-06-27T10:01:00Z</dcterms:created>
  <dcterms:modified xsi:type="dcterms:W3CDTF">2023-06-27T10:59:00Z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0x010100C9F96B68F7D40A4BB0B8E46477EAE32D</vt:lpwstr>
  </property>
</Properties>
</file>