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6A" w:rsidRPr="00594C91" w:rsidRDefault="0070676A" w:rsidP="00C1157A">
      <w:pPr>
        <w:spacing w:after="240"/>
        <w:jc w:val="center"/>
        <w:rPr>
          <w:b/>
          <w:sz w:val="22"/>
          <w:szCs w:val="22"/>
        </w:rPr>
      </w:pPr>
      <w:r w:rsidRPr="00594C91">
        <w:rPr>
          <w:b/>
          <w:caps/>
          <w:sz w:val="22"/>
          <w:szCs w:val="22"/>
        </w:rPr>
        <w:t>Připomínky k materiálu s názvem</w:t>
      </w:r>
      <w:r w:rsidRPr="00594C91">
        <w:rPr>
          <w:b/>
          <w:sz w:val="22"/>
          <w:szCs w:val="22"/>
        </w:rPr>
        <w:t>:</w:t>
      </w:r>
    </w:p>
    <w:p w:rsidR="00854B39" w:rsidRPr="00594C91" w:rsidRDefault="00CF457C" w:rsidP="00C1157A">
      <w:pPr>
        <w:spacing w:after="360"/>
        <w:jc w:val="center"/>
        <w:rPr>
          <w:b/>
          <w:sz w:val="22"/>
          <w:szCs w:val="22"/>
        </w:rPr>
      </w:pPr>
      <w:r w:rsidRPr="00594C91">
        <w:rPr>
          <w:b/>
          <w:sz w:val="22"/>
          <w:szCs w:val="22"/>
        </w:rPr>
        <w:fldChar w:fldCharType="begin"/>
      </w:r>
      <w:r w:rsidRPr="00594C91">
        <w:rPr>
          <w:b/>
          <w:sz w:val="22"/>
          <w:szCs w:val="22"/>
        </w:rPr>
        <w:instrText xml:space="preserve"> MACROBUTTON  AkcentČárka </w:instrText>
      </w:r>
      <w:r w:rsidRPr="00594C91">
        <w:rPr>
          <w:b/>
          <w:sz w:val="22"/>
          <w:szCs w:val="22"/>
        </w:rPr>
        <w:fldChar w:fldCharType="end"/>
      </w:r>
      <w:r w:rsidR="00594C91" w:rsidRPr="00594C91">
        <w:t xml:space="preserve"> </w:t>
      </w:r>
      <w:r w:rsidR="00594C91" w:rsidRPr="00594C91">
        <w:rPr>
          <w:b/>
          <w:sz w:val="22"/>
          <w:szCs w:val="22"/>
        </w:rPr>
        <w:t>Aktualizace Vnitrostátního plánu České republiky v oblasti energetiky a klimatu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7027"/>
        <w:gridCol w:w="330"/>
      </w:tblGrid>
      <w:tr w:rsidR="00CF39EE" w:rsidRPr="00594C91" w:rsidTr="00504F79">
        <w:tc>
          <w:tcPr>
            <w:tcW w:w="1010" w:type="pct"/>
            <w:tcBorders>
              <w:top w:val="single" w:sz="4" w:space="0" w:color="auto"/>
              <w:left w:val="single" w:sz="4" w:space="0" w:color="auto"/>
              <w:bottom w:val="single" w:sz="8" w:space="0" w:color="auto"/>
              <w:right w:val="single" w:sz="4" w:space="0" w:color="auto"/>
            </w:tcBorders>
            <w:shd w:val="clear" w:color="auto" w:fill="auto"/>
          </w:tcPr>
          <w:p w:rsidR="00CF39EE" w:rsidRPr="00594C91" w:rsidRDefault="00CF39EE" w:rsidP="00C1157A">
            <w:pPr>
              <w:rPr>
                <w:b/>
                <w:bCs/>
                <w:sz w:val="22"/>
                <w:szCs w:val="22"/>
              </w:rPr>
            </w:pPr>
            <w:r w:rsidRPr="00594C91">
              <w:rPr>
                <w:b/>
                <w:bCs/>
                <w:sz w:val="22"/>
                <w:szCs w:val="22"/>
              </w:rPr>
              <w:t>Resort</w:t>
            </w:r>
          </w:p>
        </w:tc>
        <w:tc>
          <w:tcPr>
            <w:tcW w:w="3990" w:type="pct"/>
            <w:gridSpan w:val="2"/>
            <w:tcBorders>
              <w:top w:val="single" w:sz="4" w:space="0" w:color="auto"/>
              <w:left w:val="single" w:sz="4" w:space="0" w:color="auto"/>
              <w:bottom w:val="single" w:sz="8" w:space="0" w:color="auto"/>
              <w:right w:val="single" w:sz="4" w:space="0" w:color="auto"/>
            </w:tcBorders>
            <w:shd w:val="clear" w:color="auto" w:fill="auto"/>
          </w:tcPr>
          <w:p w:rsidR="00CF39EE" w:rsidRPr="00594C91" w:rsidRDefault="00CF39EE" w:rsidP="007E1384">
            <w:pPr>
              <w:rPr>
                <w:b/>
                <w:bCs/>
                <w:sz w:val="22"/>
                <w:szCs w:val="22"/>
              </w:rPr>
            </w:pPr>
            <w:r w:rsidRPr="00594C91">
              <w:rPr>
                <w:b/>
                <w:bCs/>
                <w:sz w:val="22"/>
                <w:szCs w:val="22"/>
              </w:rPr>
              <w:t>Připomínky</w:t>
            </w:r>
          </w:p>
        </w:tc>
      </w:tr>
      <w:tr w:rsidR="00CF39EE" w:rsidRPr="00594C91" w:rsidTr="00504F79">
        <w:trPr>
          <w:trHeight w:val="317"/>
        </w:trPr>
        <w:tc>
          <w:tcPr>
            <w:tcW w:w="1010" w:type="pct"/>
            <w:vMerge w:val="restart"/>
            <w:tcBorders>
              <w:top w:val="single" w:sz="8" w:space="0" w:color="auto"/>
              <w:left w:val="single" w:sz="8" w:space="0" w:color="auto"/>
              <w:right w:val="single" w:sz="4" w:space="0" w:color="auto"/>
            </w:tcBorders>
            <w:shd w:val="clear" w:color="auto" w:fill="auto"/>
          </w:tcPr>
          <w:p w:rsidR="00CF39EE" w:rsidRPr="00594C91" w:rsidRDefault="00C1157A" w:rsidP="00E50641">
            <w:pPr>
              <w:jc w:val="both"/>
              <w:rPr>
                <w:sz w:val="22"/>
                <w:szCs w:val="22"/>
              </w:rPr>
            </w:pPr>
            <w:r w:rsidRPr="00594C91">
              <w:rPr>
                <w:sz w:val="22"/>
                <w:szCs w:val="22"/>
              </w:rPr>
              <w:t>ÚVČR -</w:t>
            </w:r>
            <w:r w:rsidR="00E50641" w:rsidRPr="00594C91">
              <w:rPr>
                <w:sz w:val="22"/>
                <w:szCs w:val="22"/>
              </w:rPr>
              <w:t xml:space="preserve"> </w:t>
            </w:r>
            <w:r w:rsidRPr="00594C91">
              <w:rPr>
                <w:sz w:val="22"/>
                <w:szCs w:val="22"/>
              </w:rPr>
              <w:t>VÚV</w:t>
            </w:r>
          </w:p>
        </w:tc>
        <w:tc>
          <w:tcPr>
            <w:tcW w:w="3811" w:type="pct"/>
            <w:tcBorders>
              <w:top w:val="single" w:sz="8" w:space="0" w:color="auto"/>
              <w:left w:val="single" w:sz="4" w:space="0" w:color="auto"/>
              <w:bottom w:val="single" w:sz="4" w:space="0" w:color="auto"/>
              <w:right w:val="single" w:sz="4" w:space="0" w:color="F3F3F3"/>
            </w:tcBorders>
            <w:shd w:val="clear" w:color="auto" w:fill="auto"/>
          </w:tcPr>
          <w:p w:rsidR="00CF39EE" w:rsidRPr="00594C91" w:rsidRDefault="00CF39EE" w:rsidP="00504F79">
            <w:pPr>
              <w:widowControl w:val="0"/>
              <w:autoSpaceDE w:val="0"/>
              <w:autoSpaceDN w:val="0"/>
              <w:adjustRightInd w:val="0"/>
              <w:jc w:val="both"/>
              <w:rPr>
                <w:b/>
                <w:sz w:val="22"/>
                <w:szCs w:val="22"/>
              </w:rPr>
            </w:pPr>
            <w:r w:rsidRPr="00594C91">
              <w:rPr>
                <w:b/>
                <w:sz w:val="22"/>
                <w:szCs w:val="22"/>
              </w:rPr>
              <w:t>Úvod</w:t>
            </w:r>
          </w:p>
          <w:p w:rsidR="00CF39EE" w:rsidRPr="00594C91" w:rsidRDefault="00CF39EE" w:rsidP="00504F79">
            <w:pPr>
              <w:jc w:val="both"/>
              <w:rPr>
                <w:sz w:val="22"/>
                <w:szCs w:val="22"/>
              </w:rPr>
            </w:pPr>
          </w:p>
        </w:tc>
        <w:tc>
          <w:tcPr>
            <w:tcW w:w="179" w:type="pct"/>
            <w:tcBorders>
              <w:top w:val="single" w:sz="8" w:space="0" w:color="auto"/>
              <w:left w:val="single" w:sz="4" w:space="0" w:color="F3F3F3"/>
              <w:bottom w:val="single" w:sz="4" w:space="0" w:color="auto"/>
              <w:right w:val="single" w:sz="8" w:space="0" w:color="auto"/>
            </w:tcBorders>
            <w:shd w:val="clear" w:color="auto" w:fill="auto"/>
          </w:tcPr>
          <w:p w:rsidR="00CF39EE" w:rsidRPr="00594C91" w:rsidRDefault="00CF39EE" w:rsidP="00504F79">
            <w:pPr>
              <w:widowControl w:val="0"/>
              <w:autoSpaceDE w:val="0"/>
              <w:autoSpaceDN w:val="0"/>
              <w:adjustRightInd w:val="0"/>
              <w:jc w:val="both"/>
              <w:rPr>
                <w:b/>
                <w:sz w:val="22"/>
                <w:szCs w:val="22"/>
              </w:rPr>
            </w:pPr>
          </w:p>
        </w:tc>
      </w:tr>
      <w:tr w:rsidR="00CF39EE" w:rsidRPr="00594C91" w:rsidTr="00504F79">
        <w:trPr>
          <w:trHeight w:val="892"/>
        </w:trPr>
        <w:tc>
          <w:tcPr>
            <w:tcW w:w="1010" w:type="pct"/>
            <w:vMerge/>
            <w:tcBorders>
              <w:left w:val="single" w:sz="8" w:space="0" w:color="auto"/>
              <w:right w:val="single" w:sz="4" w:space="0" w:color="auto"/>
            </w:tcBorders>
            <w:shd w:val="clear" w:color="auto" w:fill="auto"/>
          </w:tcPr>
          <w:p w:rsidR="00CF39EE" w:rsidRPr="00594C91" w:rsidRDefault="00CF39EE" w:rsidP="007E1384">
            <w:pPr>
              <w:rPr>
                <w:sz w:val="22"/>
                <w:szCs w:val="22"/>
              </w:rPr>
            </w:pPr>
          </w:p>
        </w:tc>
        <w:tc>
          <w:tcPr>
            <w:tcW w:w="3811" w:type="pct"/>
            <w:tcBorders>
              <w:top w:val="single" w:sz="4" w:space="0" w:color="auto"/>
              <w:left w:val="single" w:sz="4" w:space="0" w:color="auto"/>
              <w:bottom w:val="single" w:sz="4" w:space="0" w:color="auto"/>
              <w:right w:val="single" w:sz="4" w:space="0" w:color="F3F3F3"/>
            </w:tcBorders>
            <w:shd w:val="clear" w:color="auto" w:fill="auto"/>
          </w:tcPr>
          <w:p w:rsidR="00CF39EE" w:rsidRPr="00594C91" w:rsidRDefault="00CF39EE" w:rsidP="00504F79">
            <w:pPr>
              <w:widowControl w:val="0"/>
              <w:autoSpaceDE w:val="0"/>
              <w:autoSpaceDN w:val="0"/>
              <w:adjustRightInd w:val="0"/>
              <w:jc w:val="both"/>
              <w:rPr>
                <w:b/>
                <w:sz w:val="22"/>
                <w:szCs w:val="22"/>
              </w:rPr>
            </w:pPr>
            <w:r w:rsidRPr="00594C91">
              <w:rPr>
                <w:b/>
                <w:sz w:val="22"/>
                <w:szCs w:val="22"/>
              </w:rPr>
              <w:t>Zásadní připomínka:</w:t>
            </w: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Aktualizace Vnitrostátního plánu České republiky v oblasti energetiky a klimatu (dále jen NKEP) by v předložené podobě neměl být odeslán na Evropskou komisi, a to zejména z těchto důvodů:</w:t>
            </w:r>
          </w:p>
          <w:p w:rsidR="00594C91" w:rsidRPr="00594C91" w:rsidRDefault="00594C91" w:rsidP="00594C91">
            <w:pPr>
              <w:widowControl w:val="0"/>
              <w:numPr>
                <w:ilvl w:val="1"/>
                <w:numId w:val="14"/>
              </w:numPr>
              <w:tabs>
                <w:tab w:val="clear" w:pos="1500"/>
                <w:tab w:val="num" w:pos="790"/>
              </w:tabs>
              <w:autoSpaceDE w:val="0"/>
              <w:autoSpaceDN w:val="0"/>
              <w:adjustRightInd w:val="0"/>
              <w:ind w:left="790"/>
              <w:jc w:val="both"/>
              <w:rPr>
                <w:sz w:val="22"/>
                <w:szCs w:val="22"/>
              </w:rPr>
            </w:pPr>
            <w:r w:rsidRPr="00594C91">
              <w:rPr>
                <w:sz w:val="22"/>
                <w:szCs w:val="22"/>
              </w:rPr>
              <w:t xml:space="preserve">Tvorba NKEP a modelování SEEPIA proběhla na základě vstupů, které patřičně </w:t>
            </w:r>
            <w:r w:rsidRPr="00594C91">
              <w:rPr>
                <w:b/>
                <w:bCs/>
                <w:sz w:val="22"/>
                <w:szCs w:val="22"/>
              </w:rPr>
              <w:t>nezohledňovaly reálnou energetickou potřebu</w:t>
            </w:r>
            <w:r w:rsidRPr="00594C91">
              <w:rPr>
                <w:sz w:val="22"/>
                <w:szCs w:val="22"/>
              </w:rPr>
              <w:t xml:space="preserve"> a budoucí situaci v ČR. Zadání mělo jediný cíl a tím je docílit úplné dekarbonizace (dosažení nulových emisí do roku 2050).</w:t>
            </w:r>
          </w:p>
          <w:p w:rsidR="00594C91" w:rsidRPr="00594C91" w:rsidRDefault="00594C91" w:rsidP="00594C91">
            <w:pPr>
              <w:widowControl w:val="0"/>
              <w:numPr>
                <w:ilvl w:val="1"/>
                <w:numId w:val="14"/>
              </w:numPr>
              <w:tabs>
                <w:tab w:val="clear" w:pos="1500"/>
                <w:tab w:val="num" w:pos="790"/>
              </w:tabs>
              <w:autoSpaceDE w:val="0"/>
              <w:autoSpaceDN w:val="0"/>
              <w:adjustRightInd w:val="0"/>
              <w:ind w:left="790"/>
              <w:jc w:val="both"/>
              <w:rPr>
                <w:sz w:val="22"/>
                <w:szCs w:val="22"/>
              </w:rPr>
            </w:pPr>
            <w:r w:rsidRPr="00594C91">
              <w:rPr>
                <w:sz w:val="22"/>
                <w:szCs w:val="22"/>
              </w:rPr>
              <w:t xml:space="preserve">Z textu NKEP není zřejmé proč a jak byl scénář WEM3 modelu SEEPIA vybrán jako jediný a proč zrovna tento, ani </w:t>
            </w:r>
            <w:r w:rsidRPr="00594C91">
              <w:rPr>
                <w:b/>
                <w:bCs/>
                <w:sz w:val="22"/>
                <w:szCs w:val="22"/>
              </w:rPr>
              <w:t>zda je pro ČR z hlediska energetické potřeby výhodný a je dosažitelná elektrická energie pro průmysl i občany za přijatelnou cenu v každém čase</w:t>
            </w:r>
            <w:r w:rsidRPr="00594C91">
              <w:rPr>
                <w:sz w:val="22"/>
                <w:szCs w:val="22"/>
              </w:rPr>
              <w:t xml:space="preserve">. </w:t>
            </w:r>
          </w:p>
          <w:p w:rsidR="00594C91" w:rsidRPr="00594C91" w:rsidRDefault="00594C91" w:rsidP="00594C91">
            <w:pPr>
              <w:widowControl w:val="0"/>
              <w:numPr>
                <w:ilvl w:val="1"/>
                <w:numId w:val="14"/>
              </w:numPr>
              <w:tabs>
                <w:tab w:val="clear" w:pos="1500"/>
                <w:tab w:val="num" w:pos="790"/>
              </w:tabs>
              <w:autoSpaceDE w:val="0"/>
              <w:autoSpaceDN w:val="0"/>
              <w:adjustRightInd w:val="0"/>
              <w:ind w:left="790"/>
              <w:jc w:val="both"/>
              <w:rPr>
                <w:sz w:val="22"/>
                <w:szCs w:val="22"/>
              </w:rPr>
            </w:pPr>
            <w:r w:rsidRPr="00594C91">
              <w:rPr>
                <w:sz w:val="22"/>
                <w:szCs w:val="22"/>
              </w:rPr>
              <w:t>V modelování SEEPIA jsou zcela zásadní problematické body, jedná se o:</w:t>
            </w:r>
          </w:p>
          <w:p w:rsidR="00594C91" w:rsidRPr="00594C91" w:rsidRDefault="00594C91" w:rsidP="00594C91">
            <w:pPr>
              <w:widowControl w:val="0"/>
              <w:numPr>
                <w:ilvl w:val="2"/>
                <w:numId w:val="14"/>
              </w:numPr>
              <w:tabs>
                <w:tab w:val="clear" w:pos="2220"/>
                <w:tab w:val="num" w:pos="1215"/>
              </w:tabs>
              <w:autoSpaceDE w:val="0"/>
              <w:autoSpaceDN w:val="0"/>
              <w:adjustRightInd w:val="0"/>
              <w:ind w:left="1215"/>
              <w:jc w:val="both"/>
              <w:rPr>
                <w:sz w:val="22"/>
                <w:szCs w:val="22"/>
              </w:rPr>
            </w:pPr>
            <w:r w:rsidRPr="00594C91">
              <w:rPr>
                <w:sz w:val="22"/>
                <w:szCs w:val="22"/>
              </w:rPr>
              <w:t xml:space="preserve">V modelu chybí relativní srovnání koncových cen ČR v porovnání s okolními státy, tedy posouzení dopadů modelovaných výstupů. </w:t>
            </w:r>
          </w:p>
          <w:p w:rsidR="00594C91" w:rsidRPr="00594C91" w:rsidRDefault="00594C91" w:rsidP="00594C91">
            <w:pPr>
              <w:widowControl w:val="0"/>
              <w:numPr>
                <w:ilvl w:val="2"/>
                <w:numId w:val="14"/>
              </w:numPr>
              <w:tabs>
                <w:tab w:val="clear" w:pos="2220"/>
                <w:tab w:val="num" w:pos="1215"/>
              </w:tabs>
              <w:autoSpaceDE w:val="0"/>
              <w:autoSpaceDN w:val="0"/>
              <w:adjustRightInd w:val="0"/>
              <w:ind w:left="1215"/>
              <w:jc w:val="both"/>
              <w:rPr>
                <w:sz w:val="22"/>
                <w:szCs w:val="22"/>
              </w:rPr>
            </w:pPr>
            <w:r w:rsidRPr="00594C91">
              <w:rPr>
                <w:sz w:val="22"/>
                <w:szCs w:val="22"/>
              </w:rPr>
              <w:t>V modelu SEEPIA nejsou zapracovány rozsáhlé náklady na infrastrukturní požadavky návazné na potřebu zálohování intermitentních zdrojů elektrické energie.</w:t>
            </w:r>
          </w:p>
          <w:p w:rsidR="00594C91" w:rsidRPr="00594C91" w:rsidRDefault="00594C91" w:rsidP="00594C91">
            <w:pPr>
              <w:widowControl w:val="0"/>
              <w:numPr>
                <w:ilvl w:val="2"/>
                <w:numId w:val="14"/>
              </w:numPr>
              <w:tabs>
                <w:tab w:val="clear" w:pos="2220"/>
                <w:tab w:val="num" w:pos="1215"/>
              </w:tabs>
              <w:autoSpaceDE w:val="0"/>
              <w:autoSpaceDN w:val="0"/>
              <w:adjustRightInd w:val="0"/>
              <w:ind w:left="1215"/>
              <w:jc w:val="both"/>
              <w:rPr>
                <w:sz w:val="22"/>
                <w:szCs w:val="22"/>
              </w:rPr>
            </w:pPr>
            <w:r w:rsidRPr="00594C91">
              <w:rPr>
                <w:sz w:val="22"/>
                <w:szCs w:val="22"/>
              </w:rPr>
              <w:t>Model SEEPIA vůbec neřeší pravděpodobné problémy s ekonomikou provozu uhelných elektráren před rokem 2030, kdy odhadem může být potřeba dozdrojovat cca 4 GW.</w:t>
            </w:r>
          </w:p>
          <w:p w:rsidR="00594C91" w:rsidRPr="00594C91" w:rsidRDefault="00594C91" w:rsidP="00594C91">
            <w:pPr>
              <w:widowControl w:val="0"/>
              <w:numPr>
                <w:ilvl w:val="1"/>
                <w:numId w:val="14"/>
              </w:numPr>
              <w:tabs>
                <w:tab w:val="clear" w:pos="1500"/>
                <w:tab w:val="num" w:pos="790"/>
              </w:tabs>
              <w:autoSpaceDE w:val="0"/>
              <w:autoSpaceDN w:val="0"/>
              <w:adjustRightInd w:val="0"/>
              <w:ind w:left="790"/>
              <w:jc w:val="both"/>
              <w:rPr>
                <w:sz w:val="22"/>
                <w:szCs w:val="22"/>
              </w:rPr>
            </w:pPr>
            <w:r w:rsidRPr="00594C91">
              <w:rPr>
                <w:sz w:val="22"/>
                <w:szCs w:val="22"/>
              </w:rPr>
              <w:t xml:space="preserve">Část členských států správně čeká na finální schválení RED III, které lze následně využít při přesném výpočtu. </w:t>
            </w:r>
          </w:p>
          <w:p w:rsidR="00594C91" w:rsidRPr="00594C91" w:rsidRDefault="00594C91" w:rsidP="00594C91">
            <w:pPr>
              <w:widowControl w:val="0"/>
              <w:autoSpaceDE w:val="0"/>
              <w:autoSpaceDN w:val="0"/>
              <w:adjustRightInd w:val="0"/>
              <w:ind w:left="79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Materiál obsahuje značné množství redundantních pasáží a v konečném důsledku je v podstatě </w:t>
            </w:r>
            <w:r w:rsidRPr="00594C91">
              <w:rPr>
                <w:b/>
                <w:bCs/>
                <w:sz w:val="22"/>
                <w:szCs w:val="22"/>
              </w:rPr>
              <w:t>nečitelný a nesrozumitelný</w:t>
            </w:r>
            <w:r w:rsidRPr="00594C91">
              <w:rPr>
                <w:sz w:val="22"/>
                <w:szCs w:val="22"/>
              </w:rPr>
              <w:t xml:space="preserve">. </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b/>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Do NKEP je třeba doplnit </w:t>
            </w:r>
            <w:r w:rsidRPr="00594C91">
              <w:rPr>
                <w:b/>
                <w:bCs/>
                <w:sz w:val="22"/>
                <w:szCs w:val="22"/>
              </w:rPr>
              <w:t>konkrétní jednotlivé cíle a k nim konkrétní opatření a nástroje k implementaci</w:t>
            </w:r>
            <w:r w:rsidRPr="00594C91">
              <w:rPr>
                <w:sz w:val="22"/>
                <w:szCs w:val="22"/>
              </w:rPr>
              <w:t>. Současná verze NKEP pouze popisuje aktuální stav, predikce, existující strategie, ale v dílčích oblastech jasně neříká, čeho přesně chce stát dosáhnout a jak cíle dosáhne, případně jaké jsou role jednotlivých institucí jako regulační orgány, školy, průmysl.</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NKEP předpokládá útlum uhelných zdrojů kompenzovat rozvojem </w:t>
            </w:r>
            <w:r w:rsidRPr="00594C91">
              <w:rPr>
                <w:sz w:val="22"/>
                <w:szCs w:val="22"/>
              </w:rPr>
              <w:lastRenderedPageBreak/>
              <w:t xml:space="preserve">OZE, zejména FVE a obnovou a posílením kapacity JE. Vzhledem k nízkému využití kalendářního fondu pracovní doby FVE je nezbytné do Plánu zahrnout paralelní rozvoj zdrojů, především na </w:t>
            </w:r>
            <w:r w:rsidRPr="00594C91">
              <w:rPr>
                <w:b/>
                <w:bCs/>
                <w:sz w:val="22"/>
                <w:szCs w:val="22"/>
              </w:rPr>
              <w:t>plynná paliva</w:t>
            </w:r>
            <w:r w:rsidRPr="00594C91">
              <w:rPr>
                <w:sz w:val="22"/>
                <w:szCs w:val="22"/>
              </w:rPr>
              <w:t>, kde zemní plyn (ZP) může být časem částečně nahrazen vodíkem či jinými druhy bezemisních paliv. Jedná se zejména o podporu kogeneračních jednotek v energetice, teplárenství a procesním průmyslu v rozsahu minimálně čtyřnásobku kapacity OZE.</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Plán předpokládá </w:t>
            </w:r>
            <w:r w:rsidRPr="00594C91">
              <w:rPr>
                <w:b/>
                <w:bCs/>
                <w:sz w:val="22"/>
                <w:szCs w:val="22"/>
              </w:rPr>
              <w:t>absolutní snížení spotřeby energií v průmyslu</w:t>
            </w:r>
            <w:r w:rsidRPr="00594C91">
              <w:rPr>
                <w:sz w:val="22"/>
                <w:szCs w:val="22"/>
              </w:rPr>
              <w:t xml:space="preserve">, aniž by bylo specifikováno, jak tohoto snížení dosáhnout. Pokud NKEP předpokládá útlum některých odvětví těžkého průmyslu vlivem ztráty konkurenceschopnosti, měla by tato skutečnost být popsána ve zvláštní kapitole včetně všech dopadů na návazné obory, ekonomiku a sociální aspekty. </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Rozvoj OZE, a s tím svázané investice do záložních pohotových zdrojů, jejichž provoz bude muset být dotován nějakou formou kapacitních plateb, bude výrazně zvyšovat </w:t>
            </w:r>
            <w:r w:rsidRPr="00594C91">
              <w:rPr>
                <w:b/>
                <w:bCs/>
                <w:sz w:val="22"/>
                <w:szCs w:val="22"/>
              </w:rPr>
              <w:t>náklady na provoz energetických sítí</w:t>
            </w:r>
            <w:r w:rsidRPr="00594C91">
              <w:rPr>
                <w:sz w:val="22"/>
                <w:szCs w:val="22"/>
              </w:rPr>
              <w:t xml:space="preserve">. Podíl regulované složky cen elektřiny a plynu a jejich zdanění bude při podobných cenách komodit v Evropě jednou z hlavních příčin rozdílu cen energií mezi zeměmi EU. </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NKEP věnuje pozornost elektroenergetice, teplárenství, plynárenství, dopravě či budovám, ale zcela nedostatečně a nepřesně popisuje a zohledňuje pohled velkých odběratelů a problematiku dekarbonizace energeticky náročných průmyslových odvětví. Jejich dekarbonizace přitom bude mít obrovský vliv na spotřebu energií v ČR i například na poskytování </w:t>
            </w:r>
            <w:r w:rsidRPr="00594C91">
              <w:rPr>
                <w:b/>
                <w:bCs/>
                <w:sz w:val="22"/>
                <w:szCs w:val="22"/>
              </w:rPr>
              <w:t>služeb flexibility</w:t>
            </w:r>
            <w:r w:rsidRPr="00594C91">
              <w:rPr>
                <w:sz w:val="22"/>
                <w:szCs w:val="22"/>
              </w:rPr>
              <w:t xml:space="preserve"> apod. </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Přestože v textové části se opakovaně zdůrazňuje význam nových plynových zdrojů pro výrobu elektřiny a kombinovanou výrobu elektřiny a tepla, celková bilance nových zdrojů (tabulka 128) uvádí méně než 1 GWe v nových plynových zdrojích. To je snížení oproti dřívějším verzím na polovinu, přičemž není jasné, čím bude dosažena </w:t>
            </w:r>
            <w:r w:rsidRPr="00594C91">
              <w:rPr>
                <w:b/>
                <w:bCs/>
                <w:sz w:val="22"/>
                <w:szCs w:val="22"/>
              </w:rPr>
              <w:t>náhrada uzavíraných uhelných zdrojů</w:t>
            </w:r>
            <w:r w:rsidRPr="00594C91">
              <w:rPr>
                <w:sz w:val="22"/>
                <w:szCs w:val="22"/>
              </w:rPr>
              <w:t xml:space="preserve">. Tento záměr navíc není promítnut do dalších částí textu (např. Graf č. 79), kde se počítá s vyšším nárůstem plynových zdrojů. </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Materiál počítá s rozsáhlým zachováním výroby elektřiny z uhlí. Provozovatelé uhelných zdrojů však opakovaně upozorňují, že nebudou schopni tyto zdroje provozovat již v průběhu příštích třech let. Plán na straně 117 v odstavci “</w:t>
            </w:r>
            <w:r w:rsidRPr="00594C91">
              <w:rPr>
                <w:i/>
                <w:iCs/>
                <w:sz w:val="22"/>
                <w:szCs w:val="22"/>
              </w:rPr>
              <w:t>diverzifikace elektroenergetického mixu</w:t>
            </w:r>
            <w:r w:rsidRPr="00594C91">
              <w:rPr>
                <w:sz w:val="22"/>
                <w:szCs w:val="22"/>
              </w:rPr>
              <w:t xml:space="preserve">” uvádí, že </w:t>
            </w:r>
            <w:r w:rsidRPr="00594C91">
              <w:rPr>
                <w:b/>
                <w:bCs/>
                <w:sz w:val="22"/>
                <w:szCs w:val="22"/>
              </w:rPr>
              <w:t xml:space="preserve">roli uhelných zdrojů </w:t>
            </w:r>
            <w:r w:rsidRPr="00594C91">
              <w:rPr>
                <w:b/>
                <w:bCs/>
                <w:sz w:val="22"/>
                <w:szCs w:val="22"/>
              </w:rPr>
              <w:lastRenderedPageBreak/>
              <w:t>převezmou jaderné zdroje. Do roku 2030 se však se zprovozněním nové JE nepočítá</w:t>
            </w:r>
            <w:r w:rsidRPr="00594C91">
              <w:rPr>
                <w:sz w:val="22"/>
                <w:szCs w:val="22"/>
              </w:rPr>
              <w:t>.</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 xml:space="preserve">V plánu NKEP je třeba jasně ukázat zvolenou </w:t>
            </w:r>
            <w:r w:rsidRPr="00594C91">
              <w:rPr>
                <w:b/>
                <w:bCs/>
                <w:sz w:val="22"/>
                <w:szCs w:val="22"/>
              </w:rPr>
              <w:t>cestu náhrady uhlí</w:t>
            </w:r>
            <w:r w:rsidRPr="00594C91">
              <w:rPr>
                <w:sz w:val="22"/>
                <w:szCs w:val="22"/>
              </w:rPr>
              <w:t>. Potřeba využití plynných paliv v teplárenství je v dokumentu částečně zmíněna, ale je třeba popsat, jakým způsobem budou spalování uhlí opouštět ve všech segmentech výroby tepla.</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NKEP nereflektuje, že většina bankovních skupin v EU ohlásila závazek ukončit financování výroby elektřiny z uhlí do roku 2030 a již dnes vyžadují od klientů předložení plánu tranzice na alternativní zdroje do tohoto data.</w:t>
            </w:r>
          </w:p>
          <w:p w:rsidR="00594C91" w:rsidRPr="00594C91" w:rsidRDefault="00594C91" w:rsidP="00594C91">
            <w:pPr>
              <w:widowControl w:val="0"/>
              <w:autoSpaceDE w:val="0"/>
              <w:autoSpaceDN w:val="0"/>
              <w:adjustRightInd w:val="0"/>
              <w:jc w:val="both"/>
              <w:rPr>
                <w:sz w:val="22"/>
                <w:szCs w:val="22"/>
              </w:rPr>
            </w:pPr>
          </w:p>
          <w:p w:rsidR="00A85991" w:rsidRPr="00594C91" w:rsidRDefault="00594C91" w:rsidP="00594C91">
            <w:pPr>
              <w:widowControl w:val="0"/>
              <w:autoSpaceDE w:val="0"/>
              <w:autoSpaceDN w:val="0"/>
              <w:adjustRightInd w:val="0"/>
              <w:jc w:val="both"/>
              <w:rPr>
                <w:sz w:val="22"/>
                <w:szCs w:val="22"/>
              </w:rPr>
            </w:pPr>
            <w:r w:rsidRPr="00594C91">
              <w:rPr>
                <w:sz w:val="22"/>
                <w:szCs w:val="22"/>
              </w:rPr>
              <w:t>Tato připomínka je zásadní.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numPr>
                <w:ilvl w:val="0"/>
                <w:numId w:val="14"/>
              </w:numPr>
              <w:tabs>
                <w:tab w:val="clear" w:pos="780"/>
              </w:tabs>
              <w:autoSpaceDE w:val="0"/>
              <w:autoSpaceDN w:val="0"/>
              <w:adjustRightInd w:val="0"/>
              <w:ind w:left="360"/>
              <w:jc w:val="both"/>
              <w:rPr>
                <w:sz w:val="22"/>
                <w:szCs w:val="22"/>
              </w:rPr>
            </w:pPr>
            <w:r w:rsidRPr="00594C91">
              <w:rPr>
                <w:sz w:val="22"/>
                <w:szCs w:val="22"/>
              </w:rPr>
              <w:t>Národní klimaticko-energetický plán sice uvažuje s výstavbou nových jaderných zdrojů až do objemu 4 GW, včetně realizace horkovodu z jaderné elektrárny Dukovany do Brna. Nicméně NKEP v lokalitě Dukovany předpokládá jen jeden nový jaderný blok (tolik i předběžné výsledky modelování), což z pohledu provozu horkovodu po ukončení životnosti stávajících bloků (2047) neumožní provozovat uvedený horkovod v době výměny paliva na novém jaderném bloku (EDU5), zejména v zimním období.</w:t>
            </w:r>
          </w:p>
          <w:p w:rsidR="00594C91" w:rsidRPr="00594C91" w:rsidRDefault="00594C91" w:rsidP="00594C91">
            <w:pPr>
              <w:widowControl w:val="0"/>
              <w:autoSpaceDE w:val="0"/>
              <w:autoSpaceDN w:val="0"/>
              <w:adjustRightInd w:val="0"/>
              <w:jc w:val="both"/>
              <w:rPr>
                <w:sz w:val="22"/>
                <w:szCs w:val="22"/>
              </w:rPr>
            </w:pPr>
          </w:p>
          <w:p w:rsidR="00594C91" w:rsidRPr="00594C91" w:rsidRDefault="00594C91" w:rsidP="00594C91">
            <w:pPr>
              <w:widowControl w:val="0"/>
              <w:autoSpaceDE w:val="0"/>
              <w:autoSpaceDN w:val="0"/>
              <w:adjustRightInd w:val="0"/>
              <w:ind w:left="364"/>
              <w:jc w:val="both"/>
              <w:rPr>
                <w:sz w:val="22"/>
                <w:szCs w:val="22"/>
              </w:rPr>
            </w:pPr>
            <w:r w:rsidRPr="00594C91">
              <w:rPr>
                <w:sz w:val="22"/>
                <w:szCs w:val="22"/>
              </w:rPr>
              <w:t>Požadujeme vysvětlit, jak s ohledem na výsledky modelování a závěrů NKEP bude zajištěn bezpečný provoz horkovodu a naplněno usnesení vlády č. 1059 z 14. prosince 2022.</w:t>
            </w:r>
          </w:p>
          <w:p w:rsidR="00594C91" w:rsidRPr="00594C91" w:rsidRDefault="00594C91" w:rsidP="00594C91">
            <w:pPr>
              <w:widowControl w:val="0"/>
              <w:autoSpaceDE w:val="0"/>
              <w:autoSpaceDN w:val="0"/>
              <w:adjustRightInd w:val="0"/>
              <w:ind w:left="360"/>
              <w:jc w:val="both"/>
              <w:rPr>
                <w:sz w:val="22"/>
                <w:szCs w:val="22"/>
              </w:rPr>
            </w:pPr>
          </w:p>
          <w:p w:rsidR="009A669C" w:rsidRPr="00594C91" w:rsidRDefault="00C1157A" w:rsidP="00594C91">
            <w:pPr>
              <w:widowControl w:val="0"/>
              <w:autoSpaceDE w:val="0"/>
              <w:autoSpaceDN w:val="0"/>
              <w:adjustRightInd w:val="0"/>
              <w:jc w:val="both"/>
              <w:rPr>
                <w:sz w:val="22"/>
                <w:szCs w:val="22"/>
              </w:rPr>
            </w:pPr>
            <w:r w:rsidRPr="00594C91">
              <w:rPr>
                <w:sz w:val="22"/>
                <w:szCs w:val="22"/>
              </w:rPr>
              <w:t>Tato připomínka je zásadní</w:t>
            </w:r>
            <w:r w:rsidR="00594C91" w:rsidRPr="00594C91">
              <w:rPr>
                <w:sz w:val="22"/>
                <w:szCs w:val="22"/>
              </w:rPr>
              <w:t>.</w:t>
            </w:r>
          </w:p>
        </w:tc>
        <w:tc>
          <w:tcPr>
            <w:tcW w:w="179" w:type="pct"/>
            <w:tcBorders>
              <w:top w:val="single" w:sz="4" w:space="0" w:color="auto"/>
              <w:left w:val="single" w:sz="4" w:space="0" w:color="F3F3F3"/>
              <w:bottom w:val="single" w:sz="4" w:space="0" w:color="auto"/>
              <w:right w:val="single" w:sz="8" w:space="0" w:color="auto"/>
            </w:tcBorders>
            <w:shd w:val="clear" w:color="auto" w:fill="auto"/>
          </w:tcPr>
          <w:p w:rsidR="00CF39EE" w:rsidRPr="00594C91" w:rsidRDefault="00CF39EE" w:rsidP="00504F79">
            <w:pPr>
              <w:widowControl w:val="0"/>
              <w:autoSpaceDE w:val="0"/>
              <w:autoSpaceDN w:val="0"/>
              <w:adjustRightInd w:val="0"/>
              <w:jc w:val="both"/>
              <w:rPr>
                <w:b/>
                <w:sz w:val="22"/>
                <w:szCs w:val="22"/>
              </w:rPr>
            </w:pPr>
          </w:p>
        </w:tc>
      </w:tr>
      <w:tr w:rsidR="00CF39EE" w:rsidRPr="00594C91" w:rsidTr="00504F79">
        <w:trPr>
          <w:trHeight w:val="975"/>
        </w:trPr>
        <w:tc>
          <w:tcPr>
            <w:tcW w:w="1010" w:type="pct"/>
            <w:vMerge/>
            <w:tcBorders>
              <w:left w:val="single" w:sz="8" w:space="0" w:color="auto"/>
              <w:right w:val="single" w:sz="4" w:space="0" w:color="auto"/>
            </w:tcBorders>
            <w:shd w:val="clear" w:color="auto" w:fill="auto"/>
          </w:tcPr>
          <w:p w:rsidR="00CF39EE" w:rsidRPr="00594C91" w:rsidRDefault="00CF39EE" w:rsidP="007E1384">
            <w:pPr>
              <w:rPr>
                <w:sz w:val="22"/>
                <w:szCs w:val="22"/>
              </w:rPr>
            </w:pPr>
          </w:p>
        </w:tc>
        <w:tc>
          <w:tcPr>
            <w:tcW w:w="3811" w:type="pct"/>
            <w:tcBorders>
              <w:top w:val="single" w:sz="4" w:space="0" w:color="auto"/>
              <w:left w:val="single" w:sz="4" w:space="0" w:color="auto"/>
              <w:bottom w:val="single" w:sz="4" w:space="0" w:color="auto"/>
              <w:right w:val="single" w:sz="4" w:space="0" w:color="F3F3F3"/>
            </w:tcBorders>
            <w:shd w:val="clear" w:color="auto" w:fill="auto"/>
          </w:tcPr>
          <w:p w:rsidR="00BF0C29" w:rsidRPr="00594C91" w:rsidRDefault="00CF39EE" w:rsidP="00594C91">
            <w:pPr>
              <w:widowControl w:val="0"/>
              <w:autoSpaceDE w:val="0"/>
              <w:autoSpaceDN w:val="0"/>
              <w:adjustRightInd w:val="0"/>
              <w:jc w:val="both"/>
              <w:rPr>
                <w:b/>
                <w:sz w:val="22"/>
                <w:szCs w:val="22"/>
              </w:rPr>
            </w:pPr>
            <w:r w:rsidRPr="00594C91">
              <w:rPr>
                <w:b/>
                <w:sz w:val="22"/>
                <w:szCs w:val="22"/>
              </w:rPr>
              <w:t>Připomínka:</w:t>
            </w:r>
          </w:p>
        </w:tc>
        <w:tc>
          <w:tcPr>
            <w:tcW w:w="179" w:type="pct"/>
            <w:tcBorders>
              <w:top w:val="single" w:sz="4" w:space="0" w:color="auto"/>
              <w:left w:val="single" w:sz="4" w:space="0" w:color="F3F3F3"/>
              <w:bottom w:val="single" w:sz="4" w:space="0" w:color="auto"/>
              <w:right w:val="single" w:sz="8" w:space="0" w:color="auto"/>
            </w:tcBorders>
            <w:shd w:val="clear" w:color="auto" w:fill="auto"/>
          </w:tcPr>
          <w:p w:rsidR="00CF39EE" w:rsidRPr="00594C91" w:rsidRDefault="00CF39EE" w:rsidP="00504F79">
            <w:pPr>
              <w:widowControl w:val="0"/>
              <w:autoSpaceDE w:val="0"/>
              <w:autoSpaceDN w:val="0"/>
              <w:adjustRightInd w:val="0"/>
              <w:jc w:val="both"/>
              <w:rPr>
                <w:b/>
                <w:sz w:val="22"/>
                <w:szCs w:val="22"/>
              </w:rPr>
            </w:pPr>
          </w:p>
        </w:tc>
      </w:tr>
      <w:tr w:rsidR="00CF39EE" w:rsidRPr="00594C91" w:rsidTr="00504F79">
        <w:trPr>
          <w:trHeight w:val="317"/>
        </w:trPr>
        <w:tc>
          <w:tcPr>
            <w:tcW w:w="1010" w:type="pct"/>
            <w:vMerge/>
            <w:tcBorders>
              <w:left w:val="single" w:sz="8" w:space="0" w:color="auto"/>
              <w:bottom w:val="single" w:sz="8" w:space="0" w:color="auto"/>
              <w:right w:val="single" w:sz="4" w:space="0" w:color="auto"/>
            </w:tcBorders>
            <w:shd w:val="clear" w:color="auto" w:fill="auto"/>
          </w:tcPr>
          <w:p w:rsidR="00CF39EE" w:rsidRPr="00594C91" w:rsidRDefault="00CF39EE" w:rsidP="007E1384">
            <w:pPr>
              <w:rPr>
                <w:sz w:val="22"/>
                <w:szCs w:val="22"/>
              </w:rPr>
            </w:pPr>
          </w:p>
        </w:tc>
        <w:tc>
          <w:tcPr>
            <w:tcW w:w="3811" w:type="pct"/>
            <w:tcBorders>
              <w:top w:val="single" w:sz="4" w:space="0" w:color="auto"/>
              <w:left w:val="single" w:sz="4" w:space="0" w:color="auto"/>
              <w:bottom w:val="single" w:sz="8" w:space="0" w:color="auto"/>
              <w:right w:val="single" w:sz="4" w:space="0" w:color="F3F3F3"/>
            </w:tcBorders>
            <w:shd w:val="clear" w:color="auto" w:fill="auto"/>
          </w:tcPr>
          <w:p w:rsidR="00CF39EE" w:rsidRPr="00594C91" w:rsidRDefault="00CF39EE" w:rsidP="00504F79">
            <w:pPr>
              <w:widowControl w:val="0"/>
              <w:autoSpaceDE w:val="0"/>
              <w:autoSpaceDN w:val="0"/>
              <w:adjustRightInd w:val="0"/>
              <w:jc w:val="both"/>
              <w:rPr>
                <w:b/>
                <w:sz w:val="22"/>
                <w:szCs w:val="22"/>
              </w:rPr>
            </w:pPr>
            <w:r w:rsidRPr="00594C91">
              <w:rPr>
                <w:b/>
                <w:sz w:val="22"/>
                <w:szCs w:val="22"/>
              </w:rPr>
              <w:t>Závěr</w:t>
            </w:r>
          </w:p>
          <w:p w:rsidR="00D8254F" w:rsidRPr="00594C91" w:rsidRDefault="00D8254F" w:rsidP="00D8254F">
            <w:pPr>
              <w:widowControl w:val="0"/>
              <w:autoSpaceDE w:val="0"/>
              <w:autoSpaceDN w:val="0"/>
              <w:adjustRightInd w:val="0"/>
              <w:jc w:val="both"/>
              <w:rPr>
                <w:bCs/>
                <w:sz w:val="22"/>
                <w:szCs w:val="22"/>
              </w:rPr>
            </w:pPr>
            <w:r w:rsidRPr="00594C91">
              <w:rPr>
                <w:bCs/>
                <w:sz w:val="22"/>
                <w:szCs w:val="22"/>
              </w:rPr>
              <w:t>Požadujeme zohlednit výše uvedené připomínky.</w:t>
            </w:r>
          </w:p>
          <w:p w:rsidR="00D8254F" w:rsidRPr="00594C91" w:rsidRDefault="00D8254F" w:rsidP="00D8254F">
            <w:pPr>
              <w:widowControl w:val="0"/>
              <w:autoSpaceDE w:val="0"/>
              <w:autoSpaceDN w:val="0"/>
              <w:adjustRightInd w:val="0"/>
              <w:jc w:val="both"/>
              <w:rPr>
                <w:bCs/>
                <w:sz w:val="22"/>
                <w:szCs w:val="22"/>
              </w:rPr>
            </w:pPr>
            <w:r w:rsidRPr="00594C91">
              <w:rPr>
                <w:bCs/>
                <w:sz w:val="22"/>
                <w:szCs w:val="22"/>
              </w:rPr>
              <w:t>Kontaktní osobou pro vypořádání připomínek:</w:t>
            </w:r>
          </w:p>
          <w:p w:rsidR="00CF39EE" w:rsidRDefault="00D8254F" w:rsidP="00D8254F">
            <w:pPr>
              <w:widowControl w:val="0"/>
              <w:autoSpaceDE w:val="0"/>
              <w:autoSpaceDN w:val="0"/>
              <w:adjustRightInd w:val="0"/>
              <w:jc w:val="both"/>
              <w:rPr>
                <w:bCs/>
                <w:sz w:val="22"/>
                <w:szCs w:val="22"/>
              </w:rPr>
            </w:pPr>
            <w:r w:rsidRPr="00594C91">
              <w:rPr>
                <w:bCs/>
                <w:sz w:val="22"/>
                <w:szCs w:val="22"/>
              </w:rPr>
              <w:t>Mgr. Michael Glogr,</w:t>
            </w:r>
            <w:r w:rsidR="008E32B4">
              <w:rPr>
                <w:bCs/>
                <w:sz w:val="22"/>
                <w:szCs w:val="22"/>
              </w:rPr>
              <w:t xml:space="preserve"> XXXXX, XXXXX</w:t>
            </w:r>
          </w:p>
          <w:p w:rsidR="000B4685" w:rsidRPr="00594C91" w:rsidRDefault="000B4685" w:rsidP="00D8254F">
            <w:pPr>
              <w:widowControl w:val="0"/>
              <w:autoSpaceDE w:val="0"/>
              <w:autoSpaceDN w:val="0"/>
              <w:adjustRightInd w:val="0"/>
              <w:jc w:val="both"/>
              <w:rPr>
                <w:sz w:val="22"/>
                <w:szCs w:val="22"/>
              </w:rPr>
            </w:pPr>
            <w:r>
              <w:rPr>
                <w:sz w:val="22"/>
                <w:szCs w:val="22"/>
              </w:rPr>
              <w:t>Ing. Oldřich</w:t>
            </w:r>
            <w:r w:rsidR="008E32B4">
              <w:rPr>
                <w:sz w:val="22"/>
                <w:szCs w:val="22"/>
              </w:rPr>
              <w:t xml:space="preserve"> Körner, XXXXX, XXXXX</w:t>
            </w:r>
          </w:p>
        </w:tc>
        <w:tc>
          <w:tcPr>
            <w:tcW w:w="179" w:type="pct"/>
            <w:tcBorders>
              <w:top w:val="single" w:sz="4" w:space="0" w:color="auto"/>
              <w:left w:val="single" w:sz="4" w:space="0" w:color="F3F3F3"/>
              <w:bottom w:val="single" w:sz="8" w:space="0" w:color="auto"/>
              <w:right w:val="single" w:sz="8" w:space="0" w:color="auto"/>
            </w:tcBorders>
            <w:shd w:val="clear" w:color="auto" w:fill="auto"/>
          </w:tcPr>
          <w:p w:rsidR="00CF39EE" w:rsidRPr="00594C91" w:rsidRDefault="00CF39EE" w:rsidP="00504F79">
            <w:pPr>
              <w:widowControl w:val="0"/>
              <w:autoSpaceDE w:val="0"/>
              <w:autoSpaceDN w:val="0"/>
              <w:adjustRightInd w:val="0"/>
              <w:jc w:val="both"/>
              <w:rPr>
                <w:b/>
                <w:sz w:val="22"/>
                <w:szCs w:val="22"/>
              </w:rPr>
            </w:pPr>
          </w:p>
        </w:tc>
      </w:tr>
    </w:tbl>
    <w:p w:rsidR="0070676A" w:rsidRPr="00594C91" w:rsidRDefault="0070676A" w:rsidP="00C325AE">
      <w:pPr>
        <w:autoSpaceDE w:val="0"/>
        <w:autoSpaceDN w:val="0"/>
        <w:adjustRightInd w:val="0"/>
        <w:spacing w:before="240" w:line="240" w:lineRule="atLeast"/>
        <w:rPr>
          <w:sz w:val="22"/>
          <w:szCs w:val="22"/>
        </w:rPr>
      </w:pPr>
      <w:r w:rsidRPr="00594C91">
        <w:rPr>
          <w:sz w:val="22"/>
          <w:szCs w:val="22"/>
        </w:rPr>
        <w:t>V</w:t>
      </w:r>
      <w:r w:rsidR="00BE77D4" w:rsidRPr="00594C91">
        <w:rPr>
          <w:sz w:val="22"/>
          <w:szCs w:val="22"/>
        </w:rPr>
        <w:t> </w:t>
      </w:r>
      <w:r w:rsidR="00C1157A" w:rsidRPr="00594C91">
        <w:rPr>
          <w:sz w:val="22"/>
          <w:szCs w:val="22"/>
        </w:rPr>
        <w:t>Praze</w:t>
      </w:r>
      <w:r w:rsidR="00001A0D" w:rsidRPr="00594C91">
        <w:rPr>
          <w:sz w:val="22"/>
          <w:szCs w:val="22"/>
        </w:rPr>
        <w:t xml:space="preserve"> </w:t>
      </w:r>
      <w:r w:rsidR="00CF457C" w:rsidRPr="00594C91">
        <w:rPr>
          <w:sz w:val="22"/>
          <w:szCs w:val="22"/>
        </w:rPr>
        <w:fldChar w:fldCharType="begin"/>
      </w:r>
      <w:r w:rsidR="00CF457C" w:rsidRPr="00594C91">
        <w:rPr>
          <w:sz w:val="22"/>
          <w:szCs w:val="22"/>
        </w:rPr>
        <w:instrText xml:space="preserve"> TIME \@ "d. MMMM yyyy" </w:instrText>
      </w:r>
      <w:r w:rsidR="00CF457C" w:rsidRPr="00594C91">
        <w:rPr>
          <w:sz w:val="22"/>
          <w:szCs w:val="22"/>
        </w:rPr>
        <w:fldChar w:fldCharType="separate"/>
      </w:r>
      <w:r w:rsidR="004676CD">
        <w:rPr>
          <w:noProof/>
          <w:sz w:val="22"/>
          <w:szCs w:val="22"/>
        </w:rPr>
        <w:t>2. listopadu 2023</w:t>
      </w:r>
      <w:r w:rsidR="00CF457C" w:rsidRPr="00594C91">
        <w:rPr>
          <w:sz w:val="22"/>
          <w:szCs w:val="22"/>
        </w:rPr>
        <w:fldChar w:fldCharType="end"/>
      </w:r>
    </w:p>
    <w:p w:rsidR="0070676A" w:rsidRPr="009A669C" w:rsidRDefault="0070676A" w:rsidP="00C325AE">
      <w:pPr>
        <w:tabs>
          <w:tab w:val="left" w:pos="5387"/>
        </w:tabs>
        <w:autoSpaceDE w:val="0"/>
        <w:autoSpaceDN w:val="0"/>
        <w:adjustRightInd w:val="0"/>
        <w:spacing w:before="240" w:line="240" w:lineRule="atLeast"/>
        <w:rPr>
          <w:sz w:val="22"/>
          <w:szCs w:val="22"/>
        </w:rPr>
      </w:pPr>
      <w:r w:rsidRPr="00594C91">
        <w:rPr>
          <w:sz w:val="22"/>
          <w:szCs w:val="22"/>
        </w:rPr>
        <w:t xml:space="preserve">Vypracoval: </w:t>
      </w:r>
      <w:r w:rsidR="00B01667" w:rsidRPr="00594C91">
        <w:rPr>
          <w:bCs/>
          <w:sz w:val="22"/>
          <w:szCs w:val="22"/>
        </w:rPr>
        <w:t>Mgr. Michael Glogr</w:t>
      </w:r>
      <w:bookmarkStart w:id="0" w:name="_GoBack"/>
      <w:bookmarkEnd w:id="0"/>
    </w:p>
    <w:sectPr w:rsidR="0070676A" w:rsidRPr="009A669C" w:rsidSect="00D25BE8">
      <w:footerReference w:type="default" r:id="rId8"/>
      <w:pgSz w:w="11906" w:h="16838"/>
      <w:pgMar w:top="1418" w:right="1418" w:bottom="1418" w:left="12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B7" w:rsidRDefault="004077B7">
      <w:r>
        <w:separator/>
      </w:r>
    </w:p>
  </w:endnote>
  <w:endnote w:type="continuationSeparator" w:id="0">
    <w:p w:rsidR="004077B7" w:rsidRDefault="0040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E51" w:rsidRDefault="00F92E51" w:rsidP="001848D8">
    <w:pPr>
      <w:pStyle w:val="Zpat"/>
      <w:framePr w:wrap="around" w:vAnchor="text" w:hAnchor="margin" w:xAlign="right" w:y="1"/>
      <w:ind w:right="360"/>
      <w:rPr>
        <w:rStyle w:val="slostrnky"/>
      </w:rPr>
    </w:pPr>
  </w:p>
  <w:p w:rsidR="00F92E51" w:rsidRDefault="00F92E51" w:rsidP="001848D8">
    <w:pPr>
      <w:pStyle w:val="Zpat"/>
      <w:framePr w:wrap="auto" w:vAnchor="text" w:hAnchor="margin" w:xAlign="center" w:y="1"/>
      <w:ind w:right="360"/>
      <w:rPr>
        <w:rStyle w:val="slostrnky"/>
      </w:rPr>
    </w:pPr>
  </w:p>
  <w:p w:rsidR="00F92E51" w:rsidRDefault="00D25BE8" w:rsidP="00D25BE8">
    <w:pPr>
      <w:pStyle w:val="Zpat"/>
      <w:tabs>
        <w:tab w:val="clear" w:pos="4536"/>
      </w:tabs>
      <w:jc w:val="center"/>
    </w:pPr>
    <w:r w:rsidRPr="00CA4A8C">
      <w:rPr>
        <w:sz w:val="22"/>
        <w:szCs w:val="22"/>
      </w:rPr>
      <w:t xml:space="preserve">Stránka </w:t>
    </w:r>
    <w:r w:rsidRPr="00CA4A8C">
      <w:rPr>
        <w:sz w:val="22"/>
        <w:szCs w:val="22"/>
      </w:rPr>
      <w:fldChar w:fldCharType="begin"/>
    </w:r>
    <w:r w:rsidRPr="00CA4A8C">
      <w:rPr>
        <w:sz w:val="22"/>
        <w:szCs w:val="22"/>
      </w:rPr>
      <w:instrText>PAGE</w:instrText>
    </w:r>
    <w:r w:rsidRPr="00CA4A8C">
      <w:rPr>
        <w:sz w:val="22"/>
        <w:szCs w:val="22"/>
      </w:rPr>
      <w:fldChar w:fldCharType="separate"/>
    </w:r>
    <w:r w:rsidR="008E32B4">
      <w:rPr>
        <w:noProof/>
        <w:sz w:val="22"/>
        <w:szCs w:val="22"/>
      </w:rPr>
      <w:t>3</w:t>
    </w:r>
    <w:r w:rsidRPr="00CA4A8C">
      <w:rPr>
        <w:sz w:val="22"/>
        <w:szCs w:val="22"/>
      </w:rPr>
      <w:fldChar w:fldCharType="end"/>
    </w:r>
    <w:r w:rsidRPr="00CA4A8C">
      <w:rPr>
        <w:sz w:val="22"/>
        <w:szCs w:val="22"/>
      </w:rPr>
      <w:t xml:space="preserve"> (celkem </w:t>
    </w:r>
    <w:r w:rsidRPr="00CA4A8C">
      <w:rPr>
        <w:sz w:val="22"/>
        <w:szCs w:val="22"/>
      </w:rPr>
      <w:fldChar w:fldCharType="begin"/>
    </w:r>
    <w:r w:rsidRPr="00CA4A8C">
      <w:rPr>
        <w:sz w:val="22"/>
        <w:szCs w:val="22"/>
      </w:rPr>
      <w:instrText>NUMPAGES</w:instrText>
    </w:r>
    <w:r w:rsidRPr="00CA4A8C">
      <w:rPr>
        <w:sz w:val="22"/>
        <w:szCs w:val="22"/>
      </w:rPr>
      <w:fldChar w:fldCharType="separate"/>
    </w:r>
    <w:r w:rsidR="008E32B4">
      <w:rPr>
        <w:noProof/>
        <w:sz w:val="22"/>
        <w:szCs w:val="22"/>
      </w:rPr>
      <w:t>3</w:t>
    </w:r>
    <w:r w:rsidRPr="00CA4A8C">
      <w:rPr>
        <w:sz w:val="22"/>
        <w:szCs w:val="22"/>
      </w:rPr>
      <w:fldChar w:fldCharType="end"/>
    </w:r>
    <w:r w:rsidRPr="00CA4A8C">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B7" w:rsidRDefault="004077B7">
      <w:r>
        <w:separator/>
      </w:r>
    </w:p>
  </w:footnote>
  <w:footnote w:type="continuationSeparator" w:id="0">
    <w:p w:rsidR="004077B7" w:rsidRDefault="0040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8D202BD"/>
    <w:multiLevelType w:val="hybridMultilevel"/>
    <w:tmpl w:val="39864622"/>
    <w:lvl w:ilvl="0" w:tplc="04050001">
      <w:start w:val="1"/>
      <w:numFmt w:val="bullet"/>
      <w:lvlText w:val=""/>
      <w:lvlJc w:val="left"/>
      <w:pPr>
        <w:ind w:left="720" w:hanging="360"/>
      </w:pPr>
      <w:rPr>
        <w:rFonts w:ascii="Symbol" w:hAnsi="Symbol" w:hint="default"/>
        <w:b/>
        <w:bCs/>
      </w:r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5F528B9"/>
    <w:multiLevelType w:val="hybridMultilevel"/>
    <w:tmpl w:val="5F56D910"/>
    <w:lvl w:ilvl="0" w:tplc="BF68A4C0">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BD85044"/>
    <w:multiLevelType w:val="hybridMultilevel"/>
    <w:tmpl w:val="A54A94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793F39FE"/>
    <w:multiLevelType w:val="hybridMultilevel"/>
    <w:tmpl w:val="14D6A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4"/>
  </w:num>
  <w:num w:numId="4">
    <w:abstractNumId w:val="1"/>
  </w:num>
  <w:num w:numId="5">
    <w:abstractNumId w:val="9"/>
  </w:num>
  <w:num w:numId="6">
    <w:abstractNumId w:val="13"/>
  </w:num>
  <w:num w:numId="7">
    <w:abstractNumId w:val="11"/>
  </w:num>
  <w:num w:numId="8">
    <w:abstractNumId w:val="6"/>
  </w:num>
  <w:num w:numId="9">
    <w:abstractNumId w:val="2"/>
  </w:num>
  <w:num w:numId="10">
    <w:abstractNumId w:val="7"/>
  </w:num>
  <w:num w:numId="11">
    <w:abstractNumId w:val="12"/>
  </w:num>
  <w:num w:numId="12">
    <w:abstractNumId w:val="4"/>
  </w:num>
  <w:num w:numId="13">
    <w:abstractNumId w:val="16"/>
  </w:num>
  <w:num w:numId="14">
    <w:abstractNumId w:val="0"/>
  </w:num>
  <w:num w:numId="15">
    <w:abstractNumId w:val="1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5A"/>
    <w:rsid w:val="00001A0D"/>
    <w:rsid w:val="0001122F"/>
    <w:rsid w:val="0001676C"/>
    <w:rsid w:val="00061321"/>
    <w:rsid w:val="0008566B"/>
    <w:rsid w:val="00085FD1"/>
    <w:rsid w:val="000B4685"/>
    <w:rsid w:val="000C7F33"/>
    <w:rsid w:val="001060B5"/>
    <w:rsid w:val="00110AAF"/>
    <w:rsid w:val="00131E72"/>
    <w:rsid w:val="00134179"/>
    <w:rsid w:val="00145705"/>
    <w:rsid w:val="0014667B"/>
    <w:rsid w:val="00171AB3"/>
    <w:rsid w:val="0018186E"/>
    <w:rsid w:val="001848D8"/>
    <w:rsid w:val="00195697"/>
    <w:rsid w:val="001B2EDE"/>
    <w:rsid w:val="001C6818"/>
    <w:rsid w:val="001F480B"/>
    <w:rsid w:val="00212ADB"/>
    <w:rsid w:val="002132CD"/>
    <w:rsid w:val="00241C0B"/>
    <w:rsid w:val="00254415"/>
    <w:rsid w:val="00287369"/>
    <w:rsid w:val="00291F07"/>
    <w:rsid w:val="002A7271"/>
    <w:rsid w:val="002F055A"/>
    <w:rsid w:val="002F6431"/>
    <w:rsid w:val="003056ED"/>
    <w:rsid w:val="00313760"/>
    <w:rsid w:val="00323E1D"/>
    <w:rsid w:val="00361758"/>
    <w:rsid w:val="00362743"/>
    <w:rsid w:val="003709E4"/>
    <w:rsid w:val="003A2DD9"/>
    <w:rsid w:val="003A432B"/>
    <w:rsid w:val="003C2B67"/>
    <w:rsid w:val="003D3072"/>
    <w:rsid w:val="003E63EE"/>
    <w:rsid w:val="0040041F"/>
    <w:rsid w:val="00406325"/>
    <w:rsid w:val="004077B7"/>
    <w:rsid w:val="00417825"/>
    <w:rsid w:val="00420190"/>
    <w:rsid w:val="004676CD"/>
    <w:rsid w:val="00493932"/>
    <w:rsid w:val="004A3B5C"/>
    <w:rsid w:val="004F00D3"/>
    <w:rsid w:val="00504F79"/>
    <w:rsid w:val="00506235"/>
    <w:rsid w:val="005213A9"/>
    <w:rsid w:val="00522DBE"/>
    <w:rsid w:val="00535576"/>
    <w:rsid w:val="00556ED7"/>
    <w:rsid w:val="00594C91"/>
    <w:rsid w:val="00597FEB"/>
    <w:rsid w:val="005A24E8"/>
    <w:rsid w:val="005A278E"/>
    <w:rsid w:val="005A325F"/>
    <w:rsid w:val="005B1037"/>
    <w:rsid w:val="005C610B"/>
    <w:rsid w:val="005E7888"/>
    <w:rsid w:val="005F77BA"/>
    <w:rsid w:val="00606A8C"/>
    <w:rsid w:val="00633AD7"/>
    <w:rsid w:val="006418D9"/>
    <w:rsid w:val="00641AB8"/>
    <w:rsid w:val="00650FEC"/>
    <w:rsid w:val="00693DF0"/>
    <w:rsid w:val="006C1189"/>
    <w:rsid w:val="006D6FEC"/>
    <w:rsid w:val="006F1E98"/>
    <w:rsid w:val="0070676A"/>
    <w:rsid w:val="00717534"/>
    <w:rsid w:val="007A3FC1"/>
    <w:rsid w:val="007A6855"/>
    <w:rsid w:val="007C2824"/>
    <w:rsid w:val="007E1384"/>
    <w:rsid w:val="007E66FB"/>
    <w:rsid w:val="007E6DCF"/>
    <w:rsid w:val="007F0C8F"/>
    <w:rsid w:val="007F4379"/>
    <w:rsid w:val="00804406"/>
    <w:rsid w:val="0080532C"/>
    <w:rsid w:val="008275AF"/>
    <w:rsid w:val="00840F57"/>
    <w:rsid w:val="00854B39"/>
    <w:rsid w:val="00856382"/>
    <w:rsid w:val="00864230"/>
    <w:rsid w:val="008777EA"/>
    <w:rsid w:val="008B6D97"/>
    <w:rsid w:val="008D1D31"/>
    <w:rsid w:val="008E32B4"/>
    <w:rsid w:val="008F7AA8"/>
    <w:rsid w:val="00936D61"/>
    <w:rsid w:val="00942FA3"/>
    <w:rsid w:val="00952226"/>
    <w:rsid w:val="00966FD5"/>
    <w:rsid w:val="009945AB"/>
    <w:rsid w:val="009A669C"/>
    <w:rsid w:val="009A704C"/>
    <w:rsid w:val="009B1CD8"/>
    <w:rsid w:val="009B2879"/>
    <w:rsid w:val="009B435F"/>
    <w:rsid w:val="009B66D5"/>
    <w:rsid w:val="009E1CBD"/>
    <w:rsid w:val="009E44F6"/>
    <w:rsid w:val="009F7751"/>
    <w:rsid w:val="00A013DF"/>
    <w:rsid w:val="00A1699D"/>
    <w:rsid w:val="00A16D4F"/>
    <w:rsid w:val="00A17317"/>
    <w:rsid w:val="00A1761E"/>
    <w:rsid w:val="00A20E68"/>
    <w:rsid w:val="00A641D2"/>
    <w:rsid w:val="00A74747"/>
    <w:rsid w:val="00A85991"/>
    <w:rsid w:val="00A964FB"/>
    <w:rsid w:val="00AB7A22"/>
    <w:rsid w:val="00AE5927"/>
    <w:rsid w:val="00B00826"/>
    <w:rsid w:val="00B01667"/>
    <w:rsid w:val="00B01C80"/>
    <w:rsid w:val="00B028CF"/>
    <w:rsid w:val="00B03196"/>
    <w:rsid w:val="00B12F6B"/>
    <w:rsid w:val="00B62844"/>
    <w:rsid w:val="00B75488"/>
    <w:rsid w:val="00B754CD"/>
    <w:rsid w:val="00BA7DC0"/>
    <w:rsid w:val="00BB7D02"/>
    <w:rsid w:val="00BC54F4"/>
    <w:rsid w:val="00BD5685"/>
    <w:rsid w:val="00BE77D4"/>
    <w:rsid w:val="00BF0C29"/>
    <w:rsid w:val="00BF6B3F"/>
    <w:rsid w:val="00C077D5"/>
    <w:rsid w:val="00C1157A"/>
    <w:rsid w:val="00C15A3C"/>
    <w:rsid w:val="00C31F3B"/>
    <w:rsid w:val="00C325AE"/>
    <w:rsid w:val="00C57D01"/>
    <w:rsid w:val="00C7306B"/>
    <w:rsid w:val="00CC297A"/>
    <w:rsid w:val="00CF39EE"/>
    <w:rsid w:val="00CF457C"/>
    <w:rsid w:val="00D24FA5"/>
    <w:rsid w:val="00D25BE8"/>
    <w:rsid w:val="00D53649"/>
    <w:rsid w:val="00D6429E"/>
    <w:rsid w:val="00D67326"/>
    <w:rsid w:val="00D737BB"/>
    <w:rsid w:val="00D8254F"/>
    <w:rsid w:val="00D934C7"/>
    <w:rsid w:val="00DB7A85"/>
    <w:rsid w:val="00DE5945"/>
    <w:rsid w:val="00DE6B25"/>
    <w:rsid w:val="00DF3F5B"/>
    <w:rsid w:val="00E235D5"/>
    <w:rsid w:val="00E35ECB"/>
    <w:rsid w:val="00E47DEE"/>
    <w:rsid w:val="00E50641"/>
    <w:rsid w:val="00E83F22"/>
    <w:rsid w:val="00EA3AAA"/>
    <w:rsid w:val="00EB0F86"/>
    <w:rsid w:val="00EB21CE"/>
    <w:rsid w:val="00EE4076"/>
    <w:rsid w:val="00F40AA2"/>
    <w:rsid w:val="00F6010E"/>
    <w:rsid w:val="00F92E51"/>
    <w:rsid w:val="00FD49B5"/>
    <w:rsid w:val="00FD50DA"/>
    <w:rsid w:val="00FE084B"/>
    <w:rsid w:val="00FE1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979289"/>
  <w15:chartTrackingRefBased/>
  <w15:docId w15:val="{8EFDAFB1-3023-4923-8518-EBDB4289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character" w:styleId="Hypertextovodkaz">
    <w:name w:val="Hyperlink"/>
    <w:rPr>
      <w:color w:val="0000FF"/>
      <w:u w:val="single"/>
    </w:rPr>
  </w:style>
  <w:style w:type="paragraph" w:styleId="Rozloendokumentu">
    <w:name w:val="Document Map"/>
    <w:basedOn w:val="Normln"/>
    <w:semiHidden/>
    <w:rsid w:val="00E235D5"/>
    <w:pPr>
      <w:shd w:val="clear" w:color="auto" w:fill="000080"/>
    </w:pPr>
    <w:rPr>
      <w:rFonts w:ascii="Tahoma" w:hAnsi="Tahoma" w:cs="Tahoma"/>
      <w:sz w:val="20"/>
      <w:szCs w:val="20"/>
    </w:rPr>
  </w:style>
  <w:style w:type="paragraph" w:styleId="Textbubliny">
    <w:name w:val="Balloon Text"/>
    <w:basedOn w:val="Normln"/>
    <w:semiHidden/>
    <w:rsid w:val="00E235D5"/>
    <w:rPr>
      <w:rFonts w:ascii="Tahoma" w:hAnsi="Tahoma" w:cs="Tahoma"/>
      <w:sz w:val="16"/>
      <w:szCs w:val="16"/>
    </w:rPr>
  </w:style>
  <w:style w:type="character" w:styleId="Odkaznakoment">
    <w:name w:val="annotation reference"/>
    <w:semiHidden/>
    <w:rsid w:val="00B028CF"/>
    <w:rPr>
      <w:sz w:val="16"/>
      <w:szCs w:val="16"/>
    </w:rPr>
  </w:style>
  <w:style w:type="paragraph" w:styleId="Textkomente">
    <w:name w:val="annotation text"/>
    <w:basedOn w:val="Normln"/>
    <w:semiHidden/>
    <w:rsid w:val="00B028CF"/>
    <w:rPr>
      <w:sz w:val="20"/>
      <w:szCs w:val="20"/>
    </w:rPr>
  </w:style>
  <w:style w:type="paragraph" w:styleId="Pedmtkomente">
    <w:name w:val="annotation subject"/>
    <w:basedOn w:val="Textkomente"/>
    <w:next w:val="Textkomente"/>
    <w:semiHidden/>
    <w:rsid w:val="00B028CF"/>
    <w:rPr>
      <w:b/>
      <w:bCs/>
    </w:rPr>
  </w:style>
  <w:style w:type="table" w:styleId="Mkatabulky">
    <w:name w:val="Table Grid"/>
    <w:basedOn w:val="Normlntabulka"/>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942FA3"/>
    <w:pPr>
      <w:tabs>
        <w:tab w:val="center" w:pos="4536"/>
        <w:tab w:val="right" w:pos="9072"/>
      </w:tabs>
    </w:pPr>
  </w:style>
  <w:style w:type="character" w:styleId="slostrnky">
    <w:name w:val="page number"/>
    <w:basedOn w:val="Standardnpsmoodstavce"/>
    <w:rsid w:val="00942FA3"/>
  </w:style>
  <w:style w:type="paragraph" w:styleId="Zhlav">
    <w:name w:val="header"/>
    <w:basedOn w:val="Normln"/>
    <w:rsid w:val="00942FA3"/>
    <w:pPr>
      <w:tabs>
        <w:tab w:val="center" w:pos="4536"/>
        <w:tab w:val="right" w:pos="9072"/>
      </w:tabs>
    </w:pPr>
  </w:style>
  <w:style w:type="paragraph" w:styleId="Odstavecseseznamem">
    <w:name w:val="List Paragraph"/>
    <w:basedOn w:val="Normln"/>
    <w:uiPriority w:val="34"/>
    <w:qFormat/>
    <w:rsid w:val="00594C9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8885-5BF8-4A9E-BC0A-01E561AD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5294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ÚŘAD VLÁDY ČR</vt:lpstr>
    </vt:vector>
  </TitlesOfParts>
  <Company>UVIS</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subject/>
  <dc:creator>duben</dc:creator>
  <cp:keywords/>
  <cp:lastModifiedBy>Střeštíková Hana</cp:lastModifiedBy>
  <cp:revision>3</cp:revision>
  <cp:lastPrinted>2004-04-02T05:53:00Z</cp:lastPrinted>
  <dcterms:created xsi:type="dcterms:W3CDTF">2023-11-02T07:29:00Z</dcterms:created>
  <dcterms:modified xsi:type="dcterms:W3CDTF">2023-11-02T07:30:00Z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