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91B61" w:rsidR="00714E5D" w:rsidP="000C1160" w:rsidRDefault="00714E5D" w14:paraId="511713F2">
      <w:pPr>
        <w:jc w:val="center"/>
        <w:rPr>
          <w:rFonts w:ascii="Arial" w:hAnsi="Arial" w:cs="Arial"/>
          <w:b/>
          <w:sz w:val="28"/>
          <w:szCs w:val="28"/>
        </w:rPr>
      </w:pPr>
      <w:r w:rsidRPr="00A91B61">
        <w:rPr>
          <w:rFonts w:ascii="Arial" w:hAnsi="Arial" w:cs="Arial"/>
          <w:b/>
          <w:sz w:val="28"/>
          <w:szCs w:val="28"/>
        </w:rPr>
        <w:t xml:space="preserve">Informace </w:t>
      </w:r>
      <w:r w:rsidRPr="00A91B61" w:rsidR="000C1160">
        <w:rPr>
          <w:rFonts w:ascii="Arial" w:hAnsi="Arial" w:cs="Arial"/>
          <w:b/>
          <w:sz w:val="28"/>
          <w:szCs w:val="28"/>
        </w:rPr>
        <w:t>o</w:t>
      </w:r>
      <w:r w:rsidRPr="00A91B61" w:rsidR="006C3DF9">
        <w:rPr>
          <w:rFonts w:ascii="Arial" w:hAnsi="Arial" w:cs="Arial"/>
          <w:b/>
          <w:sz w:val="28"/>
          <w:szCs w:val="28"/>
        </w:rPr>
        <w:t xml:space="preserve"> </w:t>
      </w:r>
      <w:r w:rsidRPr="00A91B61" w:rsidR="000C1160">
        <w:rPr>
          <w:rFonts w:ascii="Arial" w:hAnsi="Arial" w:cs="Arial"/>
          <w:b/>
          <w:sz w:val="28"/>
          <w:szCs w:val="28"/>
        </w:rPr>
        <w:t xml:space="preserve">záměru učinit výdaj v oblasti digitalizace nebo informačních a komunikačních technologií podle usnesení vlády </w:t>
      </w:r>
      <w:r w:rsidR="00A91B61">
        <w:rPr>
          <w:rFonts w:ascii="Arial" w:hAnsi="Arial" w:cs="Arial"/>
          <w:b/>
          <w:sz w:val="28"/>
          <w:szCs w:val="28"/>
        </w:rPr>
        <w:t>ze </w:t>
      </w:r>
      <w:r w:rsidR="00B23A0B">
        <w:rPr>
          <w:rFonts w:ascii="Arial" w:hAnsi="Arial" w:cs="Arial"/>
          <w:b/>
          <w:sz w:val="28"/>
          <w:szCs w:val="28"/>
        </w:rPr>
        <w:t>dne 27. ledna 2020,</w:t>
      </w:r>
      <w:r w:rsidRPr="00A91B61" w:rsidR="00BF6665">
        <w:rPr>
          <w:rFonts w:ascii="Arial" w:hAnsi="Arial" w:cs="Arial"/>
          <w:b/>
          <w:sz w:val="28"/>
          <w:szCs w:val="28"/>
        </w:rPr>
        <w:t xml:space="preserve"> </w:t>
      </w:r>
      <w:r w:rsidRPr="00A91B61" w:rsidR="000C1160">
        <w:rPr>
          <w:rFonts w:ascii="Arial" w:hAnsi="Arial" w:cs="Arial"/>
          <w:b/>
          <w:sz w:val="28"/>
          <w:szCs w:val="28"/>
        </w:rPr>
        <w:t>č. 86</w:t>
      </w:r>
    </w:p>
    <w:p w:rsidRPr="001F0658" w:rsidR="00714E5D" w:rsidP="00714E5D" w:rsidRDefault="00714E5D" w14:paraId="7C22951A">
      <w:pPr>
        <w:jc w:val="center"/>
        <w:rPr>
          <w:rFonts w:ascii="Arial" w:hAnsi="Arial" w:cs="Arial"/>
          <w:bCs/>
          <w:iCs/>
          <w:sz w:val="26"/>
          <w:szCs w:val="26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Pr="001F0658" w:rsidR="00714E5D" w:rsidTr="63F0862D" w14:paraId="43739929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714E5D" w:rsidRDefault="00F30747" w14:paraId="5F293382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Pr="001F0658" w:rsidR="00714E5D">
              <w:rPr>
                <w:rFonts w:ascii="Arial" w:hAnsi="Arial" w:cs="Arial"/>
                <w:b/>
                <w:sz w:val="24"/>
                <w:szCs w:val="24"/>
              </w:rPr>
              <w:t>Předkladatel materiálu</w:t>
            </w:r>
          </w:p>
          <w:p w:rsidRPr="001F0658" w:rsidR="004619DB" w:rsidRDefault="004619DB" w14:paraId="1B9509D2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Uveďte označení úřadu, který Informaci vládě předkládá.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714E5D" w:rsidP="00593D76" w:rsidRDefault="00593D76" w14:paraId="5D30B84F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593D76">
              <w:rPr>
                <w:rFonts w:ascii="Arial" w:hAnsi="Arial" w:cs="Arial"/>
                <w:bCs/>
                <w:iCs/>
                <w:sz w:val="24"/>
                <w:szCs w:val="24"/>
              </w:rPr>
              <w:t>Ministerstvo práce a sociálních věcí</w:t>
            </w:r>
            <w:r w:rsidR="007F0505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ČR</w:t>
            </w:r>
          </w:p>
        </w:tc>
      </w:tr>
      <w:tr w:rsidRPr="001F0658" w:rsidR="00714E5D" w:rsidTr="63F0862D" w14:paraId="44421D65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0C1160" w:rsidP="000C1160" w:rsidRDefault="00F30747" w14:paraId="3055E578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2. </w:t>
            </w:r>
            <w:r w:rsidRPr="000C1160" w:rsidR="000C1160">
              <w:rPr>
                <w:rFonts w:ascii="Arial" w:hAnsi="Arial" w:cs="Arial"/>
                <w:b/>
                <w:sz w:val="24"/>
                <w:szCs w:val="24"/>
              </w:rPr>
              <w:t xml:space="preserve">Označení </w:t>
            </w:r>
            <w:r w:rsidR="000C1160">
              <w:rPr>
                <w:rFonts w:ascii="Arial" w:hAnsi="Arial" w:cs="Arial"/>
                <w:b/>
                <w:sz w:val="24"/>
                <w:szCs w:val="24"/>
              </w:rPr>
              <w:t>zpracovatele záměru</w:t>
            </w:r>
          </w:p>
          <w:p w:rsidRPr="001F0658" w:rsidR="00714E5D" w:rsidP="000C1160" w:rsidRDefault="000C1160" w14:paraId="077151E8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C1160">
              <w:rPr>
                <w:rFonts w:ascii="Arial" w:hAnsi="Arial" w:cs="Arial"/>
                <w:i/>
                <w:sz w:val="22"/>
                <w:szCs w:val="22"/>
              </w:rPr>
              <w:t>Předkladatel uvede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subjekt, o jehož výdaj se jedná</w:t>
            </w:r>
            <w:r w:rsidR="00BF6665">
              <w:rPr>
                <w:rFonts w:ascii="Arial" w:hAnsi="Arial" w:cs="Arial"/>
                <w:i/>
                <w:sz w:val="22"/>
                <w:szCs w:val="22"/>
              </w:rPr>
              <w:t>, anebo uvede sebe sama, je-li zároveň zpracovatelem</w:t>
            </w:r>
            <w:r w:rsidR="00A91B61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714E5D" w:rsidP="00593D76" w:rsidRDefault="00593D76" w14:paraId="020105EB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593D76">
              <w:rPr>
                <w:rFonts w:ascii="Arial" w:hAnsi="Arial" w:cs="Arial"/>
                <w:bCs/>
                <w:iCs/>
                <w:sz w:val="24"/>
                <w:szCs w:val="24"/>
              </w:rPr>
              <w:t>Ministerstvo práce a sociálních věcí</w:t>
            </w:r>
            <w:r w:rsidR="007F0505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ČR</w:t>
            </w:r>
          </w:p>
        </w:tc>
      </w:tr>
      <w:tr w:rsidRPr="001F0658" w:rsidR="00714E5D" w:rsidTr="63F0862D" w14:paraId="421D5E92">
        <w:trPr>
          <w:trHeight w:val="360"/>
        </w:trPr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F0658" w:rsidR="00714E5D" w:rsidP="000C1160" w:rsidRDefault="00F30747" w14:paraId="37F24714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Pr="001F0658" w:rsidR="00714E5D">
              <w:rPr>
                <w:rFonts w:ascii="Arial" w:hAnsi="Arial" w:cs="Arial"/>
                <w:b/>
                <w:sz w:val="24"/>
                <w:szCs w:val="24"/>
              </w:rPr>
              <w:t xml:space="preserve">Název </w:t>
            </w:r>
            <w:r w:rsidR="000C1160">
              <w:rPr>
                <w:rFonts w:ascii="Arial" w:hAnsi="Arial" w:cs="Arial"/>
                <w:b/>
                <w:sz w:val="24"/>
                <w:szCs w:val="24"/>
              </w:rPr>
              <w:t>záměru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714E5D" w:rsidP="003908CF" w:rsidRDefault="003758A6" w14:paraId="4D70F2D9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3758A6">
              <w:rPr>
                <w:rFonts w:ascii="Arial" w:hAnsi="Arial" w:cs="Arial"/>
                <w:bCs/>
                <w:iCs/>
                <w:sz w:val="24"/>
                <w:szCs w:val="24"/>
              </w:rPr>
              <w:t>„</w:t>
            </w:r>
            <w:bookmarkStart w:name="_Hlk48911743" w:id="0"/>
            <w:r w:rsidRPr="00DA5FF2" w:rsidR="00DA5FF2">
              <w:rPr>
                <w:rFonts w:ascii="Arial" w:hAnsi="Arial" w:cs="Arial"/>
                <w:bCs/>
                <w:iCs/>
                <w:sz w:val="24"/>
                <w:szCs w:val="24"/>
              </w:rPr>
              <w:t>Podpora a rozvoj systému EESSI rezortu MPSV</w:t>
            </w:r>
            <w:r w:rsidRPr="003758A6">
              <w:rPr>
                <w:rFonts w:ascii="Arial" w:hAnsi="Arial" w:cs="Arial"/>
                <w:bCs/>
                <w:iCs/>
                <w:sz w:val="24"/>
                <w:szCs w:val="24"/>
              </w:rPr>
              <w:t>“</w:t>
            </w:r>
            <w:r w:rsidRPr="003908CF" w:rsidR="002A7EA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bookmarkEnd w:id="0"/>
          </w:p>
        </w:tc>
      </w:tr>
      <w:tr w:rsidRPr="001F0658" w:rsidR="002A7EAE" w:rsidTr="63F0862D" w14:paraId="79ABA544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2A7EAE" w:rsidP="002A7EAE" w:rsidRDefault="002A7EAE" w14:paraId="08BE871B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4. </w:t>
            </w:r>
            <w:r w:rsidRPr="00F30747">
              <w:rPr>
                <w:rFonts w:ascii="Arial" w:hAnsi="Arial" w:cs="Arial"/>
                <w:b/>
                <w:sz w:val="24"/>
                <w:szCs w:val="24"/>
              </w:rPr>
              <w:t>Plánované investiční a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F30747">
              <w:rPr>
                <w:rFonts w:ascii="Arial" w:hAnsi="Arial" w:cs="Arial"/>
                <w:b/>
                <w:sz w:val="24"/>
                <w:szCs w:val="24"/>
              </w:rPr>
              <w:t>implementační výdaje bez DPH</w:t>
            </w:r>
          </w:p>
          <w:p w:rsidRPr="00A7345D" w:rsidR="002A7EAE" w:rsidP="002A7EAE" w:rsidRDefault="002A7EAE" w14:paraId="5F14BAEA">
            <w:pPr>
              <w:spacing w:before="60" w:after="6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Předkladatel uvede v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 xml:space="preserve">ýdaje hrazené externím subjektům za realizaci </w:t>
            </w:r>
            <w:r>
              <w:rPr>
                <w:rFonts w:ascii="Arial" w:hAnsi="Arial" w:cs="Arial"/>
                <w:i/>
                <w:sz w:val="22"/>
                <w:szCs w:val="22"/>
              </w:rPr>
              <w:t>záměru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 xml:space="preserve">. Realizací </w:t>
            </w:r>
            <w:r>
              <w:rPr>
                <w:rFonts w:ascii="Arial" w:hAnsi="Arial" w:cs="Arial"/>
                <w:i/>
                <w:sz w:val="22"/>
                <w:szCs w:val="22"/>
              </w:rPr>
              <w:t>záměru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 xml:space="preserve"> jsou myšleny veškeré činnosti prováděné před spuštěním ostrého provozu. Například se jedná o výdaje na vývoj informačních systémů, nákup licencí a hardware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3908CF" w:rsidP="003758A6" w:rsidRDefault="00EC4B2B" w14:paraId="77ED006E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0 </w:t>
            </w:r>
            <w:r w:rsidR="00CE115C">
              <w:rPr>
                <w:rFonts w:ascii="Arial" w:hAnsi="Arial" w:cs="Arial"/>
                <w:bCs/>
                <w:iCs/>
                <w:sz w:val="24"/>
                <w:szCs w:val="24"/>
              </w:rPr>
              <w:t>Kč</w:t>
            </w:r>
          </w:p>
        </w:tc>
      </w:tr>
      <w:tr w:rsidRPr="001F0658" w:rsidR="002A7EAE" w:rsidTr="63F0862D" w14:paraId="354506C7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2A7EAE" w:rsidP="002A7EAE" w:rsidRDefault="002A7EAE" w14:paraId="6AFE1101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Pr="00F30747">
              <w:rPr>
                <w:rFonts w:ascii="Arial" w:hAnsi="Arial" w:cs="Arial"/>
                <w:b/>
                <w:sz w:val="24"/>
                <w:szCs w:val="24"/>
              </w:rPr>
              <w:t>Plánované provozní výdaje bez DPH a údaj o délce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období, na které jsou plánované</w:t>
            </w:r>
          </w:p>
          <w:p w:rsidR="002A7EAE" w:rsidP="002A7EAE" w:rsidRDefault="002A7EAE" w14:paraId="6CFAC3EB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Předkladatel uvede v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>ýdaje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 xml:space="preserve">hrazené externím subjektům za dobu provozu </w:t>
            </w:r>
            <w:r>
              <w:rPr>
                <w:rFonts w:ascii="Arial" w:hAnsi="Arial" w:cs="Arial"/>
                <w:i/>
                <w:sz w:val="22"/>
                <w:szCs w:val="22"/>
              </w:rPr>
              <w:t>záměru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>. Započítejte veškeré předpokládané výdaje, které umožňují chystané obchodní vztahy na období od spuštění ostrého provozu do ukončení účinnosti smluv či objednávek. Například se jedná o výdaje na maintenance a rozvoj informačních systémů nebo platb</w:t>
            </w:r>
            <w:r>
              <w:rPr>
                <w:rFonts w:ascii="Arial" w:hAnsi="Arial" w:cs="Arial"/>
                <w:i/>
                <w:sz w:val="22"/>
                <w:szCs w:val="22"/>
              </w:rPr>
              <w:t>y za licence</w:t>
            </w:r>
            <w:r w:rsidRPr="00A7345D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Zahrnuje i výdaje za platby služeb, pokud je tak projekt realizován.</w:t>
            </w:r>
          </w:p>
          <w:p w:rsidR="002A7EAE" w:rsidP="002A7EAE" w:rsidRDefault="002A7EAE" w14:paraId="7504C71C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Dále uveďte, na jak dlouhé období je výdaj za provoz napočten.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2A7EAE" w:rsidP="00CE115C" w:rsidRDefault="00DA5FF2" w14:paraId="5C5955C6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46.152</w:t>
            </w:r>
            <w:r w:rsidRPr="003758A6" w:rsidR="00EC4B2B">
              <w:rPr>
                <w:rFonts w:ascii="Arial" w:hAnsi="Arial" w:cs="Arial"/>
                <w:bCs/>
                <w:iCs/>
                <w:sz w:val="24"/>
                <w:szCs w:val="24"/>
              </w:rPr>
              <w:t>.000</w:t>
            </w:r>
            <w:r w:rsidR="00EC4B2B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3908CF" w:rsidR="00EC4B2B">
              <w:rPr>
                <w:rFonts w:ascii="Arial" w:hAnsi="Arial" w:cs="Arial"/>
                <w:bCs/>
                <w:iCs/>
                <w:sz w:val="24"/>
                <w:szCs w:val="24"/>
              </w:rPr>
              <w:t>Kč bez DPH</w:t>
            </w:r>
            <w:r w:rsidR="00EC4B2B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za dobu 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4</w:t>
            </w:r>
            <w:r w:rsidR="00EC4B2B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let</w:t>
            </w:r>
          </w:p>
        </w:tc>
      </w:tr>
      <w:tr w:rsidRPr="001F0658" w:rsidR="002A7EAE" w:rsidTr="63F0862D" w14:paraId="0E777C6A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2A7EAE" w:rsidP="002A7EAE" w:rsidRDefault="002A7EAE" w14:paraId="30B7324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6. </w:t>
            </w:r>
            <w:r w:rsidRPr="00F30747">
              <w:rPr>
                <w:rFonts w:ascii="Arial" w:hAnsi="Arial" w:cs="Arial"/>
                <w:b/>
                <w:sz w:val="24"/>
                <w:szCs w:val="24"/>
              </w:rPr>
              <w:t>Způsob stanoveni předpokládaných (plánovaných) hodnot</w:t>
            </w:r>
          </w:p>
          <w:p w:rsidRPr="001F0658" w:rsidR="002A7EAE" w:rsidP="002A7EAE" w:rsidRDefault="002A7EAE" w14:paraId="58C1F5C7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F0658">
              <w:rPr>
                <w:rFonts w:ascii="Arial" w:hAnsi="Arial" w:cs="Arial"/>
                <w:i/>
                <w:sz w:val="22"/>
                <w:szCs w:val="22"/>
              </w:rPr>
              <w:t>Předkladatel uvede postup při stanovení předpokládané hodnoty (např. způsob výpočtu, odkaz na znalecký posudek, průzkum trhu).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758A6" w:rsidR="003758A6" w:rsidP="003758A6" w:rsidRDefault="003758A6" w14:paraId="45BB79FB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A6">
              <w:rPr>
                <w:rFonts w:ascii="Arial" w:hAnsi="Arial" w:cs="Arial"/>
                <w:sz w:val="24"/>
                <w:szCs w:val="24"/>
              </w:rPr>
              <w:t xml:space="preserve">Předpokládaná hodnota veřejné zakázky byla stanovena v souladu s § 16 a násl. </w:t>
            </w:r>
            <w:bookmarkStart w:name="_Hlk48912167" w:id="1"/>
            <w:r>
              <w:rPr>
                <w:rFonts w:ascii="Arial" w:hAnsi="Arial" w:cs="Arial"/>
                <w:sz w:val="24"/>
                <w:szCs w:val="24"/>
              </w:rPr>
              <w:t xml:space="preserve">zákona </w:t>
            </w:r>
            <w:r w:rsidRPr="003758A6">
              <w:rPr>
                <w:rFonts w:ascii="Arial" w:hAnsi="Arial" w:cs="Arial"/>
                <w:sz w:val="24"/>
                <w:szCs w:val="24"/>
              </w:rPr>
              <w:t>č. 134/2016 Sb., zadávání veřejných zakázek, ve znění pozdějších předpisů</w:t>
            </w:r>
            <w:bookmarkEnd w:id="1"/>
            <w:r w:rsidRPr="003758A6">
              <w:rPr>
                <w:rFonts w:ascii="Arial" w:hAnsi="Arial" w:cs="Arial"/>
                <w:sz w:val="24"/>
                <w:szCs w:val="24"/>
              </w:rPr>
              <w:t xml:space="preserve"> (dále jen „ZZVZ</w:t>
            </w:r>
            <w:r>
              <w:rPr>
                <w:rFonts w:ascii="Arial" w:hAnsi="Arial" w:cs="Arial"/>
                <w:sz w:val="24"/>
                <w:szCs w:val="24"/>
              </w:rPr>
              <w:t>“)</w:t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, a to na základě údajů a informací o cenách obvyklých v místě a čase pro plnění veřejné zakázky a informací o zakázkách stejného či podobného předmětu plnění zadaných zadavatelem, a při zohlednění zadavatelem předpokládaného objemu služeb odebraných za celou dobu trvání smlouvy na plnění veřejné zakázky (tj. po dobu </w:t>
            </w:r>
            <w:r w:rsidR="00DA5FF2">
              <w:rPr>
                <w:rFonts w:ascii="Arial" w:hAnsi="Arial" w:cs="Arial"/>
                <w:sz w:val="24"/>
                <w:szCs w:val="24"/>
              </w:rPr>
              <w:t>48</w:t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 měsíců).</w:t>
            </w:r>
          </w:p>
          <w:p w:rsidRPr="003758A6" w:rsidR="003758A6" w:rsidP="003758A6" w:rsidRDefault="003758A6" w14:paraId="6E9E0A1B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A6">
              <w:rPr>
                <w:rFonts w:ascii="Arial" w:hAnsi="Arial" w:cs="Arial"/>
                <w:sz w:val="24"/>
                <w:szCs w:val="24"/>
              </w:rPr>
              <w:t>Předpokládaná hodnota veřejné zakázky vychází ze smíšené sazby za profese analytik a programátor založené na dokumentu „</w:t>
            </w:r>
            <w:proofErr w:type="spellStart"/>
            <w:r w:rsidRPr="003758A6">
              <w:rPr>
                <w:rFonts w:ascii="Arial" w:hAnsi="Arial" w:cs="Arial"/>
                <w:sz w:val="24"/>
                <w:szCs w:val="24"/>
              </w:rPr>
              <w:t>Benchmarkingové</w:t>
            </w:r>
            <w:proofErr w:type="spellEnd"/>
            <w:r w:rsidRPr="003758A6">
              <w:rPr>
                <w:rFonts w:ascii="Arial" w:hAnsi="Arial" w:cs="Arial"/>
                <w:sz w:val="24"/>
                <w:szCs w:val="24"/>
              </w:rPr>
              <w:t xml:space="preserve"> výstupy – porovnání cen ve smlouvách konkrétní instituce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s cenami obvyklými“, který zpracovala Vysoká škola ekonomická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v Praze, Fakulta informatiky a statistiky 25. 5. 2019, publikovaném Ministerstvem vnitra jako benchmark pro stanovení cen jednotlivých ICT služeb. </w:t>
            </w:r>
          </w:p>
          <w:p w:rsidRPr="003758A6" w:rsidR="003758A6" w:rsidP="003758A6" w:rsidRDefault="003758A6" w14:paraId="23FB487A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A6">
              <w:rPr>
                <w:rFonts w:ascii="Arial" w:hAnsi="Arial" w:cs="Arial"/>
                <w:sz w:val="24"/>
                <w:szCs w:val="24"/>
              </w:rPr>
              <w:t xml:space="preserve">Pro kalkulaci byla využita jednotková cena 12 000 Kč bez DPH za jeden člověkoden (dále jen </w:t>
            </w:r>
            <w:r w:rsidR="004D53FC">
              <w:rPr>
                <w:rFonts w:ascii="Arial" w:hAnsi="Arial" w:cs="Arial"/>
                <w:sz w:val="24"/>
                <w:szCs w:val="24"/>
              </w:rPr>
              <w:t>„</w:t>
            </w:r>
            <w:r w:rsidRPr="003758A6">
              <w:rPr>
                <w:rFonts w:ascii="Arial" w:hAnsi="Arial" w:cs="Arial"/>
                <w:sz w:val="24"/>
                <w:szCs w:val="24"/>
              </w:rPr>
              <w:t>MD</w:t>
            </w:r>
            <w:r w:rsidR="004D53FC">
              <w:rPr>
                <w:rFonts w:ascii="Arial" w:hAnsi="Arial" w:cs="Arial"/>
                <w:sz w:val="24"/>
                <w:szCs w:val="24"/>
              </w:rPr>
              <w:t>“</w:t>
            </w:r>
            <w:r w:rsidRPr="003758A6">
              <w:rPr>
                <w:rFonts w:ascii="Arial" w:hAnsi="Arial" w:cs="Arial"/>
                <w:sz w:val="24"/>
                <w:szCs w:val="24"/>
              </w:rPr>
              <w:t>),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58A6">
              <w:rPr>
                <w:rFonts w:ascii="Arial" w:hAnsi="Arial" w:cs="Arial"/>
                <w:sz w:val="24"/>
                <w:szCs w:val="24"/>
              </w:rPr>
              <w:t>která představuje smíšenou sazbu přes požadované role realizačního týmu:</w:t>
            </w:r>
          </w:p>
          <w:p w:rsidRPr="00DA5FF2" w:rsidR="00DA5FF2" w:rsidP="00DA5FF2" w:rsidRDefault="00DA5FF2" w14:paraId="6865B2D0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Projektový manažer</w:t>
            </w:r>
          </w:p>
          <w:p w:rsidRPr="00DA5FF2" w:rsidR="00DA5FF2" w:rsidP="00DA5FF2" w:rsidRDefault="00DA5FF2" w14:paraId="3AB94EED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Manažer servisní podpory</w:t>
            </w:r>
          </w:p>
          <w:p w:rsidRPr="00DA5FF2" w:rsidR="00DA5FF2" w:rsidP="00DA5FF2" w:rsidRDefault="00DA5FF2" w14:paraId="652E77B4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Bezpečnostní specialista</w:t>
            </w:r>
          </w:p>
          <w:p w:rsidRPr="00DA5FF2" w:rsidR="00DA5FF2" w:rsidP="00DA5FF2" w:rsidRDefault="00DA5FF2" w14:paraId="7B999EF2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Testovací manažer</w:t>
            </w:r>
          </w:p>
          <w:p w:rsidRPr="00DA5FF2" w:rsidR="00DA5FF2" w:rsidP="00DA5FF2" w:rsidRDefault="00DA5FF2" w14:paraId="4929FBDB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proofErr w:type="spellStart"/>
            <w:r w:rsidRPr="00DA5FF2">
              <w:rPr>
                <w:rFonts w:ascii="Arial" w:hAnsi="Arial" w:cs="Arial"/>
              </w:rPr>
              <w:t>Solution</w:t>
            </w:r>
            <w:proofErr w:type="spellEnd"/>
            <w:r w:rsidRPr="00DA5FF2">
              <w:rPr>
                <w:rFonts w:ascii="Arial" w:hAnsi="Arial" w:cs="Arial"/>
              </w:rPr>
              <w:t xml:space="preserve"> architekt</w:t>
            </w:r>
          </w:p>
          <w:p w:rsidRPr="00DA5FF2" w:rsidR="00DA5FF2" w:rsidP="00DA5FF2" w:rsidRDefault="00DA5FF2" w14:paraId="56B30CE2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Analytik/vývojář JAVA</w:t>
            </w:r>
          </w:p>
          <w:p w:rsidRPr="00DA5FF2" w:rsidR="00DA5FF2" w:rsidP="00DA5FF2" w:rsidRDefault="00DA5FF2" w14:paraId="16E2E662">
            <w:pPr>
              <w:pStyle w:val="Normlnweb"/>
              <w:numPr>
                <w:ilvl w:val="0"/>
                <w:numId w:val="6"/>
              </w:numPr>
              <w:spacing w:before="60" w:beforeAutospacing="0" w:after="60" w:afterAutospacing="0" w:line="280" w:lineRule="atLeast"/>
              <w:ind w:left="584" w:hanging="227"/>
              <w:jc w:val="both"/>
              <w:rPr>
                <w:rFonts w:ascii="Arial" w:hAnsi="Arial" w:cs="Arial"/>
              </w:rPr>
            </w:pPr>
            <w:r w:rsidRPr="00DA5FF2">
              <w:rPr>
                <w:rFonts w:ascii="Arial" w:hAnsi="Arial" w:cs="Arial"/>
              </w:rPr>
              <w:t>DB analytik/vývojář SQL Server</w:t>
            </w:r>
          </w:p>
          <w:p w:rsidRPr="003758A6" w:rsidR="003758A6" w:rsidP="003758A6" w:rsidRDefault="003758A6" w14:paraId="4F495EA5">
            <w:pPr>
              <w:spacing w:before="60" w:after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58A6">
              <w:rPr>
                <w:rFonts w:ascii="Arial" w:hAnsi="Arial" w:cs="Arial"/>
                <w:sz w:val="24"/>
                <w:szCs w:val="24"/>
              </w:rPr>
              <w:t xml:space="preserve">Předpokládaná pracnost je stanovena na  </w:t>
            </w:r>
            <w:r w:rsidR="00DA5FF2">
              <w:rPr>
                <w:rFonts w:ascii="Arial" w:hAnsi="Arial" w:cs="Arial"/>
                <w:sz w:val="24"/>
                <w:szCs w:val="24"/>
              </w:rPr>
              <w:t>3 750</w:t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 MD za </w:t>
            </w:r>
            <w:r w:rsidR="00DA5FF2">
              <w:rPr>
                <w:rFonts w:ascii="Arial" w:hAnsi="Arial" w:cs="Arial"/>
                <w:sz w:val="24"/>
                <w:szCs w:val="24"/>
              </w:rPr>
              <w:t>4 roky</w:t>
            </w:r>
            <w:r w:rsidRPr="003758A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Pr="00A733E5" w:rsidR="00A733E5" w:rsidP="002068B7" w:rsidRDefault="00A733E5" w14:paraId="11D67A7B">
            <w:pPr>
              <w:spacing w:before="60" w:after="60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Jednotlivé ceny se dle benchmarku pohybují v rozpětí od 3 200 Kč do 27 800 Kč bez DPH za MD, zvolená smíšená sazba zohledňuje obecně vyšší ceny IT odborníků.</w:t>
            </w:r>
          </w:p>
          <w:p w:rsidRPr="00A733E5" w:rsidR="002A7EAE" w:rsidP="002068B7" w:rsidRDefault="00A733E5" w14:paraId="66DEC825">
            <w:pPr>
              <w:spacing w:before="60" w:after="60"/>
              <w:jc w:val="both"/>
              <w:rPr>
                <w:rFonts w:ascii="Arial" w:hAnsi="Arial" w:cs="Arial"/>
                <w:color w:val="000000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Cenová kalkulace vychází z předpokladu, že bude zakázka realizována v průběhu 4 let, kdy pro každý rok je odhadována pracnost Podpory provozu 504 MD a pracnost Rozvoje 420 MD. Pro iniciační (převzetí) a ukončovací práce (předání – služby ukončení plnění) je odhadovaná náročnost v rozsahu 150 MD celkem.</w:t>
            </w:r>
          </w:p>
        </w:tc>
      </w:tr>
      <w:tr w:rsidRPr="001F0658" w:rsidR="002A7EAE" w:rsidTr="63F0862D" w14:paraId="787907EC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F0658" w:rsidR="002A7EAE" w:rsidP="002A7EAE" w:rsidRDefault="002A7EAE" w14:paraId="75E5B8AD">
            <w:pPr>
              <w:spacing w:before="60" w:after="6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7. </w:t>
            </w:r>
            <w:r w:rsidRPr="001F0658">
              <w:rPr>
                <w:rFonts w:ascii="Arial" w:hAnsi="Arial" w:cs="Arial"/>
                <w:b/>
                <w:sz w:val="24"/>
                <w:szCs w:val="24"/>
              </w:rPr>
              <w:t>Navrhovaný způsob zadání</w:t>
            </w:r>
            <w:r w:rsidRPr="001F065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:rsidRPr="001F0658" w:rsidR="002A7EAE" w:rsidP="002A7EAE" w:rsidRDefault="002A7EAE" w14:paraId="05AB7DA1">
            <w:pPr>
              <w:spacing w:before="60"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F0658">
              <w:rPr>
                <w:rFonts w:ascii="Arial" w:hAnsi="Arial" w:cs="Arial"/>
                <w:i/>
                <w:sz w:val="22"/>
                <w:szCs w:val="22"/>
              </w:rPr>
              <w:t>Odkaz na ustanovení ZZVZ, dle kterého má zadavatel v úmyslu postupovat.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2A7EAE" w:rsidP="002A7EAE" w:rsidRDefault="002A7EAE" w14:paraId="0201BC75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A5DAD">
              <w:rPr>
                <w:rFonts w:ascii="Arial" w:hAnsi="Arial" w:cs="Arial"/>
                <w:bCs/>
                <w:iCs/>
                <w:sz w:val="24"/>
                <w:szCs w:val="24"/>
              </w:rPr>
              <w:t>Otevřené řízení v nadlimitním režimu dle § 56 a § 57 ZZVZ</w:t>
            </w:r>
          </w:p>
        </w:tc>
      </w:tr>
      <w:tr w:rsidRPr="001F0658" w:rsidR="002A7EAE" w:rsidTr="63F0862D" w14:paraId="48DAC6C0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1F0658" w:rsidR="002A7EAE" w:rsidP="002A7EAE" w:rsidRDefault="002A7EAE" w14:paraId="75B8E346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8. </w:t>
            </w:r>
            <w:r w:rsidRPr="001F0658">
              <w:rPr>
                <w:rFonts w:ascii="Arial" w:hAnsi="Arial" w:cs="Arial"/>
                <w:b/>
                <w:sz w:val="24"/>
                <w:szCs w:val="24"/>
              </w:rPr>
              <w:t xml:space="preserve">Předmět </w:t>
            </w:r>
            <w:r>
              <w:rPr>
                <w:rFonts w:ascii="Arial" w:hAnsi="Arial" w:cs="Arial"/>
                <w:b/>
                <w:sz w:val="24"/>
                <w:szCs w:val="24"/>
              </w:rPr>
              <w:t>záměru</w:t>
            </w:r>
          </w:p>
          <w:p w:rsidRPr="001F0658" w:rsidR="002A7EAE" w:rsidP="002A7EAE" w:rsidRDefault="002A7EAE" w14:paraId="25110DF3">
            <w:pPr>
              <w:spacing w:before="60" w:after="60"/>
              <w:jc w:val="both"/>
              <w:rPr>
                <w:rFonts w:ascii="Arial" w:hAnsi="Arial" w:eastAsia="Calibri" w:cs="Arial"/>
                <w:i/>
                <w:sz w:val="22"/>
                <w:szCs w:val="22"/>
              </w:rPr>
            </w:pPr>
            <w:r w:rsidRPr="001F0658">
              <w:rPr>
                <w:rFonts w:ascii="Arial" w:hAnsi="Arial" w:eastAsia="Calibri" w:cs="Arial"/>
                <w:i/>
                <w:sz w:val="22"/>
                <w:szCs w:val="22"/>
              </w:rPr>
              <w:t xml:space="preserve">Předkladatel musí </w:t>
            </w:r>
            <w:r>
              <w:rPr>
                <w:rFonts w:ascii="Arial" w:hAnsi="Arial" w:eastAsia="Calibri" w:cs="Arial"/>
                <w:i/>
                <w:sz w:val="22"/>
                <w:szCs w:val="22"/>
              </w:rPr>
              <w:t xml:space="preserve">specifikovat předmět záměru a </w:t>
            </w:r>
            <w:r w:rsidRPr="001F0658">
              <w:rPr>
                <w:rFonts w:ascii="Arial" w:hAnsi="Arial" w:eastAsia="Calibri" w:cs="Arial"/>
                <w:i/>
                <w:sz w:val="22"/>
                <w:szCs w:val="22"/>
              </w:rPr>
              <w:t xml:space="preserve">vymezit </w:t>
            </w:r>
            <w:r>
              <w:rPr>
                <w:rFonts w:ascii="Arial" w:hAnsi="Arial" w:eastAsia="Calibri" w:cs="Arial"/>
                <w:i/>
                <w:sz w:val="22"/>
                <w:szCs w:val="22"/>
              </w:rPr>
              <w:t xml:space="preserve">jej </w:t>
            </w:r>
            <w:r w:rsidRPr="001F0658">
              <w:rPr>
                <w:rFonts w:ascii="Arial" w:hAnsi="Arial" w:eastAsia="Calibri" w:cs="Arial"/>
                <w:i/>
                <w:sz w:val="22"/>
                <w:szCs w:val="22"/>
              </w:rPr>
              <w:t>dostatečně určitě</w:t>
            </w:r>
            <w:r>
              <w:rPr>
                <w:rFonts w:ascii="Arial" w:hAnsi="Arial" w:eastAsia="Calibri" w:cs="Arial"/>
                <w:i/>
                <w:sz w:val="22"/>
                <w:szCs w:val="22"/>
              </w:rPr>
              <w:t>.</w:t>
            </w:r>
            <w:r w:rsidRPr="001F0658">
              <w:rPr>
                <w:rFonts w:ascii="Arial" w:hAnsi="Arial" w:eastAsia="Calibri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eastAsia="Calibri" w:cs="Arial"/>
                <w:i/>
                <w:sz w:val="22"/>
                <w:szCs w:val="22"/>
              </w:rPr>
              <w:t>M</w:t>
            </w:r>
            <w:r w:rsidRPr="001F0658">
              <w:rPr>
                <w:rFonts w:ascii="Arial" w:hAnsi="Arial" w:eastAsia="Calibri" w:cs="Arial"/>
                <w:i/>
                <w:sz w:val="22"/>
                <w:szCs w:val="22"/>
              </w:rPr>
              <w:t xml:space="preserve">usí uvést všechny relevantní informace, na základě kterých si členové vlády vytvoří komplexní představu, čeho se má </w:t>
            </w:r>
            <w:r>
              <w:rPr>
                <w:rFonts w:ascii="Arial" w:hAnsi="Arial" w:eastAsia="Calibri" w:cs="Arial"/>
                <w:i/>
                <w:sz w:val="22"/>
                <w:szCs w:val="22"/>
              </w:rPr>
              <w:t>záměr týkat a zda jsou finanční prostředky spojené s realizací anoncovaného záměru vynaloženy racionálně a efektivně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733E5" w:rsidR="00A733E5" w:rsidP="00A733E5" w:rsidRDefault="00A733E5" w14:paraId="0A43AABE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Předmětem záměru, resp. veřejné zakázky je zajištění podpory provozu a rozvoje systému EESSI a zahrnuje zejména provedení následujících činností:</w:t>
            </w:r>
          </w:p>
          <w:p w:rsidRPr="00A733E5" w:rsidR="00A733E5" w:rsidP="00A733E5" w:rsidRDefault="00A733E5" w14:paraId="760E0A3A">
            <w:pPr>
              <w:pStyle w:val="Odstavecseseznamem"/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366" w:hanging="207"/>
              <w:contextualSpacing w:val="0"/>
              <w:jc w:val="both"/>
              <w:textAlignment w:val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služby převzetí stávajícího systému EESSI,</w:t>
            </w:r>
          </w:p>
          <w:p w:rsidRPr="00A733E5" w:rsidR="00A733E5" w:rsidP="00A733E5" w:rsidRDefault="00A733E5" w14:paraId="1EB7A7E3">
            <w:pPr>
              <w:pStyle w:val="Odstavecseseznamem"/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366" w:hanging="207"/>
              <w:contextualSpacing w:val="0"/>
              <w:jc w:val="both"/>
              <w:textAlignment w:val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služby podpory provozu systému EESSI,</w:t>
            </w:r>
          </w:p>
          <w:p w:rsidRPr="00A733E5" w:rsidR="00A733E5" w:rsidP="00A733E5" w:rsidRDefault="00A733E5" w14:paraId="18A387AD">
            <w:pPr>
              <w:pStyle w:val="Odstavecseseznamem"/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366" w:hanging="207"/>
              <w:contextualSpacing w:val="0"/>
              <w:jc w:val="both"/>
              <w:textAlignment w:val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služby rozvoje systému EESSI, </w:t>
            </w:r>
          </w:p>
          <w:p w:rsidRPr="003758A6" w:rsidR="003758A6" w:rsidP="00A733E5" w:rsidRDefault="00A733E5" w14:paraId="3D4A4657">
            <w:pPr>
              <w:pStyle w:val="Odstavecseseznamem"/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366" w:hanging="207"/>
              <w:contextualSpacing w:val="0"/>
              <w:jc w:val="both"/>
              <w:textAlignment w:val="auto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A733E5">
              <w:rPr>
                <w:rFonts w:ascii="Arial" w:hAnsi="Arial" w:cs="Arial"/>
                <w:bCs/>
                <w:iCs/>
                <w:sz w:val="24"/>
                <w:szCs w:val="24"/>
              </w:rPr>
              <w:t>služby ukončení plnění.</w:t>
            </w:r>
          </w:p>
          <w:p w:rsidRPr="00FD411E" w:rsidR="002A7EAE" w:rsidP="00CE115C" w:rsidRDefault="00BF32E2" w14:paraId="2DF7EA76">
            <w:pPr>
              <w:spacing w:before="60"/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F32E2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Projekt EESSI má za cíl propojit přes 10</w:t>
            </w: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BF32E2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000 institucí sociálního zabezpečení napříč Evropou a zabezpečit bezpečnou a spolehlivou výměnu dat mezi těmito institucemi. Výměna dat bude probíhat prostřednictvím předdefinovaných strukturovaných elektronických dokumentů (SED) a v souladu s pravidly dohodnutými mezi členskými státy. Tento systém </w:t>
            </w:r>
            <w:r w:rsidRPr="00BF32E2">
              <w:rPr>
                <w:rFonts w:ascii="Arial" w:hAnsi="Arial" w:cs="Arial"/>
                <w:noProof/>
                <w:sz w:val="24"/>
                <w:szCs w:val="24"/>
              </w:rPr>
              <w:t>zprostředkovává dotazy a odpovědi referentů ÚP, kteří zpracovávají řešenou problematiku a tímto usnadňuje</w:t>
            </w:r>
            <w:r w:rsidRPr="00BF32E2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 xml:space="preserve"> koordinaci sociálního zabezpečení a plnění povinností podle Nařízení EK 883/2004 a 987/2009</w:t>
            </w:r>
            <w:r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  <w:tr w:rsidRPr="001F0658" w:rsidR="002A7EAE" w:rsidTr="63F0862D" w14:paraId="73D5A805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2A7EAE" w:rsidP="002A7EAE" w:rsidRDefault="002A7EAE" w14:paraId="3594E7CA">
            <w:pPr>
              <w:spacing w:before="60" w:after="6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 Datum vydání a č.j. stanoviska OHA</w:t>
            </w:r>
          </w:p>
          <w:p w:rsidR="002A7EAE" w:rsidP="002A7EAE" w:rsidRDefault="002A7EAE" w14:paraId="1B6A75C2">
            <w:pPr>
              <w:spacing w:before="60" w:after="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Předkladatel uvede informaci o tom, kdy bylo vydáno stanovisko odboru Hlavního architekta eGovernmentu a jeho číslo jednací. Nebo uvede informaci, že stanovisko </w:t>
            </w:r>
            <w:r w:rsidRPr="0017442D">
              <w:rPr>
                <w:rFonts w:ascii="Arial" w:hAnsi="Arial" w:cs="Arial"/>
                <w:i/>
                <w:sz w:val="22"/>
                <w:szCs w:val="22"/>
              </w:rPr>
              <w:t>není u předkládaného záměru povinnost předložit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a jaké pro toto tvrzení má důvody</w:t>
            </w:r>
            <w:r w:rsidRPr="001F0658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A91B6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V případě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existence </w:t>
            </w:r>
            <w:r w:rsidRPr="00A91B6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stanoviska OHA 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>musí být</w:t>
            </w:r>
            <w:r w:rsidRPr="00A91B6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toto</w:t>
            </w: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 přílohou I</w:t>
            </w:r>
            <w:r w:rsidRPr="00A91B61">
              <w:rPr>
                <w:rFonts w:ascii="Arial" w:hAnsi="Arial" w:cs="Arial"/>
                <w:b/>
                <w:i/>
                <w:sz w:val="22"/>
                <w:szCs w:val="22"/>
              </w:rPr>
              <w:t>nformace.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5DAD" w:rsidR="002A7EAE" w:rsidP="00BF32E2" w:rsidRDefault="00BF32E2" w14:paraId="7CC826AB" w14:noSpellErr="1" w14:textId="63F0862D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63F0862D">
              <w:rPr>
                <w:rFonts w:ascii="Arial" w:hAnsi="Arial" w:eastAsia="Arial" w:cs="Arial"/>
                <w:sz w:val="24"/>
                <w:szCs w:val="24"/>
              </w:rPr>
              <w:t xml:space="preserve">1</w:t>
            </w:r>
            <w:r w:rsidRPr="63F0862D" w:rsidR="63F0862D">
              <w:rPr>
                <w:rFonts w:ascii="Arial" w:hAnsi="Arial" w:eastAsia="Arial" w:cs="Arial"/>
                <w:sz w:val="24"/>
                <w:szCs w:val="24"/>
              </w:rPr>
              <w:t xml:space="preserve">1</w:t>
            </w:r>
            <w:r w:rsidRPr="63F0862D"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9.</w:t>
            </w:r>
            <w:r w:rsidRPr="63F0862D">
              <w:rPr>
                <w:rFonts w:ascii="Arial" w:hAnsi="Arial" w:eastAsia="Arial" w:cs="Arial"/>
                <w:sz w:val="24"/>
                <w:szCs w:val="24"/>
              </w:rPr>
              <w:t xml:space="preserve"> 2020 </w:t>
            </w:r>
            <w:r w:rsidRPr="63F0862D">
              <w:rPr>
                <w:rFonts w:ascii="Arial" w:hAnsi="Arial" w:eastAsia="Arial" w:cs="Arial"/>
                <w:sz w:val="24"/>
                <w:szCs w:val="24"/>
              </w:rPr>
              <w:t xml:space="preserve">(</w:t>
            </w:r>
            <w:r w:rsidRPr="63F0862D">
              <w:rPr>
                <w:rFonts w:ascii="Arial" w:hAnsi="Arial" w:eastAsia="Arial" w:cs="Arial"/>
                <w:sz w:val="24"/>
                <w:szCs w:val="24"/>
              </w:rPr>
              <w:t xml:space="preserve">č.j.: </w:t>
            </w:r>
            <w:r w:rsidRPr="63F0862D" w:rsidR="63F0862D">
              <w:rPr>
                <w:rFonts w:ascii="Arial" w:hAnsi="Arial" w:eastAsia="Arial" w:cs="Arial"/>
                <w:sz w:val="24"/>
                <w:szCs w:val="24"/>
              </w:rPr>
              <w:t>MV-56624-9/OHA-2020</w:t>
            </w:r>
            <w:bookmarkStart w:name="_GoBack" w:id="2"/>
            <w:bookmarkEnd w:id="2"/>
            <w:r w:rsidRPr="63F0862D">
              <w:rPr>
                <w:rFonts w:ascii="Arial" w:hAnsi="Arial" w:eastAsia="Arial" w:cs="Arial"/>
                <w:sz w:val="24"/>
                <w:szCs w:val="24"/>
              </w:rPr>
              <w:t>)</w:t>
            </w:r>
          </w:p>
        </w:tc>
      </w:tr>
      <w:tr w:rsidRPr="001F0658" w:rsidR="002A7EAE" w:rsidTr="63F0862D" w14:paraId="74BDBE2B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2A7EAE" w:rsidP="002A7EAE" w:rsidRDefault="002A7EAE" w14:paraId="6DAB18B0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10. Název záměru / akce v katalogu Digitální Česko</w:t>
            </w:r>
          </w:p>
          <w:p w:rsidRPr="001F0658" w:rsidR="002A7EAE" w:rsidP="002A7EAE" w:rsidRDefault="002A7EAE" w14:paraId="12BC66E3">
            <w:pPr>
              <w:spacing w:before="60" w:after="60"/>
              <w:jc w:val="both"/>
              <w:rPr>
                <w:rFonts w:ascii="Arial" w:hAnsi="Arial" w:eastAsia="Calibri" w:cs="Arial"/>
                <w:i/>
                <w:sz w:val="22"/>
                <w:szCs w:val="22"/>
              </w:rPr>
            </w:pPr>
            <w:r w:rsidRPr="001F0658">
              <w:rPr>
                <w:rFonts w:ascii="Arial" w:hAnsi="Arial" w:cs="Arial"/>
                <w:i/>
                <w:sz w:val="22"/>
                <w:szCs w:val="22"/>
              </w:rPr>
              <w:t xml:space="preserve">Předkladatel uvede </w:t>
            </w:r>
            <w:r>
              <w:rPr>
                <w:rFonts w:ascii="Arial" w:hAnsi="Arial" w:cs="Arial"/>
                <w:i/>
                <w:sz w:val="22"/>
                <w:szCs w:val="22"/>
              </w:rPr>
              <w:t>vazbu na záměr nebo akci uvedenou v katalogu Digitální Česko nebo poznámku že je vazba nerelevantní.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F0658" w:rsidR="002A7EAE" w:rsidP="002A7EAE" w:rsidRDefault="002A7EAE" w14:paraId="06673DBB">
            <w:pPr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NR</w:t>
            </w:r>
          </w:p>
        </w:tc>
      </w:tr>
      <w:tr w:rsidRPr="001F0658" w:rsidR="002A7EAE" w:rsidTr="63F0862D" w14:paraId="55D98FD6"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2A7EAE" w:rsidP="002A7EAE" w:rsidRDefault="002A7EAE" w14:paraId="6E92AE33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11. </w:t>
            </w:r>
            <w:r w:rsidRPr="001F0658">
              <w:rPr>
                <w:rFonts w:ascii="Arial" w:hAnsi="Arial" w:cs="Arial"/>
                <w:b/>
                <w:sz w:val="24"/>
                <w:szCs w:val="24"/>
              </w:rPr>
              <w:t>Další informace</w:t>
            </w:r>
          </w:p>
          <w:p w:rsidRPr="001F0658" w:rsidR="002A7EAE" w:rsidP="002A7EAE" w:rsidRDefault="002A7EAE" w14:paraId="2046D4EB">
            <w:pPr>
              <w:spacing w:before="60" w:after="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F0658">
              <w:rPr>
                <w:rFonts w:ascii="Arial" w:hAnsi="Arial" w:cs="Arial"/>
                <w:i/>
                <w:sz w:val="22"/>
                <w:szCs w:val="22"/>
              </w:rPr>
              <w:t>Předkladatel uvede případné další relevantní informace.</w:t>
            </w:r>
          </w:p>
        </w:tc>
        <w:tc>
          <w:tcPr>
            <w:tcW w:w="4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F0658" w:rsidR="004D53FC" w:rsidP="004D53FC" w:rsidRDefault="00BF32E2" w14:paraId="47F032A7">
            <w:pPr>
              <w:jc w:val="both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BF32E2">
              <w:rPr>
                <w:rFonts w:ascii="Arial" w:hAnsi="Arial" w:cs="Arial"/>
                <w:sz w:val="24"/>
                <w:szCs w:val="24"/>
              </w:rPr>
              <w:t>Zadáním veřejné zakázky budou naplněny potřeby resortu, konkrétně zajištění elektronické komunikace mezi institucemi sociálních zabezpečení v rámci EU. Cílem veřejné zakázky je zajištění řádného chodu systému EESSI po ukončení stávající smlouvy.</w:t>
            </w:r>
          </w:p>
        </w:tc>
      </w:tr>
    </w:tbl>
    <w:p w:rsidR="00714E5D" w:rsidP="00714E5D" w:rsidRDefault="00714E5D" w14:paraId="4CB802FA">
      <w:pPr>
        <w:rPr>
          <w:bCs/>
          <w:iCs/>
          <w:sz w:val="26"/>
          <w:szCs w:val="26"/>
        </w:rPr>
      </w:pPr>
    </w:p>
    <w:sectPr w:rsidR="00714E5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3E9" w:rsidP="00767DB6" w:rsidRDefault="00FD73E9" w14:paraId="1CD28E36">
      <w:r>
        <w:separator/>
      </w:r>
    </w:p>
  </w:endnote>
  <w:endnote w:type="continuationSeparator" w:id="0">
    <w:p w:rsidR="00FD73E9" w:rsidP="00767DB6" w:rsidRDefault="00FD73E9" w14:paraId="4683B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3E9" w:rsidP="00767DB6" w:rsidRDefault="00FD73E9" w14:paraId="6EC84B38">
      <w:r>
        <w:separator/>
      </w:r>
    </w:p>
  </w:footnote>
  <w:footnote w:type="continuationSeparator" w:id="0">
    <w:p w:rsidR="00FD73E9" w:rsidP="00767DB6" w:rsidRDefault="00FD73E9" w14:paraId="76BDE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07180"/>
    <w:multiLevelType w:val="hybridMultilevel"/>
    <w:tmpl w:val="08A85F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B2426"/>
    <w:multiLevelType w:val="hybridMultilevel"/>
    <w:tmpl w:val="0D76EDDA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24B7D93"/>
    <w:multiLevelType w:val="hybridMultilevel"/>
    <w:tmpl w:val="7ADA9790"/>
    <w:lvl w:ilvl="0" w:tplc="6CBAA070">
      <w:start w:val="6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F425694"/>
    <w:multiLevelType w:val="hybridMultilevel"/>
    <w:tmpl w:val="6828316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7DC5C8A"/>
    <w:multiLevelType w:val="hybridMultilevel"/>
    <w:tmpl w:val="DA882B9C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8745AC4">
      <w:numFmt w:val="bullet"/>
      <w:lvlText w:val="•"/>
      <w:lvlJc w:val="left"/>
      <w:pPr>
        <w:ind w:left="1785" w:hanging="705"/>
      </w:pPr>
      <w:rPr>
        <w:rFonts w:hint="default" w:ascii="Arial" w:hAnsi="Arial" w:eastAsia="Times New Roman" w:cs="Arial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86D3E13"/>
    <w:multiLevelType w:val="hybridMultilevel"/>
    <w:tmpl w:val="64CEC00A"/>
    <w:lvl w:ilvl="0" w:tplc="1C4C1558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AE0293F"/>
    <w:multiLevelType w:val="hybridMultilevel"/>
    <w:tmpl w:val="0F6286FE"/>
    <w:lvl w:ilvl="0" w:tplc="588A410A">
      <w:start w:val="1"/>
      <w:numFmt w:val="bullet"/>
      <w:lvlText w:val="-"/>
      <w:lvlJc w:val="left"/>
      <w:pPr>
        <w:ind w:left="720" w:hanging="360"/>
      </w:pPr>
      <w:rPr>
        <w:rFonts w:hint="default" w:ascii="Arial" w:hAnsi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5D"/>
    <w:rsid w:val="00013F51"/>
    <w:rsid w:val="00030502"/>
    <w:rsid w:val="00063DB5"/>
    <w:rsid w:val="0008180C"/>
    <w:rsid w:val="000C1160"/>
    <w:rsid w:val="00110CEE"/>
    <w:rsid w:val="00111D8C"/>
    <w:rsid w:val="0017442D"/>
    <w:rsid w:val="001B53AE"/>
    <w:rsid w:val="001B6046"/>
    <w:rsid w:val="001F0658"/>
    <w:rsid w:val="002068B7"/>
    <w:rsid w:val="00241999"/>
    <w:rsid w:val="00280C10"/>
    <w:rsid w:val="00290E11"/>
    <w:rsid w:val="002A60CE"/>
    <w:rsid w:val="002A7EAE"/>
    <w:rsid w:val="003758A6"/>
    <w:rsid w:val="00387105"/>
    <w:rsid w:val="003908CF"/>
    <w:rsid w:val="003A7CDC"/>
    <w:rsid w:val="003D089D"/>
    <w:rsid w:val="003D20A5"/>
    <w:rsid w:val="00425D86"/>
    <w:rsid w:val="00454394"/>
    <w:rsid w:val="004619DB"/>
    <w:rsid w:val="004B7C05"/>
    <w:rsid w:val="004D53FC"/>
    <w:rsid w:val="004E7658"/>
    <w:rsid w:val="005145A2"/>
    <w:rsid w:val="00517828"/>
    <w:rsid w:val="00525B59"/>
    <w:rsid w:val="00535F19"/>
    <w:rsid w:val="00560A97"/>
    <w:rsid w:val="00593D76"/>
    <w:rsid w:val="0061370E"/>
    <w:rsid w:val="00627E7B"/>
    <w:rsid w:val="00630CB8"/>
    <w:rsid w:val="00645A07"/>
    <w:rsid w:val="00697316"/>
    <w:rsid w:val="006A5DAD"/>
    <w:rsid w:val="006B1164"/>
    <w:rsid w:val="006C3DF9"/>
    <w:rsid w:val="00701649"/>
    <w:rsid w:val="00714E5D"/>
    <w:rsid w:val="00767DB6"/>
    <w:rsid w:val="007D18BB"/>
    <w:rsid w:val="007F0505"/>
    <w:rsid w:val="008518FB"/>
    <w:rsid w:val="00856AFF"/>
    <w:rsid w:val="008F3B90"/>
    <w:rsid w:val="009647DE"/>
    <w:rsid w:val="009A3DF8"/>
    <w:rsid w:val="009A78DF"/>
    <w:rsid w:val="009C20F2"/>
    <w:rsid w:val="009D66BC"/>
    <w:rsid w:val="00A7065A"/>
    <w:rsid w:val="00A733E5"/>
    <w:rsid w:val="00A7345D"/>
    <w:rsid w:val="00A91B61"/>
    <w:rsid w:val="00AA1103"/>
    <w:rsid w:val="00B16630"/>
    <w:rsid w:val="00B2236F"/>
    <w:rsid w:val="00B23A0B"/>
    <w:rsid w:val="00B827BC"/>
    <w:rsid w:val="00B87E1E"/>
    <w:rsid w:val="00BF32E2"/>
    <w:rsid w:val="00BF6665"/>
    <w:rsid w:val="00C34A4C"/>
    <w:rsid w:val="00CE115C"/>
    <w:rsid w:val="00CE7753"/>
    <w:rsid w:val="00D55F05"/>
    <w:rsid w:val="00DA5FF2"/>
    <w:rsid w:val="00DA6570"/>
    <w:rsid w:val="00E06058"/>
    <w:rsid w:val="00E16B07"/>
    <w:rsid w:val="00E320C7"/>
    <w:rsid w:val="00E53F07"/>
    <w:rsid w:val="00E70190"/>
    <w:rsid w:val="00EA49D9"/>
    <w:rsid w:val="00EC0C38"/>
    <w:rsid w:val="00EC4B2B"/>
    <w:rsid w:val="00F30747"/>
    <w:rsid w:val="00F64935"/>
    <w:rsid w:val="00FD411E"/>
    <w:rsid w:val="00FD73E9"/>
    <w:rsid w:val="00FE0780"/>
    <w:rsid w:val="63F08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7509192-8EA9-4A61-8016-8250DC544EDF}"/>
  <w14:docId w14:val="62F3A7BF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Calibri" w:hAnsi="Calibri" w:eastAsia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  <w:rsid w:val="00714E5D"/>
    <w:pPr>
      <w:overflowPunct w:val="0"/>
      <w:autoSpaceDE w:val="0"/>
      <w:autoSpaceDN w:val="0"/>
      <w:adjustRightInd w:val="0"/>
    </w:pPr>
    <w:rPr>
      <w:rFonts w:ascii="Times New Roman" w:hAnsi="Times New Roman" w:eastAsia="Times New Roman"/>
      <w:lang w:eastAsia="cs-CZ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665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link w:val="Textbubliny"/>
    <w:uiPriority w:val="99"/>
    <w:semiHidden/>
    <w:rsid w:val="00BF6665"/>
    <w:rPr>
      <w:rFonts w:ascii="Segoe UI" w:hAnsi="Segoe UI" w:eastAsia="Times New Roman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593D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3D76"/>
  </w:style>
  <w:style w:type="character" w:styleId="TextkomenteChar" w:customStyle="1">
    <w:name w:val="Text komentáře Char"/>
    <w:link w:val="Textkomente"/>
    <w:uiPriority w:val="99"/>
    <w:semiHidden/>
    <w:rsid w:val="00593D76"/>
    <w:rPr>
      <w:rFonts w:ascii="Times New Roman" w:hAnsi="Times New Roman" w:eastAsia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D76"/>
    <w:rPr>
      <w:b/>
      <w:bCs/>
    </w:rPr>
  </w:style>
  <w:style w:type="character" w:styleId="PedmtkomenteChar" w:customStyle="1">
    <w:name w:val="Předmět komentáře Char"/>
    <w:link w:val="Pedmtkomente"/>
    <w:uiPriority w:val="99"/>
    <w:semiHidden/>
    <w:rsid w:val="00593D76"/>
    <w:rPr>
      <w:rFonts w:ascii="Times New Roman" w:hAnsi="Times New Roman" w:eastAsia="Times New Roman"/>
      <w:b/>
      <w:bCs/>
    </w:rPr>
  </w:style>
  <w:style w:type="paragraph" w:styleId="Normlnweb">
    <w:name w:val="Normal (Web)"/>
    <w:basedOn w:val="Normln"/>
    <w:uiPriority w:val="99"/>
    <w:unhideWhenUsed/>
    <w:rsid w:val="00DA5FF2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33E5"/>
    <w:pPr>
      <w:widowControl w:val="0"/>
      <w:ind w:left="720"/>
      <w:contextualSpacing/>
      <w:textAlignment w:val="baseline"/>
    </w:pPr>
  </w:style>
  <w:style w:type="character" w:styleId="OdstavecseseznamemChar" w:customStyle="1">
    <w:name w:val="Odstavec se seznamem Char"/>
    <w:link w:val="Odstavecseseznamem"/>
    <w:uiPriority w:val="34"/>
    <w:rsid w:val="00A733E5"/>
    <w:rPr>
      <w:rFonts w:ascii="Times New Roman" w:hAnsi="Times New Roman" w:eastAsia="Times New Roman"/>
    </w:rPr>
  </w:style>
  <w:style w:type="character" w:styleId="normaltextrun" w:customStyle="1">
    <w:name w:val="normaltextrun"/>
    <w:rsid w:val="00BF3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6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784DA492B8445A7EA484587E63966" ma:contentTypeVersion="9" ma:contentTypeDescription="Vytvoří nový dokument" ma:contentTypeScope="" ma:versionID="57ce69addd0f243a43dac055d1abb96c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http://schemas.microsoft.com/sharepoint/v4" targetNamespace="http://schemas.microsoft.com/office/2006/metadata/properties" ma:root="true" ma:fieldsID="c1348ac7eb59a1a0b8f13083c4feb7c4" ns1:_="" ns2:_="" ns3:_="">
    <xsd:import namespace="http://schemas.microsoft.com/sharepoint/v3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Version" minOccurs="0"/>
                <xsd:element ref="ns3:IconOverlay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10" nillable="true" ma:displayName="Odesilatel e-mailové zprávy" ma:hidden="true" ma:internalName="EmailSender">
      <xsd:simpleType>
        <xsd:restriction base="dms:Note">
          <xsd:maxLength value="255"/>
        </xsd:restriction>
      </xsd:simpleType>
    </xsd:element>
    <xsd:element name="EmailTo" ma:index="11" nillable="true" ma:displayName="E-Mail – komu" ma:hidden="true" ma:internalName="EmailTo">
      <xsd:simpleType>
        <xsd:restriction base="dms:Note">
          <xsd:maxLength value="255"/>
        </xsd:restriction>
      </xsd:simpleType>
    </xsd:element>
    <xsd:element name="EmailCc" ma:index="12" nillable="true" ma:displayName="E-mail – kopie" ma:hidden="true" ma:internalName="EmailCc">
      <xsd:simpleType>
        <xsd:restriction base="dms:Note">
          <xsd:maxLength value="255"/>
        </xsd:restriction>
      </xsd:simpleType>
    </xsd:element>
    <xsd:element name="EmailFrom" ma:index="13" nillable="true" ma:displayName="E-mail – od" ma:hidden="true" ma:internalName="EmailFrom">
      <xsd:simpleType>
        <xsd:restriction base="dms:Text"/>
      </xsd:simpleType>
    </xsd:element>
    <xsd:element name="EmailSubject" ma:index="14" nillable="true" ma:displayName="E-mail – předmět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8" nillable="true" ma:displayName="Verze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  <xsd:element name="EmailHeaders" ma:index="15" nillable="true" ma:displayName="Záhlaví e-mailů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B2573-E8E9-48C5-84BD-19623433C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36501C-997C-4DA0-90FA-0479F01F06A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1A04FA6-BE99-40AB-B831-31911E1CC8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9A8044-EC1B-4731-8E40-FDD4AC0B92F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MMR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uzivatel</dc:creator>
  <keywords/>
  <dc:description>Verze 8</dc:description>
  <lastModifiedBy>Mucha Vlastimír (Ext)</lastModifiedBy>
  <revision>12</revision>
  <lastPrinted>2020-02-03T11:34:00.0000000Z</lastPrinted>
  <dcterms:created xsi:type="dcterms:W3CDTF">2020-09-23T05:26:00.0000000Z</dcterms:created>
  <dcterms:modified xsi:type="dcterms:W3CDTF">2020-09-23T05:31:48.7105918Z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Version">
    <vt:lpwstr/>
  </property>
</Properties>
</file>