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BE3" w:rsidRDefault="00523BE3" w:rsidP="00523BE3">
      <w:pPr>
        <w:pStyle w:val="Zkladntext"/>
        <w:jc w:val="left"/>
        <w:rPr>
          <w:rFonts w:cs="Arial"/>
          <w:b/>
          <w:bCs/>
          <w:sz w:val="20"/>
          <w:szCs w:val="20"/>
        </w:rPr>
      </w:pPr>
      <w:r>
        <w:rPr>
          <w:rFonts w:cs="Arial"/>
          <w:b/>
          <w:bCs/>
          <w:caps/>
          <w:sz w:val="20"/>
          <w:szCs w:val="20"/>
        </w:rPr>
        <w:t xml:space="preserve">vYpoŘádání meziresortního připomínkového řízení k materiálu s názvem: </w:t>
      </w:r>
    </w:p>
    <w:p w:rsidR="00523BE3" w:rsidRDefault="00523BE3" w:rsidP="00523BE3">
      <w:pPr>
        <w:pStyle w:val="Zkladntext"/>
        <w:rPr>
          <w:rFonts w:cs="Arial"/>
          <w:b/>
          <w:bCs/>
          <w:sz w:val="20"/>
          <w:szCs w:val="20"/>
        </w:rPr>
      </w:pPr>
    </w:p>
    <w:p w:rsidR="00523BE3" w:rsidRDefault="00523BE3" w:rsidP="00523BE3">
      <w:pPr>
        <w:rPr>
          <w:sz w:val="20"/>
          <w:szCs w:val="20"/>
        </w:rPr>
      </w:pPr>
    </w:p>
    <w:p w:rsidR="00523BE3" w:rsidRDefault="00523BE3" w:rsidP="00523BE3">
      <w:pPr>
        <w:jc w:val="both"/>
        <w:rPr>
          <w:b/>
          <w:sz w:val="20"/>
          <w:szCs w:val="20"/>
        </w:rPr>
      </w:pPr>
      <w:r>
        <w:rPr>
          <w:b/>
          <w:sz w:val="20"/>
          <w:szCs w:val="20"/>
        </w:rPr>
        <w:t>„</w:t>
      </w:r>
      <w:r w:rsidRPr="00445080">
        <w:rPr>
          <w:rFonts w:eastAsia="Calibri"/>
          <w:b/>
          <w:sz w:val="20"/>
          <w:szCs w:val="20"/>
        </w:rPr>
        <w:t>Stanovisko Ministerstva pro místní rozvoj ke Kontrolnímu závěru Nejvyššího kontrolního úřadu z kontrolní akce č. 15/10 Peněžní prostředky vynakládané na Národní infrastrukturu pro elektronické zadávání veřejných zakázek (NIPEZ) a nákup komodit jeho prostřednictvím</w:t>
      </w:r>
      <w:r>
        <w:rPr>
          <w:b/>
          <w:sz w:val="20"/>
          <w:szCs w:val="20"/>
        </w:rPr>
        <w:t>“</w:t>
      </w:r>
    </w:p>
    <w:p w:rsidR="00523BE3" w:rsidRDefault="00523BE3" w:rsidP="00523BE3">
      <w:pPr>
        <w:jc w:val="both"/>
        <w:rPr>
          <w:b/>
          <w:bCs/>
          <w:sz w:val="20"/>
          <w:szCs w:val="20"/>
        </w:rPr>
      </w:pPr>
    </w:p>
    <w:p w:rsidR="00523BE3" w:rsidRDefault="00523BE3" w:rsidP="00523BE3">
      <w:pPr>
        <w:jc w:val="both"/>
        <w:rPr>
          <w:sz w:val="20"/>
          <w:szCs w:val="20"/>
        </w:rPr>
      </w:pPr>
      <w:r>
        <w:rPr>
          <w:sz w:val="20"/>
          <w:szCs w:val="20"/>
        </w:rPr>
        <w:t xml:space="preserve">Dle Jednacího řádu vlády byl materiál rozeslán do meziresortního připomínkového řízení s MF a NKÚ dopisem ministryně pro místní rozvoj dne 1. 6. 2016, s termínem dodání stanovisek do 15. 6. 2016 </w:t>
      </w:r>
    </w:p>
    <w:p w:rsidR="00523BE3" w:rsidRDefault="00523BE3" w:rsidP="00523BE3">
      <w:pPr>
        <w:jc w:val="both"/>
        <w:rPr>
          <w:sz w:val="20"/>
          <w:szCs w:val="20"/>
        </w:rPr>
      </w:pPr>
    </w:p>
    <w:p w:rsidR="00523BE3" w:rsidRDefault="009D6D20" w:rsidP="00523BE3">
      <w:pPr>
        <w:jc w:val="both"/>
        <w:rPr>
          <w:b/>
          <w:bCs/>
          <w:sz w:val="20"/>
          <w:szCs w:val="20"/>
        </w:rPr>
      </w:pPr>
      <w:r>
        <w:rPr>
          <w:b/>
          <w:bCs/>
          <w:sz w:val="20"/>
          <w:szCs w:val="20"/>
        </w:rPr>
        <w:t>K materiálu bylo uplatněno 3</w:t>
      </w:r>
      <w:r>
        <w:rPr>
          <w:b/>
          <w:sz w:val="20"/>
          <w:szCs w:val="20"/>
        </w:rPr>
        <w:t xml:space="preserve"> zásadní</w:t>
      </w:r>
      <w:r w:rsidR="00523BE3">
        <w:rPr>
          <w:b/>
          <w:sz w:val="20"/>
          <w:szCs w:val="20"/>
        </w:rPr>
        <w:t xml:space="preserve"> a </w:t>
      </w:r>
      <w:r w:rsidR="00E55FAF">
        <w:rPr>
          <w:b/>
          <w:bCs/>
          <w:sz w:val="20"/>
          <w:szCs w:val="20"/>
        </w:rPr>
        <w:t>12</w:t>
      </w:r>
      <w:r w:rsidR="00523BE3">
        <w:rPr>
          <w:b/>
          <w:bCs/>
          <w:sz w:val="20"/>
          <w:szCs w:val="20"/>
        </w:rPr>
        <w:t xml:space="preserve"> doporučujících připomínek</w:t>
      </w:r>
      <w:r>
        <w:rPr>
          <w:b/>
          <w:bCs/>
          <w:sz w:val="20"/>
          <w:szCs w:val="20"/>
        </w:rPr>
        <w:t>.</w:t>
      </w:r>
      <w:r w:rsidR="00523BE3">
        <w:rPr>
          <w:b/>
          <w:bCs/>
          <w:sz w:val="20"/>
          <w:szCs w:val="20"/>
        </w:rPr>
        <w:t xml:space="preserve"> </w:t>
      </w:r>
      <w:r w:rsidR="00523BE3">
        <w:rPr>
          <w:bCs/>
          <w:color w:val="FF0000"/>
          <w:sz w:val="20"/>
          <w:szCs w:val="20"/>
        </w:rPr>
        <w:t xml:space="preserve"> </w:t>
      </w:r>
    </w:p>
    <w:p w:rsidR="00523BE3" w:rsidRDefault="00523BE3" w:rsidP="00523BE3">
      <w:pPr>
        <w:jc w:val="both"/>
        <w:rPr>
          <w:sz w:val="20"/>
          <w:szCs w:val="20"/>
        </w:rPr>
      </w:pPr>
    </w:p>
    <w:p w:rsidR="00523BE3" w:rsidRDefault="00523BE3" w:rsidP="00523BE3">
      <w:pPr>
        <w:jc w:val="both"/>
        <w:rPr>
          <w:sz w:val="20"/>
          <w:szCs w:val="20"/>
        </w:rPr>
      </w:pPr>
      <w:r>
        <w:rPr>
          <w:sz w:val="20"/>
          <w:szCs w:val="20"/>
        </w:rPr>
        <w:t>Všechny zásadní připomínky byly s připomínkovými místy vypořádány. Vyhodnocení tohoto řízení je uvedeno v následující tabulce:</w:t>
      </w:r>
    </w:p>
    <w:p w:rsidR="00523BE3" w:rsidRDefault="00523BE3" w:rsidP="00523BE3">
      <w:pPr>
        <w:jc w:val="both"/>
        <w:rPr>
          <w:sz w:val="20"/>
          <w:szCs w:val="20"/>
        </w:rPr>
      </w:pPr>
    </w:p>
    <w:p w:rsidR="00523BE3" w:rsidRDefault="00523BE3" w:rsidP="00523BE3">
      <w:pPr>
        <w:jc w:val="both"/>
        <w:rPr>
          <w:sz w:val="20"/>
          <w:szCs w:val="20"/>
        </w:rPr>
      </w:pPr>
    </w:p>
    <w:tbl>
      <w:tblPr>
        <w:tblW w:w="154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2"/>
        <w:gridCol w:w="2485"/>
        <w:gridCol w:w="665"/>
        <w:gridCol w:w="6877"/>
        <w:gridCol w:w="4711"/>
      </w:tblGrid>
      <w:tr w:rsidR="00523BE3" w:rsidTr="00523BE3">
        <w:tc>
          <w:tcPr>
            <w:tcW w:w="682"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rPr>
                <w:sz w:val="20"/>
                <w:szCs w:val="20"/>
                <w:lang w:eastAsia="en-US"/>
              </w:rPr>
            </w:pPr>
            <w:r>
              <w:rPr>
                <w:sz w:val="20"/>
                <w:szCs w:val="20"/>
                <w:lang w:eastAsia="en-US"/>
              </w:rPr>
              <w:t>Č.</w:t>
            </w:r>
          </w:p>
        </w:tc>
        <w:tc>
          <w:tcPr>
            <w:tcW w:w="2485"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rPr>
                <w:sz w:val="20"/>
                <w:szCs w:val="20"/>
                <w:lang w:eastAsia="en-US"/>
              </w:rPr>
            </w:pPr>
            <w:r>
              <w:rPr>
                <w:sz w:val="20"/>
                <w:szCs w:val="20"/>
                <w:lang w:eastAsia="en-US"/>
              </w:rPr>
              <w:t>Resort / kontaktní osoba</w:t>
            </w:r>
          </w:p>
        </w:tc>
        <w:tc>
          <w:tcPr>
            <w:tcW w:w="665"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rPr>
                <w:sz w:val="20"/>
                <w:szCs w:val="20"/>
                <w:lang w:eastAsia="en-US"/>
              </w:rPr>
            </w:pPr>
            <w:r>
              <w:rPr>
                <w:sz w:val="20"/>
                <w:szCs w:val="20"/>
                <w:lang w:eastAsia="en-US"/>
              </w:rPr>
              <w:t>Z/N</w:t>
            </w:r>
          </w:p>
        </w:tc>
        <w:tc>
          <w:tcPr>
            <w:tcW w:w="6877"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rPr>
                <w:sz w:val="20"/>
                <w:szCs w:val="20"/>
                <w:lang w:eastAsia="en-US"/>
              </w:rPr>
            </w:pPr>
            <w:r>
              <w:rPr>
                <w:sz w:val="20"/>
                <w:szCs w:val="20"/>
                <w:lang w:eastAsia="en-US"/>
              </w:rPr>
              <w:t>Připomínky</w:t>
            </w:r>
          </w:p>
        </w:tc>
        <w:tc>
          <w:tcPr>
            <w:tcW w:w="4711"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rPr>
                <w:sz w:val="20"/>
                <w:szCs w:val="20"/>
                <w:lang w:eastAsia="en-US"/>
              </w:rPr>
            </w:pPr>
            <w:r>
              <w:rPr>
                <w:sz w:val="20"/>
                <w:szCs w:val="20"/>
                <w:lang w:eastAsia="en-US"/>
              </w:rPr>
              <w:t xml:space="preserve">Návrh vypořádání </w:t>
            </w:r>
          </w:p>
        </w:tc>
      </w:tr>
      <w:tr w:rsidR="00523BE3" w:rsidTr="00523BE3">
        <w:tc>
          <w:tcPr>
            <w:tcW w:w="682"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rPr>
                <w:b/>
                <w:bCs/>
                <w:sz w:val="20"/>
                <w:szCs w:val="20"/>
                <w:lang w:eastAsia="en-US"/>
              </w:rPr>
            </w:pPr>
            <w:r>
              <w:rPr>
                <w:b/>
                <w:bCs/>
                <w:sz w:val="20"/>
                <w:szCs w:val="20"/>
                <w:lang w:eastAsia="en-US"/>
              </w:rPr>
              <w:t>1</w:t>
            </w:r>
          </w:p>
        </w:tc>
        <w:tc>
          <w:tcPr>
            <w:tcW w:w="2485" w:type="dxa"/>
            <w:tcBorders>
              <w:top w:val="single" w:sz="4" w:space="0" w:color="auto"/>
              <w:left w:val="single" w:sz="4" w:space="0" w:color="auto"/>
              <w:bottom w:val="single" w:sz="4" w:space="0" w:color="auto"/>
              <w:right w:val="single" w:sz="4" w:space="0" w:color="auto"/>
            </w:tcBorders>
            <w:hideMark/>
          </w:tcPr>
          <w:p w:rsidR="00523BE3" w:rsidRDefault="00523BE3">
            <w:pPr>
              <w:pStyle w:val="Zkladntext"/>
              <w:spacing w:before="120" w:line="360" w:lineRule="auto"/>
              <w:rPr>
                <w:rFonts w:cs="Arial"/>
                <w:b/>
                <w:bCs/>
                <w:sz w:val="20"/>
                <w:szCs w:val="20"/>
                <w:lang w:eastAsia="en-US"/>
              </w:rPr>
            </w:pPr>
            <w:r>
              <w:rPr>
                <w:rFonts w:cs="Arial"/>
                <w:b/>
                <w:bCs/>
                <w:sz w:val="20"/>
                <w:szCs w:val="20"/>
                <w:lang w:eastAsia="en-US"/>
              </w:rPr>
              <w:t>Ministerstvo financí</w:t>
            </w:r>
          </w:p>
          <w:p w:rsidR="00D10F80" w:rsidRPr="00D10F80" w:rsidRDefault="00D10F80" w:rsidP="00E55FAF">
            <w:pPr>
              <w:pStyle w:val="Zkladntext"/>
              <w:spacing w:before="120" w:line="360" w:lineRule="auto"/>
              <w:jc w:val="left"/>
              <w:rPr>
                <w:rFonts w:cs="Arial"/>
                <w:bCs/>
                <w:sz w:val="20"/>
                <w:szCs w:val="20"/>
                <w:lang w:eastAsia="en-US"/>
              </w:rPr>
            </w:pPr>
            <w:r w:rsidRPr="00D10F80">
              <w:rPr>
                <w:rFonts w:cs="Arial"/>
                <w:bCs/>
                <w:sz w:val="20"/>
                <w:szCs w:val="20"/>
                <w:lang w:eastAsia="en-US"/>
              </w:rPr>
              <w:t xml:space="preserve">Mgr. Stanislav Pikna, </w:t>
            </w:r>
            <w:r w:rsidR="00E55FAF">
              <w:rPr>
                <w:rFonts w:cs="Arial"/>
                <w:bCs/>
                <w:sz w:val="20"/>
                <w:szCs w:val="20"/>
                <w:lang w:eastAsia="en-US"/>
              </w:rPr>
              <w:br/>
            </w:r>
            <w:r w:rsidR="00F33ED6">
              <w:rPr>
                <w:rFonts w:cs="Arial"/>
                <w:bCs/>
                <w:sz w:val="20"/>
                <w:szCs w:val="20"/>
                <w:lang w:eastAsia="en-US"/>
              </w:rPr>
              <w:t>tel.</w:t>
            </w:r>
            <w:r w:rsidRPr="00D10F80">
              <w:rPr>
                <w:rFonts w:cs="Arial"/>
                <w:bCs/>
                <w:sz w:val="20"/>
                <w:szCs w:val="20"/>
                <w:lang w:eastAsia="en-US"/>
              </w:rPr>
              <w:t xml:space="preserve">: 257 04 2198, </w:t>
            </w:r>
            <w:r w:rsidR="00E55FAF">
              <w:rPr>
                <w:rFonts w:cs="Arial"/>
                <w:bCs/>
                <w:sz w:val="20"/>
                <w:szCs w:val="20"/>
                <w:lang w:eastAsia="en-US"/>
              </w:rPr>
              <w:br/>
            </w:r>
            <w:r w:rsidRPr="00D10F80">
              <w:rPr>
                <w:rFonts w:cs="Arial"/>
                <w:bCs/>
                <w:sz w:val="20"/>
                <w:szCs w:val="20"/>
                <w:lang w:eastAsia="en-US"/>
              </w:rPr>
              <w:t>e-mail: Stanislav.Pikna@mfcr.cz</w:t>
            </w:r>
          </w:p>
          <w:p w:rsidR="00523BE3" w:rsidRDefault="00523BE3">
            <w:pPr>
              <w:pStyle w:val="Zkladntext"/>
              <w:spacing w:before="120" w:line="360" w:lineRule="auto"/>
              <w:jc w:val="left"/>
              <w:rPr>
                <w:rFonts w:cs="Arial"/>
                <w:b/>
                <w:bCs/>
                <w:sz w:val="20"/>
                <w:szCs w:val="20"/>
                <w:lang w:eastAsia="en-US"/>
              </w:rPr>
            </w:pPr>
            <w:r>
              <w:rPr>
                <w:bCs/>
                <w:sz w:val="20"/>
                <w:szCs w:val="20"/>
                <w:lang w:eastAsia="en-US"/>
              </w:rPr>
              <w:t xml:space="preserve"> </w:t>
            </w:r>
          </w:p>
        </w:tc>
        <w:tc>
          <w:tcPr>
            <w:tcW w:w="665"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jc w:val="center"/>
              <w:rPr>
                <w:sz w:val="20"/>
                <w:szCs w:val="20"/>
                <w:highlight w:val="yellow"/>
                <w:lang w:eastAsia="en-US"/>
              </w:rPr>
            </w:pPr>
            <w:r>
              <w:rPr>
                <w:sz w:val="20"/>
                <w:szCs w:val="20"/>
                <w:lang w:eastAsia="en-US"/>
              </w:rPr>
              <w:t>Z</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9D6D20">
            <w:pPr>
              <w:widowControl w:val="0"/>
              <w:autoSpaceDE w:val="0"/>
              <w:autoSpaceDN w:val="0"/>
              <w:adjustRightInd w:val="0"/>
              <w:ind w:left="360"/>
              <w:jc w:val="both"/>
              <w:rPr>
                <w:sz w:val="20"/>
                <w:szCs w:val="20"/>
              </w:rPr>
            </w:pPr>
          </w:p>
          <w:p w:rsidR="00D10F80" w:rsidRPr="009D6D20" w:rsidRDefault="00D10F80" w:rsidP="00D10F80">
            <w:pPr>
              <w:widowControl w:val="0"/>
              <w:numPr>
                <w:ilvl w:val="0"/>
                <w:numId w:val="2"/>
              </w:numPr>
              <w:tabs>
                <w:tab w:val="clear" w:pos="780"/>
              </w:tabs>
              <w:autoSpaceDE w:val="0"/>
              <w:autoSpaceDN w:val="0"/>
              <w:adjustRightInd w:val="0"/>
              <w:ind w:left="360"/>
              <w:jc w:val="both"/>
              <w:rPr>
                <w:sz w:val="20"/>
                <w:szCs w:val="20"/>
              </w:rPr>
            </w:pPr>
            <w:r w:rsidRPr="009D6D20">
              <w:rPr>
                <w:sz w:val="20"/>
                <w:szCs w:val="20"/>
              </w:rPr>
              <w:t>Ministerstvo financí požaduje, aby Ministerstvo pro místní rozvoj v materiálu konkrétně uvedlo, jakým způsobem hodlá zabezpečit případnou úhradu tzv. finančních oprav nesrovnalostí ve smyslu čl. 2 odst. 7 nařízení Rady (ES) č. 1083/2006, které se vážou k projektu NIPEZ.</w:t>
            </w:r>
          </w:p>
          <w:p w:rsidR="00D10F80" w:rsidRPr="009D6D20" w:rsidRDefault="00D10F80">
            <w:pPr>
              <w:spacing w:before="120" w:after="120" w:line="276" w:lineRule="auto"/>
              <w:jc w:val="both"/>
              <w:rPr>
                <w:b/>
                <w:sz w:val="20"/>
                <w:szCs w:val="20"/>
                <w:lang w:eastAsia="en-US"/>
              </w:rPr>
            </w:pPr>
          </w:p>
          <w:p w:rsidR="00523BE3" w:rsidRPr="009D6D20" w:rsidRDefault="00523BE3">
            <w:pPr>
              <w:spacing w:before="120" w:after="120" w:line="276" w:lineRule="auto"/>
              <w:jc w:val="both"/>
              <w:rPr>
                <w:sz w:val="20"/>
                <w:szCs w:val="20"/>
                <w:u w:val="single"/>
                <w:lang w:eastAsia="en-US"/>
              </w:rPr>
            </w:pPr>
            <w:r w:rsidRPr="00DE4BD0">
              <w:rPr>
                <w:b/>
                <w:sz w:val="20"/>
                <w:szCs w:val="20"/>
                <w:lang w:eastAsia="en-US"/>
              </w:rPr>
              <w:t>Zásadní připomínka</w:t>
            </w:r>
            <w:r w:rsidRPr="009D6D20">
              <w:rPr>
                <w:b/>
                <w:sz w:val="20"/>
                <w:szCs w:val="20"/>
                <w:lang w:eastAsia="en-US"/>
              </w:rPr>
              <w:t xml:space="preserve"> </w:t>
            </w:r>
            <w:r w:rsidRPr="009D6D20">
              <w:rPr>
                <w:sz w:val="20"/>
                <w:szCs w:val="20"/>
                <w:lang w:eastAsia="en-US"/>
              </w:rPr>
              <w:t xml:space="preserve"> </w:t>
            </w:r>
          </w:p>
        </w:tc>
        <w:tc>
          <w:tcPr>
            <w:tcW w:w="4711"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jc w:val="both"/>
              <w:rPr>
                <w:b/>
                <w:sz w:val="20"/>
                <w:szCs w:val="20"/>
                <w:lang w:eastAsia="en-US"/>
              </w:rPr>
            </w:pPr>
            <w:r>
              <w:rPr>
                <w:b/>
                <w:sz w:val="20"/>
                <w:szCs w:val="20"/>
                <w:lang w:eastAsia="en-US"/>
              </w:rPr>
              <w:t>Akceptováno</w:t>
            </w:r>
          </w:p>
          <w:p w:rsidR="00523BE3" w:rsidRDefault="004C0188">
            <w:pPr>
              <w:spacing w:before="120" w:after="120" w:line="276" w:lineRule="auto"/>
              <w:jc w:val="both"/>
              <w:rPr>
                <w:sz w:val="20"/>
                <w:szCs w:val="20"/>
                <w:lang w:eastAsia="en-US"/>
              </w:rPr>
            </w:pPr>
            <w:r w:rsidRPr="004C0188">
              <w:rPr>
                <w:sz w:val="20"/>
                <w:szCs w:val="20"/>
              </w:rPr>
              <w:t xml:space="preserve">Do textu doplněna věta: </w:t>
            </w:r>
            <w:r w:rsidR="00FD4AAB" w:rsidRPr="00A53237">
              <w:rPr>
                <w:sz w:val="20"/>
                <w:szCs w:val="20"/>
              </w:rPr>
              <w:t>Případné finanční dop</w:t>
            </w:r>
            <w:r w:rsidR="007F7637">
              <w:rPr>
                <w:sz w:val="20"/>
                <w:szCs w:val="20"/>
              </w:rPr>
              <w:t>ady budou hrazeny z rozpočtu příjemce</w:t>
            </w:r>
            <w:r w:rsidR="00FD4AAB" w:rsidRPr="00A53237">
              <w:rPr>
                <w:sz w:val="20"/>
                <w:szCs w:val="20"/>
              </w:rPr>
              <w:t xml:space="preserve"> do státního rozpočtu</w:t>
            </w:r>
            <w:r w:rsidR="00FD4AAB">
              <w:rPr>
                <w:sz w:val="20"/>
                <w:szCs w:val="20"/>
              </w:rPr>
              <w:t xml:space="preserve"> a Národního fondu ČR</w:t>
            </w:r>
            <w:r w:rsidR="0094251E">
              <w:rPr>
                <w:sz w:val="20"/>
                <w:szCs w:val="20"/>
              </w:rPr>
              <w:t xml:space="preserve"> (str. </w:t>
            </w:r>
            <w:r w:rsidR="00FD4AAB">
              <w:rPr>
                <w:sz w:val="20"/>
                <w:szCs w:val="20"/>
              </w:rPr>
              <w:t>10 Stanoviska).</w:t>
            </w:r>
          </w:p>
        </w:tc>
      </w:tr>
      <w:tr w:rsidR="00523BE3" w:rsidTr="00523BE3">
        <w:tc>
          <w:tcPr>
            <w:tcW w:w="682"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rPr>
                <w:b/>
                <w:bCs/>
                <w:sz w:val="20"/>
                <w:szCs w:val="20"/>
                <w:lang w:eastAsia="en-US"/>
              </w:rPr>
            </w:pPr>
            <w:r>
              <w:rPr>
                <w:b/>
                <w:bCs/>
                <w:sz w:val="20"/>
                <w:szCs w:val="20"/>
                <w:lang w:eastAsia="en-US"/>
              </w:rPr>
              <w:t>2</w:t>
            </w:r>
          </w:p>
        </w:tc>
        <w:tc>
          <w:tcPr>
            <w:tcW w:w="2485" w:type="dxa"/>
            <w:tcBorders>
              <w:top w:val="single" w:sz="4" w:space="0" w:color="auto"/>
              <w:left w:val="single" w:sz="4" w:space="0" w:color="auto"/>
              <w:bottom w:val="single" w:sz="4" w:space="0" w:color="auto"/>
              <w:right w:val="single" w:sz="4" w:space="0" w:color="auto"/>
            </w:tcBorders>
          </w:tcPr>
          <w:p w:rsidR="00523BE3" w:rsidRDefault="00523BE3">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523BE3" w:rsidRDefault="00D10F80">
            <w:pPr>
              <w:spacing w:before="120" w:after="120" w:line="276" w:lineRule="auto"/>
              <w:jc w:val="center"/>
              <w:rPr>
                <w:sz w:val="20"/>
                <w:szCs w:val="20"/>
                <w:highlight w:val="yellow"/>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523BE3" w:rsidP="009D6D20">
            <w:pPr>
              <w:widowControl w:val="0"/>
              <w:autoSpaceDE w:val="0"/>
              <w:autoSpaceDN w:val="0"/>
              <w:adjustRightInd w:val="0"/>
              <w:ind w:left="360"/>
              <w:jc w:val="both"/>
              <w:rPr>
                <w:sz w:val="20"/>
                <w:szCs w:val="20"/>
              </w:rPr>
            </w:pPr>
            <w:r w:rsidRPr="009D6D20">
              <w:rPr>
                <w:sz w:val="20"/>
                <w:szCs w:val="20"/>
                <w:lang w:eastAsia="en-US"/>
              </w:rPr>
              <w:t xml:space="preserve"> </w:t>
            </w:r>
          </w:p>
          <w:p w:rsidR="00D10F80" w:rsidRPr="009D6D20" w:rsidRDefault="00D10F80" w:rsidP="00D10F80">
            <w:pPr>
              <w:widowControl w:val="0"/>
              <w:numPr>
                <w:ilvl w:val="0"/>
                <w:numId w:val="3"/>
              </w:numPr>
              <w:tabs>
                <w:tab w:val="clear" w:pos="780"/>
              </w:tabs>
              <w:autoSpaceDE w:val="0"/>
              <w:autoSpaceDN w:val="0"/>
              <w:adjustRightInd w:val="0"/>
              <w:ind w:left="360"/>
              <w:jc w:val="both"/>
              <w:rPr>
                <w:sz w:val="20"/>
                <w:szCs w:val="20"/>
              </w:rPr>
            </w:pPr>
            <w:r w:rsidRPr="009D6D20">
              <w:rPr>
                <w:sz w:val="20"/>
                <w:szCs w:val="20"/>
              </w:rPr>
              <w:t>Ministerstvo financí očekává, že Kontrolní závěr z kontrolní akce 15/10 bude Ministerstvem pro místní rozvoj reflektován v rámci plnění Strategie elektronizace veřejných zakázek pro období 2016 – 2020.</w:t>
            </w:r>
          </w:p>
          <w:p w:rsidR="00523BE3" w:rsidRPr="009D6D20" w:rsidRDefault="00D10F80">
            <w:pPr>
              <w:spacing w:before="120" w:after="120" w:line="276" w:lineRule="auto"/>
              <w:jc w:val="both"/>
              <w:rPr>
                <w:b/>
                <w:sz w:val="20"/>
                <w:szCs w:val="20"/>
                <w:highlight w:val="yellow"/>
                <w:lang w:eastAsia="en-US"/>
              </w:rPr>
            </w:pPr>
            <w:r w:rsidRPr="009D6D20">
              <w:rPr>
                <w:b/>
                <w:sz w:val="20"/>
                <w:szCs w:val="20"/>
                <w:lang w:eastAsia="en-US"/>
              </w:rPr>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523BE3" w:rsidRDefault="00C41486" w:rsidP="00523BE3">
            <w:pPr>
              <w:spacing w:before="120" w:after="120" w:line="276" w:lineRule="auto"/>
              <w:jc w:val="both"/>
              <w:rPr>
                <w:sz w:val="20"/>
                <w:szCs w:val="20"/>
                <w:lang w:eastAsia="en-US"/>
              </w:rPr>
            </w:pPr>
            <w:r>
              <w:rPr>
                <w:b/>
                <w:bCs/>
                <w:sz w:val="20"/>
                <w:szCs w:val="20"/>
                <w:lang w:eastAsia="en-US"/>
              </w:rPr>
              <w:t>Akceptováno</w:t>
            </w:r>
          </w:p>
        </w:tc>
      </w:tr>
      <w:tr w:rsidR="00523BE3" w:rsidTr="00523BE3">
        <w:tc>
          <w:tcPr>
            <w:tcW w:w="682" w:type="dxa"/>
            <w:tcBorders>
              <w:top w:val="single" w:sz="4" w:space="0" w:color="auto"/>
              <w:left w:val="single" w:sz="4" w:space="0" w:color="auto"/>
              <w:bottom w:val="single" w:sz="4" w:space="0" w:color="auto"/>
              <w:right w:val="single" w:sz="4" w:space="0" w:color="auto"/>
            </w:tcBorders>
            <w:hideMark/>
          </w:tcPr>
          <w:p w:rsidR="00523BE3" w:rsidRDefault="00523BE3">
            <w:pPr>
              <w:spacing w:before="120" w:after="120" w:line="276" w:lineRule="auto"/>
              <w:rPr>
                <w:b/>
                <w:bCs/>
                <w:sz w:val="20"/>
                <w:szCs w:val="20"/>
                <w:lang w:eastAsia="en-US"/>
              </w:rPr>
            </w:pPr>
            <w:r>
              <w:rPr>
                <w:b/>
                <w:bCs/>
                <w:sz w:val="20"/>
                <w:szCs w:val="20"/>
                <w:lang w:eastAsia="en-US"/>
              </w:rPr>
              <w:t>3</w:t>
            </w:r>
          </w:p>
        </w:tc>
        <w:tc>
          <w:tcPr>
            <w:tcW w:w="2485" w:type="dxa"/>
            <w:tcBorders>
              <w:top w:val="single" w:sz="4" w:space="0" w:color="auto"/>
              <w:left w:val="single" w:sz="4" w:space="0" w:color="auto"/>
              <w:bottom w:val="single" w:sz="4" w:space="0" w:color="auto"/>
              <w:right w:val="single" w:sz="4" w:space="0" w:color="auto"/>
            </w:tcBorders>
          </w:tcPr>
          <w:p w:rsidR="00523BE3" w:rsidRDefault="00E55FAF">
            <w:pPr>
              <w:spacing w:before="120" w:after="120" w:line="276" w:lineRule="auto"/>
              <w:rPr>
                <w:bCs/>
                <w:sz w:val="20"/>
                <w:szCs w:val="20"/>
                <w:lang w:eastAsia="en-US"/>
              </w:rPr>
            </w:pPr>
            <w:r>
              <w:rPr>
                <w:b/>
                <w:bCs/>
                <w:sz w:val="20"/>
                <w:szCs w:val="20"/>
                <w:lang w:eastAsia="en-US"/>
              </w:rPr>
              <w:t>Nejvyšší kontrolní úřad</w:t>
            </w:r>
          </w:p>
          <w:p w:rsidR="00E55FAF" w:rsidRPr="00E55FAF" w:rsidRDefault="003B1261" w:rsidP="00F33ED6">
            <w:pPr>
              <w:spacing w:before="120" w:after="120" w:line="360" w:lineRule="auto"/>
              <w:rPr>
                <w:bCs/>
                <w:sz w:val="20"/>
                <w:szCs w:val="20"/>
                <w:lang w:eastAsia="en-US"/>
              </w:rPr>
            </w:pPr>
            <w:r w:rsidRPr="003B1261">
              <w:rPr>
                <w:bCs/>
                <w:sz w:val="20"/>
                <w:szCs w:val="20"/>
                <w:lang w:eastAsia="en-US"/>
              </w:rPr>
              <w:t>Mgr. Ing. Daniel Ševčík, tel.</w:t>
            </w:r>
            <w:r w:rsidR="00F33ED6">
              <w:rPr>
                <w:bCs/>
                <w:sz w:val="20"/>
                <w:szCs w:val="20"/>
                <w:lang w:eastAsia="en-US"/>
              </w:rPr>
              <w:t>:</w:t>
            </w:r>
            <w:r w:rsidRPr="003B1261">
              <w:rPr>
                <w:bCs/>
                <w:sz w:val="20"/>
                <w:szCs w:val="20"/>
                <w:lang w:eastAsia="en-US"/>
              </w:rPr>
              <w:t xml:space="preserve"> 233</w:t>
            </w:r>
            <w:r w:rsidR="00F33ED6">
              <w:rPr>
                <w:bCs/>
                <w:sz w:val="20"/>
                <w:szCs w:val="20"/>
                <w:lang w:eastAsia="en-US"/>
              </w:rPr>
              <w:t> </w:t>
            </w:r>
            <w:r w:rsidRPr="003B1261">
              <w:rPr>
                <w:bCs/>
                <w:sz w:val="20"/>
                <w:szCs w:val="20"/>
                <w:lang w:eastAsia="en-US"/>
              </w:rPr>
              <w:t>045</w:t>
            </w:r>
            <w:r w:rsidR="00F33ED6">
              <w:rPr>
                <w:bCs/>
                <w:sz w:val="20"/>
                <w:szCs w:val="20"/>
                <w:lang w:eastAsia="en-US"/>
              </w:rPr>
              <w:t xml:space="preserve"> </w:t>
            </w:r>
            <w:r w:rsidRPr="003B1261">
              <w:rPr>
                <w:bCs/>
                <w:sz w:val="20"/>
                <w:szCs w:val="20"/>
                <w:lang w:eastAsia="en-US"/>
              </w:rPr>
              <w:t>188</w:t>
            </w:r>
          </w:p>
          <w:p w:rsidR="00523BE3" w:rsidRPr="00E55FAF" w:rsidRDefault="00523BE3">
            <w:pPr>
              <w:spacing w:before="120" w:after="120" w:line="276" w:lineRule="auto"/>
              <w:rPr>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523BE3" w:rsidRDefault="00C4769E">
            <w:pPr>
              <w:spacing w:before="120" w:after="120" w:line="276" w:lineRule="auto"/>
              <w:jc w:val="center"/>
              <w:rPr>
                <w:sz w:val="20"/>
                <w:szCs w:val="20"/>
                <w:lang w:eastAsia="en-US"/>
              </w:rPr>
            </w:pPr>
            <w:r>
              <w:rPr>
                <w:sz w:val="20"/>
                <w:szCs w:val="20"/>
                <w:lang w:eastAsia="en-US"/>
              </w:rPr>
              <w:lastRenderedPageBreak/>
              <w:t>D</w:t>
            </w:r>
          </w:p>
        </w:tc>
        <w:tc>
          <w:tcPr>
            <w:tcW w:w="6877" w:type="dxa"/>
            <w:tcBorders>
              <w:top w:val="single" w:sz="4" w:space="0" w:color="auto"/>
              <w:left w:val="single" w:sz="4" w:space="0" w:color="auto"/>
              <w:bottom w:val="single" w:sz="4" w:space="0" w:color="auto"/>
              <w:right w:val="single" w:sz="4" w:space="0" w:color="auto"/>
            </w:tcBorders>
            <w:hideMark/>
          </w:tcPr>
          <w:p w:rsidR="00C4769E" w:rsidRPr="009D6D20" w:rsidRDefault="00C4769E" w:rsidP="00C4769E">
            <w:pPr>
              <w:widowControl w:val="0"/>
              <w:autoSpaceDE w:val="0"/>
              <w:autoSpaceDN w:val="0"/>
              <w:adjustRightInd w:val="0"/>
              <w:spacing w:before="120" w:after="120" w:line="276" w:lineRule="auto"/>
              <w:jc w:val="both"/>
              <w:rPr>
                <w:b/>
                <w:sz w:val="20"/>
                <w:szCs w:val="20"/>
                <w:lang w:eastAsia="en-US"/>
              </w:rPr>
            </w:pPr>
            <w:r w:rsidRPr="009D6D20">
              <w:rPr>
                <w:b/>
                <w:sz w:val="20"/>
                <w:szCs w:val="20"/>
                <w:lang w:eastAsia="en-US"/>
              </w:rPr>
              <w:t>1) Strana 4, bod 2.1</w:t>
            </w:r>
          </w:p>
          <w:p w:rsidR="00C4769E" w:rsidRPr="009D6D20" w:rsidRDefault="00C4769E" w:rsidP="00C4769E">
            <w:pPr>
              <w:widowControl w:val="0"/>
              <w:autoSpaceDE w:val="0"/>
              <w:autoSpaceDN w:val="0"/>
              <w:adjustRightInd w:val="0"/>
              <w:spacing w:before="120" w:after="120" w:line="276" w:lineRule="auto"/>
              <w:jc w:val="both"/>
              <w:rPr>
                <w:sz w:val="20"/>
                <w:szCs w:val="20"/>
                <w:lang w:eastAsia="en-US"/>
              </w:rPr>
            </w:pPr>
            <w:r w:rsidRPr="009D6D20">
              <w:rPr>
                <w:sz w:val="20"/>
                <w:szCs w:val="20"/>
                <w:lang w:eastAsia="en-US"/>
              </w:rPr>
              <w:t xml:space="preserve">Dle zjištění NKÚ měl být vývoj NEN dle původního harmonogramu uvedeného ve smlouvě dokončen k 31. 12. 2012 včetně jeho ověření v pilotním provozu. Ostrý provoz NEN měl být spuštěn nejpozději ke dni 1. </w:t>
            </w:r>
            <w:r w:rsidRPr="009D6D20">
              <w:rPr>
                <w:sz w:val="20"/>
                <w:szCs w:val="20"/>
                <w:lang w:eastAsia="en-US"/>
              </w:rPr>
              <w:lastRenderedPageBreak/>
              <w:t>1. 2013. K dokončení díla však po změnách harmonogramu došlo až 31. 3. 2014. Ostrý provoz NEN byl poté odložen až na 1. 8. 2015, tj. více než rok po dokončení vývoje NEN a více než o 2,5 roku později oproti původnímu předpokladu. Ke zpoždění ve spuštění NEN oproti původnímu termínu tedy skutečně došlo.</w:t>
            </w:r>
          </w:p>
          <w:p w:rsidR="00C4769E" w:rsidRPr="009D6D20" w:rsidRDefault="00C4769E" w:rsidP="00C4769E">
            <w:pPr>
              <w:widowControl w:val="0"/>
              <w:autoSpaceDE w:val="0"/>
              <w:autoSpaceDN w:val="0"/>
              <w:adjustRightInd w:val="0"/>
              <w:spacing w:before="120" w:after="120" w:line="276" w:lineRule="auto"/>
              <w:jc w:val="both"/>
              <w:rPr>
                <w:sz w:val="20"/>
                <w:szCs w:val="20"/>
                <w:lang w:eastAsia="en-US"/>
              </w:rPr>
            </w:pPr>
            <w:r w:rsidRPr="009D6D20">
              <w:rPr>
                <w:sz w:val="20"/>
                <w:szCs w:val="20"/>
                <w:lang w:eastAsia="en-US"/>
              </w:rPr>
              <w:t>NKÚ dále uplatňuje připomínku ke stanovisku týkající se uváděného prověření bezpečnosti systému. Toto prověření bezpečnosti bylo jedním z kontrolovaných hledisek v rámci prověřování procesu elektronizace zadávání veřejných zakázek v ČR dle úkolů vyplývajících ze „</w:t>
            </w:r>
            <w:r w:rsidRPr="009D6D20">
              <w:rPr>
                <w:i/>
                <w:sz w:val="20"/>
                <w:szCs w:val="20"/>
                <w:lang w:eastAsia="en-US"/>
              </w:rPr>
              <w:t>Strategie elektronizace zadávání veřejných zakázek pro období let 2011 až 2015“</w:t>
            </w:r>
            <w:r w:rsidRPr="009D6D20">
              <w:rPr>
                <w:sz w:val="20"/>
                <w:szCs w:val="20"/>
                <w:lang w:eastAsia="en-US"/>
              </w:rPr>
              <w:t>, které probíhalo od konce roku 2014 do dubna 2015. Bezpečnostní nedostatky bránící spuštění NEN do ostrého provozu byly dle předložené dokumentace odstraněny nejpozději ke dni 27. 2. 2015. Další odklad spuštění NEN do ostrého provozu v období od ukončení prověřování systému v dubnu 2015 do srpna 2015 nelze tedy přičítat bezpečnostním nedostatkům, jak MMR uvádí ve stanovisku. Odklad o dalších čtvrt roku MMR neodůvodnilo, což je podrobněji popsáno v kontrolním protokolu.</w:t>
            </w:r>
          </w:p>
          <w:p w:rsidR="00C4769E" w:rsidRPr="009D6D20" w:rsidRDefault="00C4769E" w:rsidP="00C4769E">
            <w:pPr>
              <w:widowControl w:val="0"/>
              <w:autoSpaceDE w:val="0"/>
              <w:autoSpaceDN w:val="0"/>
              <w:adjustRightInd w:val="0"/>
              <w:spacing w:before="120" w:after="120" w:line="276" w:lineRule="auto"/>
              <w:jc w:val="both"/>
              <w:rPr>
                <w:b/>
                <w:sz w:val="20"/>
                <w:szCs w:val="20"/>
                <w:lang w:eastAsia="en-US"/>
              </w:rPr>
            </w:pPr>
            <w:r w:rsidRPr="009D6D20">
              <w:rPr>
                <w:b/>
                <w:sz w:val="20"/>
                <w:szCs w:val="20"/>
                <w:lang w:eastAsia="en-US"/>
              </w:rPr>
              <w:t>NKÚ navrhuje, aby MMR vypustilo na straně 4 v posledním odstavci bodu 2.1 stanoviska následující věty: „</w:t>
            </w:r>
            <w:r w:rsidRPr="009D6D20">
              <w:rPr>
                <w:b/>
                <w:i/>
                <w:sz w:val="20"/>
                <w:szCs w:val="20"/>
                <w:lang w:eastAsia="en-US"/>
              </w:rPr>
              <w:t>Hlavním důvodem tohoto „pozdního spuštění“ NEN nicméně bylo rozhodnutí o komplexním prověření systému, a to hlavně z pohledu jeho bezpečnosti. MMR zde upřednostnilo variantu spustit systém později a mít jistotu v oblasti zabezpečení systému a jeho dat před variantou spuštění systému dříve a nesení rizika možného narušení bezpečnosti</w:t>
            </w:r>
            <w:r w:rsidRPr="009D6D20">
              <w:rPr>
                <w:b/>
                <w:sz w:val="20"/>
                <w:szCs w:val="20"/>
                <w:lang w:eastAsia="en-US"/>
              </w:rPr>
              <w:t>“.</w:t>
            </w:r>
          </w:p>
          <w:p w:rsidR="00523BE3" w:rsidRPr="009D6D20" w:rsidRDefault="009D6D20">
            <w:pPr>
              <w:widowControl w:val="0"/>
              <w:autoSpaceDE w:val="0"/>
              <w:autoSpaceDN w:val="0"/>
              <w:adjustRightInd w:val="0"/>
              <w:spacing w:before="120" w:after="120" w:line="276" w:lineRule="auto"/>
              <w:jc w:val="both"/>
              <w:rPr>
                <w:b/>
                <w:sz w:val="20"/>
                <w:szCs w:val="20"/>
                <w:lang w:eastAsia="en-US"/>
              </w:rPr>
            </w:pPr>
            <w:r w:rsidRPr="009D6D20">
              <w:rPr>
                <w:b/>
                <w:sz w:val="20"/>
                <w:szCs w:val="20"/>
                <w:lang w:eastAsia="en-US"/>
              </w:rPr>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523BE3" w:rsidRPr="00742614" w:rsidRDefault="00676670">
            <w:pPr>
              <w:spacing w:before="120" w:after="120" w:line="276" w:lineRule="auto"/>
              <w:jc w:val="both"/>
              <w:rPr>
                <w:b/>
                <w:sz w:val="20"/>
                <w:szCs w:val="20"/>
                <w:lang w:eastAsia="en-US"/>
              </w:rPr>
            </w:pPr>
            <w:r w:rsidRPr="00742614">
              <w:rPr>
                <w:b/>
                <w:sz w:val="20"/>
                <w:szCs w:val="20"/>
                <w:lang w:eastAsia="en-US"/>
              </w:rPr>
              <w:lastRenderedPageBreak/>
              <w:t>Akceptováno částečně</w:t>
            </w:r>
          </w:p>
          <w:p w:rsidR="00676670" w:rsidRPr="00742614" w:rsidRDefault="00676670">
            <w:pPr>
              <w:spacing w:before="120" w:after="120" w:line="276" w:lineRule="auto"/>
              <w:jc w:val="both"/>
              <w:rPr>
                <w:sz w:val="20"/>
                <w:szCs w:val="20"/>
                <w:lang w:eastAsia="en-US"/>
              </w:rPr>
            </w:pPr>
            <w:r w:rsidRPr="00742614">
              <w:rPr>
                <w:sz w:val="20"/>
                <w:szCs w:val="20"/>
                <w:lang w:eastAsia="en-US"/>
              </w:rPr>
              <w:t>V dotčeném odstavci upravena formulace:</w:t>
            </w:r>
          </w:p>
          <w:p w:rsidR="002B2F5A" w:rsidRPr="00742614" w:rsidRDefault="002B2F5A" w:rsidP="002B2F5A">
            <w:pPr>
              <w:spacing w:before="120" w:after="120" w:line="276" w:lineRule="auto"/>
              <w:jc w:val="both"/>
              <w:rPr>
                <w:sz w:val="20"/>
                <w:szCs w:val="20"/>
                <w:lang w:eastAsia="en-US"/>
              </w:rPr>
            </w:pPr>
            <w:r w:rsidRPr="00742614">
              <w:rPr>
                <w:sz w:val="20"/>
                <w:szCs w:val="20"/>
                <w:lang w:eastAsia="en-US"/>
              </w:rPr>
              <w:t>„</w:t>
            </w:r>
            <w:r w:rsidRPr="00742614">
              <w:rPr>
                <w:i/>
                <w:sz w:val="20"/>
                <w:szCs w:val="20"/>
                <w:u w:val="single"/>
                <w:lang w:eastAsia="en-US"/>
              </w:rPr>
              <w:t>Jedním z hlavních důvodů</w:t>
            </w:r>
            <w:r w:rsidRPr="00742614">
              <w:rPr>
                <w:i/>
                <w:sz w:val="20"/>
                <w:szCs w:val="20"/>
                <w:lang w:eastAsia="en-US"/>
              </w:rPr>
              <w:t xml:space="preserve"> tohoto „pozdního spuštění“ NEN nicméně bylo rozhodnutí o </w:t>
            </w:r>
            <w:r w:rsidRPr="00742614">
              <w:rPr>
                <w:i/>
                <w:sz w:val="20"/>
                <w:szCs w:val="20"/>
                <w:lang w:eastAsia="en-US"/>
              </w:rPr>
              <w:lastRenderedPageBreak/>
              <w:t>komplexní</w:t>
            </w:r>
            <w:r w:rsidR="005E08D3" w:rsidRPr="00742614">
              <w:rPr>
                <w:i/>
                <w:sz w:val="20"/>
                <w:szCs w:val="20"/>
                <w:lang w:eastAsia="en-US"/>
              </w:rPr>
              <w:t>m prověření systému</w:t>
            </w:r>
            <w:r w:rsidR="009E5EAB" w:rsidRPr="00742614">
              <w:rPr>
                <w:i/>
                <w:sz w:val="20"/>
                <w:szCs w:val="20"/>
                <w:lang w:eastAsia="en-US"/>
              </w:rPr>
              <w:t xml:space="preserve">, a to zejména </w:t>
            </w:r>
            <w:r w:rsidRPr="00742614">
              <w:rPr>
                <w:i/>
                <w:sz w:val="20"/>
                <w:szCs w:val="20"/>
                <w:lang w:eastAsia="en-US"/>
              </w:rPr>
              <w:t>z pohledu jeho bezpečnosti. MMR zde upřednostnilo variantu spustit systém později a mít jistotu v oblasti zabezpečení systému a jeho dat před variantou spuštění systému dříve a nesení rizika možného narušení bezpečnosti</w:t>
            </w:r>
            <w:r w:rsidRPr="00742614">
              <w:rPr>
                <w:sz w:val="20"/>
                <w:szCs w:val="20"/>
                <w:lang w:eastAsia="en-US"/>
              </w:rPr>
              <w:t>“</w:t>
            </w:r>
          </w:p>
          <w:p w:rsidR="002B2F5A" w:rsidRPr="00676670" w:rsidRDefault="002B2F5A" w:rsidP="002B2F5A">
            <w:pPr>
              <w:spacing w:before="120" w:after="120" w:line="276" w:lineRule="auto"/>
              <w:jc w:val="both"/>
              <w:rPr>
                <w:sz w:val="20"/>
                <w:szCs w:val="20"/>
                <w:lang w:eastAsia="en-US"/>
              </w:rPr>
            </w:pPr>
          </w:p>
        </w:tc>
      </w:tr>
      <w:tr w:rsidR="00682F29" w:rsidTr="00523BE3">
        <w:tc>
          <w:tcPr>
            <w:tcW w:w="682" w:type="dxa"/>
            <w:tcBorders>
              <w:top w:val="single" w:sz="4" w:space="0" w:color="auto"/>
              <w:left w:val="single" w:sz="4" w:space="0" w:color="auto"/>
              <w:bottom w:val="single" w:sz="4" w:space="0" w:color="auto"/>
              <w:right w:val="single" w:sz="4" w:space="0" w:color="auto"/>
            </w:tcBorders>
            <w:hideMark/>
          </w:tcPr>
          <w:p w:rsidR="00682F29" w:rsidRDefault="00C4769E">
            <w:pPr>
              <w:spacing w:before="120" w:after="120" w:line="276" w:lineRule="auto"/>
              <w:rPr>
                <w:b/>
                <w:bCs/>
                <w:sz w:val="20"/>
                <w:szCs w:val="20"/>
                <w:lang w:eastAsia="en-US"/>
              </w:rPr>
            </w:pPr>
            <w:r>
              <w:rPr>
                <w:b/>
                <w:bCs/>
                <w:sz w:val="20"/>
                <w:szCs w:val="20"/>
                <w:lang w:eastAsia="en-US"/>
              </w:rPr>
              <w:lastRenderedPageBreak/>
              <w:t>4</w:t>
            </w:r>
          </w:p>
        </w:tc>
        <w:tc>
          <w:tcPr>
            <w:tcW w:w="2485" w:type="dxa"/>
            <w:tcBorders>
              <w:top w:val="single" w:sz="4" w:space="0" w:color="auto"/>
              <w:left w:val="single" w:sz="4" w:space="0" w:color="auto"/>
              <w:bottom w:val="single" w:sz="4" w:space="0" w:color="auto"/>
              <w:right w:val="single" w:sz="4" w:space="0" w:color="auto"/>
            </w:tcBorders>
          </w:tcPr>
          <w:p w:rsidR="00682F29" w:rsidRDefault="00682F29">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682F29"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C4769E">
            <w:pPr>
              <w:jc w:val="both"/>
              <w:rPr>
                <w:rFonts w:eastAsiaTheme="minorHAnsi"/>
                <w:b/>
                <w:noProof/>
                <w:sz w:val="20"/>
                <w:szCs w:val="20"/>
                <w:lang w:eastAsia="en-US"/>
              </w:rPr>
            </w:pPr>
          </w:p>
          <w:p w:rsidR="00C4769E" w:rsidRDefault="00C4769E" w:rsidP="009D6D20">
            <w:pPr>
              <w:jc w:val="both"/>
              <w:rPr>
                <w:rFonts w:eastAsiaTheme="minorHAnsi"/>
                <w:b/>
                <w:sz w:val="20"/>
                <w:szCs w:val="20"/>
                <w:lang w:eastAsia="en-US"/>
              </w:rPr>
            </w:pPr>
            <w:r w:rsidRPr="009D6D20">
              <w:rPr>
                <w:rFonts w:eastAsiaTheme="minorHAnsi"/>
                <w:b/>
                <w:noProof/>
                <w:sz w:val="20"/>
                <w:szCs w:val="20"/>
                <w:lang w:eastAsia="en-US"/>
              </w:rPr>
              <w:t>2)</w:t>
            </w:r>
            <w:r w:rsidR="009D6D20">
              <w:rPr>
                <w:rFonts w:eastAsiaTheme="minorHAnsi"/>
                <w:b/>
                <w:noProof/>
                <w:sz w:val="20"/>
                <w:szCs w:val="20"/>
                <w:lang w:eastAsia="en-US"/>
              </w:rPr>
              <w:t xml:space="preserve"> </w:t>
            </w:r>
            <w:r w:rsidRPr="009D6D20">
              <w:rPr>
                <w:rFonts w:eastAsiaTheme="minorHAnsi"/>
                <w:b/>
                <w:sz w:val="20"/>
                <w:szCs w:val="20"/>
                <w:lang w:eastAsia="en-US"/>
              </w:rPr>
              <w:t>Strana 5 až 7, bod 2.2 a)</w:t>
            </w:r>
          </w:p>
          <w:p w:rsidR="009D6D20" w:rsidRPr="009D6D20" w:rsidRDefault="009D6D20" w:rsidP="009D6D20">
            <w:pPr>
              <w:jc w:val="both"/>
              <w:rPr>
                <w:rFonts w:eastAsiaTheme="minorHAnsi"/>
                <w:b/>
                <w:noProof/>
                <w:sz w:val="20"/>
                <w:szCs w:val="20"/>
                <w:lang w:eastAsia="en-US"/>
              </w:rPr>
            </w:pPr>
          </w:p>
          <w:p w:rsidR="00C4769E" w:rsidRPr="009D6D20" w:rsidRDefault="00C4769E" w:rsidP="00C4769E">
            <w:pPr>
              <w:spacing w:after="120"/>
              <w:jc w:val="both"/>
              <w:rPr>
                <w:rFonts w:eastAsiaTheme="minorHAnsi"/>
                <w:noProof/>
                <w:sz w:val="20"/>
                <w:szCs w:val="20"/>
              </w:rPr>
            </w:pPr>
            <w:r w:rsidRPr="009D6D20">
              <w:rPr>
                <w:rFonts w:eastAsiaTheme="minorHAnsi"/>
                <w:noProof/>
                <w:sz w:val="20"/>
                <w:szCs w:val="20"/>
              </w:rPr>
              <w:t xml:space="preserve">MMR bylo na způsob měření, monitorování a hodnocení dílčích cílů NIPEZ a předložení příslušné dokumentace v průběhu kontrolní akce opakovaně dotazováno. MMR ve stanovisku na jedné straně uvádí, že všechny uvedené dílčí cíle NIPEZ splnilo a na straně druhě tvrdí, že míru úspěšnosti plnění některých dílčích cílů lze hodnotit až s časovým </w:t>
            </w:r>
            <w:r w:rsidRPr="009D6D20">
              <w:rPr>
                <w:rFonts w:eastAsiaTheme="minorHAnsi"/>
                <w:noProof/>
                <w:sz w:val="20"/>
                <w:szCs w:val="20"/>
              </w:rPr>
              <w:lastRenderedPageBreak/>
              <w:t xml:space="preserve">odstupem od spuštění NEN. </w:t>
            </w:r>
            <w:r w:rsidRPr="009D6D20">
              <w:rPr>
                <w:rFonts w:eastAsia="Calibri"/>
                <w:sz w:val="20"/>
                <w:szCs w:val="20"/>
                <w:lang w:eastAsia="en-US"/>
              </w:rPr>
              <w:t xml:space="preserve">NKÚ v kontrolním závěru neuvedl, že MMR neplní uvedené dílčí cíle. Dle zjištění NKÚ je však míra plnění cíle v oblasti transparentnosti zadávání veřejných zakázek snižována </w:t>
            </w:r>
            <w:r w:rsidRPr="009D6D20">
              <w:rPr>
                <w:rFonts w:eastAsiaTheme="minorHAnsi"/>
                <w:noProof/>
                <w:sz w:val="20"/>
                <w:szCs w:val="20"/>
              </w:rPr>
              <w:t xml:space="preserve">nesrovnalostmi v uveřejňovaných datech a pro vyhodnocení plnění dalších čtyř dílčích cílů nepředložilo MMR v průběhu kontroly dostatečné údaje, což je podrobněji posáno v kontrolním protokolu. </w:t>
            </w:r>
          </w:p>
          <w:p w:rsidR="00C4769E" w:rsidRPr="009D6D20" w:rsidRDefault="00C4769E" w:rsidP="00C4769E">
            <w:pPr>
              <w:spacing w:after="120"/>
              <w:jc w:val="both"/>
              <w:rPr>
                <w:rFonts w:eastAsiaTheme="minorHAnsi"/>
                <w:noProof/>
                <w:sz w:val="20"/>
                <w:szCs w:val="20"/>
              </w:rPr>
            </w:pPr>
            <w:r w:rsidRPr="009D6D20">
              <w:rPr>
                <w:rFonts w:eastAsiaTheme="minorHAnsi"/>
                <w:b/>
                <w:noProof/>
                <w:sz w:val="20"/>
                <w:szCs w:val="20"/>
              </w:rPr>
              <w:t>NKÚ navrhuje, aby MMR stanovisko v části „</w:t>
            </w:r>
            <w:r w:rsidRPr="009D6D20">
              <w:rPr>
                <w:rFonts w:eastAsiaTheme="minorHAnsi"/>
                <w:b/>
                <w:i/>
                <w:noProof/>
                <w:sz w:val="20"/>
                <w:szCs w:val="20"/>
              </w:rPr>
              <w:t>K nálezu NKÚ: neplnění dílčích cílů</w:t>
            </w:r>
            <w:r w:rsidRPr="009D6D20">
              <w:rPr>
                <w:rFonts w:eastAsiaTheme="minorHAnsi"/>
                <w:b/>
                <w:noProof/>
                <w:sz w:val="20"/>
                <w:szCs w:val="20"/>
              </w:rPr>
              <w:t>“ upravilo ve smyslu kontrolního závěru</w:t>
            </w:r>
            <w:r w:rsidRPr="009D6D20">
              <w:rPr>
                <w:rFonts w:eastAsiaTheme="minorHAnsi"/>
                <w:noProof/>
                <w:sz w:val="20"/>
                <w:szCs w:val="20"/>
              </w:rPr>
              <w:t xml:space="preserve">. </w:t>
            </w:r>
          </w:p>
          <w:p w:rsidR="00C4769E" w:rsidRPr="009D6D20" w:rsidRDefault="00C4769E" w:rsidP="00C4769E">
            <w:pPr>
              <w:spacing w:after="120"/>
              <w:jc w:val="both"/>
              <w:rPr>
                <w:rFonts w:eastAsiaTheme="minorHAnsi"/>
                <w:noProof/>
                <w:sz w:val="20"/>
                <w:szCs w:val="20"/>
              </w:rPr>
            </w:pPr>
            <w:r w:rsidRPr="009D6D20">
              <w:rPr>
                <w:rFonts w:eastAsiaTheme="minorHAnsi"/>
                <w:sz w:val="20"/>
                <w:szCs w:val="20"/>
                <w:lang w:eastAsia="en-US"/>
              </w:rPr>
              <w:t>NKÚ dále uplatňuje připomínku ke stanovisku</w:t>
            </w:r>
            <w:r w:rsidRPr="009D6D20">
              <w:rPr>
                <w:rFonts w:eastAsia="Calibri"/>
                <w:sz w:val="20"/>
                <w:szCs w:val="20"/>
                <w:lang w:eastAsia="en-US"/>
              </w:rPr>
              <w:t xml:space="preserve"> ve věci </w:t>
            </w:r>
            <w:r w:rsidRPr="009D6D20">
              <w:rPr>
                <w:rFonts w:eastAsiaTheme="minorHAnsi"/>
                <w:noProof/>
                <w:sz w:val="20"/>
                <w:szCs w:val="20"/>
              </w:rPr>
              <w:t>monitorování dílčích cílů NIPEZ. MMR ve stanovisku uvádí řadu nových informací, které MMR při kontrole nepředložilo, ačkoli bylo o uvedení veškerých informací ve věci monitorování dílčích cílů NIPEZ ze strany NKÚ žádáno.</w:t>
            </w:r>
          </w:p>
          <w:p w:rsidR="00C4769E" w:rsidRPr="009D6D20" w:rsidRDefault="00C4769E" w:rsidP="00C4769E">
            <w:pPr>
              <w:spacing w:after="240"/>
              <w:jc w:val="both"/>
              <w:rPr>
                <w:rFonts w:eastAsiaTheme="minorHAnsi"/>
                <w:b/>
                <w:noProof/>
                <w:sz w:val="20"/>
                <w:szCs w:val="20"/>
              </w:rPr>
            </w:pPr>
            <w:r w:rsidRPr="009D6D20">
              <w:rPr>
                <w:rFonts w:eastAsiaTheme="minorHAnsi"/>
                <w:b/>
                <w:noProof/>
                <w:sz w:val="20"/>
                <w:szCs w:val="20"/>
              </w:rPr>
              <w:t xml:space="preserve">NKÚ navrhuje, aby MMR do stanoviska uvedlo nápravná opatření za všechny dílčí cíle, aby zřejmé, zda a jak je bude schopné vyhodnocovat v průběhu dalšího fungování NIPEZ.  </w:t>
            </w:r>
          </w:p>
          <w:p w:rsidR="00682F29" w:rsidRPr="009D6D20" w:rsidRDefault="009D6D20">
            <w:pPr>
              <w:widowControl w:val="0"/>
              <w:autoSpaceDE w:val="0"/>
              <w:autoSpaceDN w:val="0"/>
              <w:adjustRightInd w:val="0"/>
              <w:spacing w:before="120" w:after="120" w:line="276" w:lineRule="auto"/>
              <w:jc w:val="both"/>
              <w:rPr>
                <w:b/>
                <w:sz w:val="20"/>
                <w:szCs w:val="20"/>
                <w:lang w:eastAsia="en-US"/>
              </w:rPr>
            </w:pPr>
            <w:r w:rsidRPr="009D6D20">
              <w:rPr>
                <w:b/>
                <w:sz w:val="20"/>
                <w:szCs w:val="20"/>
                <w:lang w:eastAsia="en-US"/>
              </w:rPr>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682F29" w:rsidRPr="00742614" w:rsidRDefault="003E58ED">
            <w:pPr>
              <w:spacing w:before="120" w:after="120" w:line="276" w:lineRule="auto"/>
              <w:jc w:val="both"/>
              <w:rPr>
                <w:b/>
                <w:sz w:val="20"/>
                <w:szCs w:val="20"/>
                <w:lang w:eastAsia="en-US"/>
              </w:rPr>
            </w:pPr>
            <w:r w:rsidRPr="00742614">
              <w:rPr>
                <w:b/>
                <w:sz w:val="20"/>
                <w:szCs w:val="20"/>
                <w:lang w:eastAsia="en-US"/>
              </w:rPr>
              <w:lastRenderedPageBreak/>
              <w:t>Neakceptováno</w:t>
            </w:r>
          </w:p>
          <w:p w:rsidR="009E5EAB" w:rsidRPr="00742614" w:rsidRDefault="009E5EAB" w:rsidP="00991905">
            <w:pPr>
              <w:spacing w:before="120" w:after="120" w:line="276" w:lineRule="auto"/>
              <w:jc w:val="both"/>
              <w:rPr>
                <w:sz w:val="20"/>
                <w:szCs w:val="20"/>
                <w:lang w:eastAsia="en-US"/>
              </w:rPr>
            </w:pPr>
            <w:r w:rsidRPr="00742614">
              <w:rPr>
                <w:sz w:val="20"/>
                <w:szCs w:val="20"/>
                <w:lang w:eastAsia="en-US"/>
              </w:rPr>
              <w:t>Kontrolní závěr NKÚ je součástí předkládaného</w:t>
            </w:r>
            <w:r w:rsidR="00991905" w:rsidRPr="00742614">
              <w:rPr>
                <w:sz w:val="20"/>
                <w:szCs w:val="20"/>
                <w:lang w:eastAsia="en-US"/>
              </w:rPr>
              <w:t xml:space="preserve"> materiálu</w:t>
            </w:r>
            <w:r w:rsidR="004C7421" w:rsidRPr="00742614">
              <w:rPr>
                <w:sz w:val="20"/>
                <w:szCs w:val="20"/>
                <w:lang w:eastAsia="en-US"/>
              </w:rPr>
              <w:t xml:space="preserve">. </w:t>
            </w:r>
            <w:r w:rsidR="00991905" w:rsidRPr="00742614">
              <w:rPr>
                <w:sz w:val="20"/>
                <w:szCs w:val="20"/>
                <w:lang w:eastAsia="en-US"/>
              </w:rPr>
              <w:t xml:space="preserve">V rámci Stanoviska jsou </w:t>
            </w:r>
            <w:r w:rsidR="008E307F" w:rsidRPr="00742614">
              <w:rPr>
                <w:sz w:val="20"/>
                <w:szCs w:val="20"/>
                <w:lang w:eastAsia="en-US"/>
              </w:rPr>
              <w:t xml:space="preserve">v oblasti transparentnosti </w:t>
            </w:r>
            <w:r w:rsidR="00991905" w:rsidRPr="00742614">
              <w:rPr>
                <w:sz w:val="20"/>
                <w:szCs w:val="20"/>
                <w:lang w:eastAsia="en-US"/>
              </w:rPr>
              <w:t xml:space="preserve">uvedeny informace, které MMR poskytlo k plnění cílů NKÚ již v průběhu </w:t>
            </w:r>
            <w:r w:rsidR="008E307F" w:rsidRPr="00742614">
              <w:rPr>
                <w:sz w:val="20"/>
                <w:szCs w:val="20"/>
                <w:lang w:eastAsia="en-US"/>
              </w:rPr>
              <w:t>kontroly (předávací protokol č.5-2/15/10 ze dn</w:t>
            </w:r>
            <w:r w:rsidR="008F5933">
              <w:rPr>
                <w:sz w:val="20"/>
                <w:szCs w:val="20"/>
                <w:lang w:eastAsia="en-US"/>
              </w:rPr>
              <w:t xml:space="preserve">e </w:t>
            </w:r>
            <w:proofErr w:type="gramStart"/>
            <w:r w:rsidR="008E307F" w:rsidRPr="00742614">
              <w:rPr>
                <w:sz w:val="20"/>
                <w:szCs w:val="20"/>
                <w:lang w:eastAsia="en-US"/>
              </w:rPr>
              <w:t>15.7.2015</w:t>
            </w:r>
            <w:proofErr w:type="gramEnd"/>
            <w:r w:rsidR="008E307F" w:rsidRPr="00742614">
              <w:rPr>
                <w:sz w:val="20"/>
                <w:szCs w:val="20"/>
                <w:lang w:eastAsia="en-US"/>
              </w:rPr>
              <w:t>)</w:t>
            </w:r>
            <w:r w:rsidR="00991905" w:rsidRPr="00742614">
              <w:rPr>
                <w:sz w:val="20"/>
                <w:szCs w:val="20"/>
                <w:lang w:eastAsia="en-US"/>
              </w:rPr>
              <w:t xml:space="preserve">, </w:t>
            </w:r>
            <w:r w:rsidR="00991905" w:rsidRPr="00742614">
              <w:rPr>
                <w:sz w:val="20"/>
                <w:szCs w:val="20"/>
                <w:lang w:eastAsia="en-US"/>
              </w:rPr>
              <w:lastRenderedPageBreak/>
              <w:t>a dále doplnilo pro účely zpracování tohoto stanoviska</w:t>
            </w:r>
            <w:r w:rsidR="00ED259B" w:rsidRPr="00742614">
              <w:rPr>
                <w:sz w:val="20"/>
                <w:szCs w:val="20"/>
                <w:lang w:eastAsia="en-US"/>
              </w:rPr>
              <w:t xml:space="preserve"> </w:t>
            </w:r>
            <w:r w:rsidR="00991905" w:rsidRPr="00742614">
              <w:rPr>
                <w:sz w:val="20"/>
                <w:szCs w:val="20"/>
                <w:lang w:eastAsia="en-US"/>
              </w:rPr>
              <w:t>statistiky vycházející z výročních zpráv, které jsou veřejnosti dostupné.</w:t>
            </w:r>
            <w:r w:rsidR="004C7421" w:rsidRPr="00742614">
              <w:rPr>
                <w:sz w:val="20"/>
                <w:szCs w:val="20"/>
                <w:lang w:eastAsia="en-US"/>
              </w:rPr>
              <w:t xml:space="preserve"> </w:t>
            </w:r>
          </w:p>
          <w:p w:rsidR="008E307F" w:rsidRPr="00742614" w:rsidRDefault="008C0A86" w:rsidP="00991905">
            <w:pPr>
              <w:spacing w:before="120" w:after="120" w:line="276" w:lineRule="auto"/>
              <w:jc w:val="both"/>
              <w:rPr>
                <w:sz w:val="20"/>
                <w:szCs w:val="20"/>
                <w:lang w:eastAsia="en-US"/>
              </w:rPr>
            </w:pPr>
            <w:r w:rsidRPr="00742614">
              <w:rPr>
                <w:sz w:val="20"/>
                <w:szCs w:val="20"/>
                <w:lang w:eastAsia="en-US"/>
              </w:rPr>
              <w:t>NKÚ více</w:t>
            </w:r>
            <w:r w:rsidR="00C8373D" w:rsidRPr="00742614">
              <w:rPr>
                <w:sz w:val="20"/>
                <w:szCs w:val="20"/>
                <w:lang w:eastAsia="en-US"/>
              </w:rPr>
              <w:t xml:space="preserve"> ve své připomínce nespecifikovalo „řadu nových informací, které MMR při kontrole nepředložilo“, nicméně </w:t>
            </w:r>
            <w:r w:rsidRPr="00742614">
              <w:rPr>
                <w:sz w:val="20"/>
                <w:szCs w:val="20"/>
                <w:lang w:eastAsia="en-US"/>
              </w:rPr>
              <w:t>se MMR domnívá, že</w:t>
            </w:r>
            <w:r w:rsidR="008E307F" w:rsidRPr="00742614">
              <w:rPr>
                <w:sz w:val="20"/>
                <w:szCs w:val="20"/>
                <w:lang w:eastAsia="en-US"/>
              </w:rPr>
              <w:t xml:space="preserve"> nemohlo některé informace NKÚ předložit v prů</w:t>
            </w:r>
            <w:r w:rsidR="00C8373D" w:rsidRPr="00742614">
              <w:rPr>
                <w:sz w:val="20"/>
                <w:szCs w:val="20"/>
                <w:lang w:eastAsia="en-US"/>
              </w:rPr>
              <w:t xml:space="preserve">běhu kontroly, neboť vychází ze </w:t>
            </w:r>
            <w:r w:rsidR="008E307F" w:rsidRPr="00742614">
              <w:rPr>
                <w:sz w:val="20"/>
                <w:szCs w:val="20"/>
                <w:lang w:eastAsia="en-US"/>
              </w:rPr>
              <w:t>Strategie elektronizace 2</w:t>
            </w:r>
            <w:r w:rsidRPr="00742614">
              <w:rPr>
                <w:sz w:val="20"/>
                <w:szCs w:val="20"/>
                <w:lang w:eastAsia="en-US"/>
              </w:rPr>
              <w:t>016 - 2020</w:t>
            </w:r>
            <w:r w:rsidR="00601746" w:rsidRPr="00742614">
              <w:rPr>
                <w:sz w:val="20"/>
                <w:szCs w:val="20"/>
                <w:lang w:eastAsia="en-US"/>
              </w:rPr>
              <w:t>, která byla schválena vládou</w:t>
            </w:r>
            <w:r w:rsidR="00C8373D" w:rsidRPr="00742614">
              <w:rPr>
                <w:sz w:val="20"/>
                <w:szCs w:val="20"/>
                <w:lang w:eastAsia="en-US"/>
              </w:rPr>
              <w:t xml:space="preserve"> v lednu 2016, tedy až po ukončení kontroly NKÚ.</w:t>
            </w:r>
          </w:p>
          <w:p w:rsidR="00991905" w:rsidRPr="00991905" w:rsidRDefault="00266835" w:rsidP="00991905">
            <w:pPr>
              <w:spacing w:before="120" w:after="120" w:line="276" w:lineRule="auto"/>
              <w:jc w:val="both"/>
              <w:rPr>
                <w:b/>
                <w:color w:val="E36C0A" w:themeColor="accent6" w:themeShade="BF"/>
                <w:sz w:val="20"/>
                <w:szCs w:val="20"/>
                <w:lang w:eastAsia="en-US"/>
              </w:rPr>
            </w:pPr>
            <w:r>
              <w:rPr>
                <w:color w:val="E36C0A" w:themeColor="accent6" w:themeShade="BF"/>
                <w:sz w:val="20"/>
                <w:szCs w:val="20"/>
                <w:lang w:eastAsia="en-US"/>
              </w:rPr>
              <w:t xml:space="preserve"> </w:t>
            </w:r>
          </w:p>
        </w:tc>
      </w:tr>
      <w:tr w:rsidR="00682F29" w:rsidTr="00523BE3">
        <w:tc>
          <w:tcPr>
            <w:tcW w:w="682" w:type="dxa"/>
            <w:tcBorders>
              <w:top w:val="single" w:sz="4" w:space="0" w:color="auto"/>
              <w:left w:val="single" w:sz="4" w:space="0" w:color="auto"/>
              <w:bottom w:val="single" w:sz="4" w:space="0" w:color="auto"/>
              <w:right w:val="single" w:sz="4" w:space="0" w:color="auto"/>
            </w:tcBorders>
            <w:hideMark/>
          </w:tcPr>
          <w:p w:rsidR="00682F29" w:rsidRDefault="00C4769E">
            <w:pPr>
              <w:spacing w:before="120" w:after="120" w:line="276" w:lineRule="auto"/>
              <w:rPr>
                <w:b/>
                <w:bCs/>
                <w:sz w:val="20"/>
                <w:szCs w:val="20"/>
                <w:lang w:eastAsia="en-US"/>
              </w:rPr>
            </w:pPr>
            <w:r>
              <w:rPr>
                <w:b/>
                <w:bCs/>
                <w:sz w:val="20"/>
                <w:szCs w:val="20"/>
                <w:lang w:eastAsia="en-US"/>
              </w:rPr>
              <w:lastRenderedPageBreak/>
              <w:t>5</w:t>
            </w:r>
          </w:p>
        </w:tc>
        <w:tc>
          <w:tcPr>
            <w:tcW w:w="2485" w:type="dxa"/>
            <w:tcBorders>
              <w:top w:val="single" w:sz="4" w:space="0" w:color="auto"/>
              <w:left w:val="single" w:sz="4" w:space="0" w:color="auto"/>
              <w:bottom w:val="single" w:sz="4" w:space="0" w:color="auto"/>
              <w:right w:val="single" w:sz="4" w:space="0" w:color="auto"/>
            </w:tcBorders>
          </w:tcPr>
          <w:p w:rsidR="00682F29" w:rsidRDefault="00682F29">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682F29"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C4769E" w:rsidRPr="009D6D20" w:rsidRDefault="00C4769E" w:rsidP="00C4769E">
            <w:pPr>
              <w:widowControl w:val="0"/>
              <w:autoSpaceDE w:val="0"/>
              <w:autoSpaceDN w:val="0"/>
              <w:adjustRightInd w:val="0"/>
              <w:spacing w:before="120" w:after="120" w:line="276" w:lineRule="auto"/>
              <w:ind w:firstLine="2"/>
              <w:jc w:val="both"/>
              <w:rPr>
                <w:b/>
                <w:sz w:val="20"/>
                <w:szCs w:val="20"/>
                <w:lang w:eastAsia="en-US"/>
              </w:rPr>
            </w:pPr>
            <w:proofErr w:type="gramStart"/>
            <w:r w:rsidRPr="009D6D20">
              <w:rPr>
                <w:b/>
                <w:sz w:val="20"/>
                <w:szCs w:val="20"/>
                <w:lang w:eastAsia="en-US"/>
              </w:rPr>
              <w:t xml:space="preserve">3) </w:t>
            </w:r>
            <w:r w:rsidR="009D6D20">
              <w:rPr>
                <w:b/>
                <w:sz w:val="20"/>
                <w:szCs w:val="20"/>
                <w:lang w:eastAsia="en-US"/>
              </w:rPr>
              <w:t xml:space="preserve"> </w:t>
            </w:r>
            <w:r w:rsidRPr="009D6D20">
              <w:rPr>
                <w:b/>
                <w:sz w:val="20"/>
                <w:szCs w:val="20"/>
                <w:lang w:eastAsia="en-US"/>
              </w:rPr>
              <w:t>Strana</w:t>
            </w:r>
            <w:proofErr w:type="gramEnd"/>
            <w:r w:rsidRPr="009D6D20">
              <w:rPr>
                <w:b/>
                <w:sz w:val="20"/>
                <w:szCs w:val="20"/>
                <w:lang w:eastAsia="en-US"/>
              </w:rPr>
              <w:t xml:space="preserve"> 7 až 8, bod 2.2 b)</w:t>
            </w:r>
          </w:p>
          <w:p w:rsidR="00C4769E" w:rsidRPr="009D6D20" w:rsidRDefault="00C4769E" w:rsidP="00C4769E">
            <w:pPr>
              <w:widowControl w:val="0"/>
              <w:autoSpaceDE w:val="0"/>
              <w:autoSpaceDN w:val="0"/>
              <w:adjustRightInd w:val="0"/>
              <w:spacing w:before="120" w:after="120" w:line="276" w:lineRule="auto"/>
              <w:jc w:val="both"/>
              <w:rPr>
                <w:sz w:val="20"/>
                <w:szCs w:val="20"/>
                <w:lang w:eastAsia="en-US"/>
              </w:rPr>
            </w:pPr>
            <w:r w:rsidRPr="009D6D20">
              <w:rPr>
                <w:sz w:val="20"/>
                <w:szCs w:val="20"/>
                <w:lang w:eastAsia="en-US"/>
              </w:rPr>
              <w:t xml:space="preserve">MMR uvádí, že byl započat proces optimalizace celkové IT architektury ministerstva s cílem vybudovat moderní </w:t>
            </w:r>
            <w:proofErr w:type="spellStart"/>
            <w:r w:rsidRPr="009D6D20">
              <w:rPr>
                <w:sz w:val="20"/>
                <w:szCs w:val="20"/>
                <w:lang w:eastAsia="en-US"/>
              </w:rPr>
              <w:t>architektru</w:t>
            </w:r>
            <w:proofErr w:type="spellEnd"/>
            <w:r w:rsidRPr="009D6D20">
              <w:rPr>
                <w:sz w:val="20"/>
                <w:szCs w:val="20"/>
                <w:lang w:eastAsia="en-US"/>
              </w:rPr>
              <w:t xml:space="preserve"> založenou na principech </w:t>
            </w:r>
            <w:proofErr w:type="spellStart"/>
            <w:r w:rsidRPr="009D6D20">
              <w:rPr>
                <w:sz w:val="20"/>
                <w:szCs w:val="20"/>
                <w:lang w:eastAsia="en-US"/>
              </w:rPr>
              <w:t>Service</w:t>
            </w:r>
            <w:proofErr w:type="spellEnd"/>
            <w:r w:rsidRPr="009D6D20">
              <w:rPr>
                <w:sz w:val="20"/>
                <w:szCs w:val="20"/>
                <w:lang w:eastAsia="en-US"/>
              </w:rPr>
              <w:t xml:space="preserve"> </w:t>
            </w:r>
            <w:proofErr w:type="spellStart"/>
            <w:r w:rsidRPr="009D6D20">
              <w:rPr>
                <w:sz w:val="20"/>
                <w:szCs w:val="20"/>
                <w:lang w:eastAsia="en-US"/>
              </w:rPr>
              <w:t>Oriented</w:t>
            </w:r>
            <w:proofErr w:type="spellEnd"/>
            <w:r w:rsidRPr="009D6D20">
              <w:rPr>
                <w:sz w:val="20"/>
                <w:szCs w:val="20"/>
                <w:lang w:eastAsia="en-US"/>
              </w:rPr>
              <w:t xml:space="preserve"> </w:t>
            </w:r>
            <w:proofErr w:type="spellStart"/>
            <w:r w:rsidRPr="009D6D20">
              <w:rPr>
                <w:sz w:val="20"/>
                <w:szCs w:val="20"/>
                <w:lang w:eastAsia="en-US"/>
              </w:rPr>
              <w:t>Architecture</w:t>
            </w:r>
            <w:proofErr w:type="spellEnd"/>
            <w:r w:rsidRPr="009D6D20">
              <w:rPr>
                <w:sz w:val="20"/>
                <w:szCs w:val="20"/>
                <w:lang w:eastAsia="en-US"/>
              </w:rPr>
              <w:t xml:space="preserve">, a zároveň být v souladu s vizí architektury </w:t>
            </w:r>
            <w:proofErr w:type="spellStart"/>
            <w:r w:rsidRPr="009D6D20">
              <w:rPr>
                <w:sz w:val="20"/>
                <w:szCs w:val="20"/>
                <w:lang w:eastAsia="en-US"/>
              </w:rPr>
              <w:t>eGovermentu</w:t>
            </w:r>
            <w:proofErr w:type="spellEnd"/>
            <w:r w:rsidRPr="009D6D20">
              <w:rPr>
                <w:sz w:val="20"/>
                <w:szCs w:val="20"/>
                <w:lang w:eastAsia="en-US"/>
              </w:rPr>
              <w:t xml:space="preserve"> Ministerstva vnitra. </w:t>
            </w:r>
          </w:p>
          <w:p w:rsidR="00C4769E" w:rsidRDefault="00C4769E" w:rsidP="00C4769E">
            <w:pPr>
              <w:widowControl w:val="0"/>
              <w:autoSpaceDE w:val="0"/>
              <w:autoSpaceDN w:val="0"/>
              <w:adjustRightInd w:val="0"/>
              <w:spacing w:before="120" w:after="120" w:line="276" w:lineRule="auto"/>
              <w:jc w:val="both"/>
              <w:rPr>
                <w:b/>
                <w:sz w:val="20"/>
                <w:szCs w:val="20"/>
                <w:lang w:eastAsia="en-US"/>
              </w:rPr>
            </w:pPr>
            <w:r w:rsidRPr="009D6D20">
              <w:rPr>
                <w:b/>
                <w:sz w:val="20"/>
                <w:szCs w:val="20"/>
                <w:lang w:eastAsia="en-US"/>
              </w:rPr>
              <w:t>NKÚ navrhuje, aby MMR do stanoviska uvedlo konkrétní kroky, které vykonalo či plánuje do budoucna vykonat v oblasti budování celkové IT architektury ministerstva.</w:t>
            </w:r>
          </w:p>
          <w:p w:rsidR="009D6D20" w:rsidRDefault="009D6D20" w:rsidP="00C4769E">
            <w:pPr>
              <w:widowControl w:val="0"/>
              <w:autoSpaceDE w:val="0"/>
              <w:autoSpaceDN w:val="0"/>
              <w:adjustRightInd w:val="0"/>
              <w:spacing w:before="120" w:after="120" w:line="276" w:lineRule="auto"/>
              <w:jc w:val="both"/>
              <w:rPr>
                <w:b/>
                <w:sz w:val="20"/>
                <w:szCs w:val="20"/>
                <w:lang w:eastAsia="en-US"/>
              </w:rPr>
            </w:pPr>
          </w:p>
          <w:p w:rsidR="00682F29" w:rsidRPr="009D6D20" w:rsidRDefault="009D6D20" w:rsidP="009D6D20">
            <w:pPr>
              <w:widowControl w:val="0"/>
              <w:autoSpaceDE w:val="0"/>
              <w:autoSpaceDN w:val="0"/>
              <w:adjustRightInd w:val="0"/>
              <w:spacing w:before="120" w:after="120" w:line="276" w:lineRule="auto"/>
              <w:jc w:val="both"/>
              <w:rPr>
                <w:b/>
                <w:sz w:val="20"/>
                <w:szCs w:val="20"/>
                <w:lang w:eastAsia="en-US"/>
              </w:rPr>
            </w:pPr>
            <w:r w:rsidRPr="009D6D20">
              <w:rPr>
                <w:b/>
                <w:sz w:val="20"/>
                <w:szCs w:val="20"/>
                <w:lang w:eastAsia="en-US"/>
              </w:rPr>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444160" w:rsidRPr="00444160" w:rsidRDefault="00171E7D" w:rsidP="00444160">
            <w:pPr>
              <w:spacing w:before="120" w:after="120" w:line="276" w:lineRule="auto"/>
              <w:jc w:val="both"/>
            </w:pPr>
            <w:r w:rsidRPr="003E58ED">
              <w:rPr>
                <w:b/>
                <w:color w:val="E36C0A" w:themeColor="accent6" w:themeShade="BF"/>
                <w:sz w:val="20"/>
                <w:szCs w:val="20"/>
                <w:lang w:eastAsia="en-US"/>
              </w:rPr>
              <w:t xml:space="preserve"> </w:t>
            </w:r>
            <w:r w:rsidR="00444160" w:rsidRPr="00444160">
              <w:rPr>
                <w:b/>
                <w:bCs/>
                <w:sz w:val="20"/>
                <w:szCs w:val="20"/>
              </w:rPr>
              <w:t>Vysvětleno</w:t>
            </w:r>
          </w:p>
          <w:p w:rsidR="00444160" w:rsidRPr="00444160" w:rsidRDefault="00444160" w:rsidP="00444160">
            <w:pPr>
              <w:spacing w:before="120" w:after="120" w:line="276" w:lineRule="auto"/>
              <w:jc w:val="both"/>
            </w:pPr>
            <w:r w:rsidRPr="00444160">
              <w:rPr>
                <w:bCs/>
                <w:sz w:val="20"/>
                <w:szCs w:val="20"/>
              </w:rPr>
              <w:t>Dle názoru MMR tyto informace nepatří do stanoviska, které jde na Vládu ČR a má se týkat NIPEZ. Nicméně zde uvádíme již dokončené a nyní realizované kroky:</w:t>
            </w:r>
          </w:p>
          <w:p w:rsidR="00444160" w:rsidRPr="00444160" w:rsidRDefault="00444160" w:rsidP="00444160">
            <w:pPr>
              <w:spacing w:before="120" w:after="120" w:line="276" w:lineRule="auto"/>
              <w:jc w:val="both"/>
            </w:pPr>
            <w:r w:rsidRPr="00444160">
              <w:rPr>
                <w:bCs/>
                <w:sz w:val="20"/>
                <w:szCs w:val="20"/>
              </w:rPr>
              <w:t>Již dokončené kroky:</w:t>
            </w:r>
          </w:p>
          <w:p w:rsidR="00444160" w:rsidRPr="00444160" w:rsidRDefault="00444160" w:rsidP="00444160">
            <w:pPr>
              <w:pStyle w:val="Odstavecseseznamem"/>
              <w:numPr>
                <w:ilvl w:val="0"/>
                <w:numId w:val="5"/>
              </w:numPr>
              <w:spacing w:before="120" w:after="120" w:line="276" w:lineRule="auto"/>
              <w:jc w:val="both"/>
            </w:pPr>
            <w:r w:rsidRPr="00444160">
              <w:rPr>
                <w:bCs/>
                <w:sz w:val="20"/>
                <w:szCs w:val="20"/>
              </w:rPr>
              <w:t xml:space="preserve">MMR dokončilo inventuru včetně podrobné specifikace všech informačních systémů, které jsou jednotlivými útvary využívány </w:t>
            </w:r>
          </w:p>
          <w:p w:rsidR="00444160" w:rsidRPr="00444160" w:rsidRDefault="00444160" w:rsidP="00444160">
            <w:pPr>
              <w:spacing w:before="120" w:after="120" w:line="276" w:lineRule="auto"/>
              <w:jc w:val="both"/>
            </w:pPr>
            <w:r w:rsidRPr="00444160">
              <w:rPr>
                <w:bCs/>
                <w:sz w:val="20"/>
                <w:szCs w:val="20"/>
              </w:rPr>
              <w:t>Realizované kroky:</w:t>
            </w:r>
          </w:p>
          <w:p w:rsidR="003E58ED" w:rsidRPr="007C3809" w:rsidRDefault="00444160" w:rsidP="00444160">
            <w:pPr>
              <w:pStyle w:val="Odstavecseseznamem"/>
              <w:numPr>
                <w:ilvl w:val="0"/>
                <w:numId w:val="4"/>
              </w:numPr>
              <w:spacing w:before="120" w:after="120" w:line="276" w:lineRule="auto"/>
              <w:jc w:val="both"/>
              <w:rPr>
                <w:b/>
                <w:bCs/>
                <w:color w:val="E36C0A"/>
                <w:sz w:val="20"/>
                <w:szCs w:val="20"/>
              </w:rPr>
            </w:pPr>
            <w:r w:rsidRPr="00444160">
              <w:rPr>
                <w:bCs/>
                <w:sz w:val="20"/>
                <w:szCs w:val="20"/>
              </w:rPr>
              <w:t xml:space="preserve">Nyní provádí analýzu dat vzešlých z inventury a snaží se nalézt synergické efekty při dalším rozvoji těchto systémů, </w:t>
            </w:r>
            <w:r w:rsidRPr="00444160">
              <w:rPr>
                <w:bCs/>
                <w:sz w:val="20"/>
                <w:szCs w:val="20"/>
              </w:rPr>
              <w:lastRenderedPageBreak/>
              <w:t>které by ovlivnily výslednou podobu IT na MMR</w:t>
            </w:r>
            <w:r>
              <w:rPr>
                <w:bCs/>
                <w:sz w:val="20"/>
                <w:szCs w:val="20"/>
              </w:rPr>
              <w:t>.</w:t>
            </w:r>
          </w:p>
        </w:tc>
      </w:tr>
      <w:tr w:rsidR="00682F29" w:rsidTr="00523BE3">
        <w:tc>
          <w:tcPr>
            <w:tcW w:w="682" w:type="dxa"/>
            <w:tcBorders>
              <w:top w:val="single" w:sz="4" w:space="0" w:color="auto"/>
              <w:left w:val="single" w:sz="4" w:space="0" w:color="auto"/>
              <w:bottom w:val="single" w:sz="4" w:space="0" w:color="auto"/>
              <w:right w:val="single" w:sz="4" w:space="0" w:color="auto"/>
            </w:tcBorders>
            <w:hideMark/>
          </w:tcPr>
          <w:p w:rsidR="00682F29" w:rsidRDefault="00C4769E">
            <w:pPr>
              <w:spacing w:before="120" w:after="120" w:line="276" w:lineRule="auto"/>
              <w:rPr>
                <w:b/>
                <w:bCs/>
                <w:sz w:val="20"/>
                <w:szCs w:val="20"/>
                <w:lang w:eastAsia="en-US"/>
              </w:rPr>
            </w:pPr>
            <w:r>
              <w:rPr>
                <w:b/>
                <w:bCs/>
                <w:sz w:val="20"/>
                <w:szCs w:val="20"/>
                <w:lang w:eastAsia="en-US"/>
              </w:rPr>
              <w:lastRenderedPageBreak/>
              <w:t>6</w:t>
            </w:r>
          </w:p>
        </w:tc>
        <w:tc>
          <w:tcPr>
            <w:tcW w:w="2485" w:type="dxa"/>
            <w:tcBorders>
              <w:top w:val="single" w:sz="4" w:space="0" w:color="auto"/>
              <w:left w:val="single" w:sz="4" w:space="0" w:color="auto"/>
              <w:bottom w:val="single" w:sz="4" w:space="0" w:color="auto"/>
              <w:right w:val="single" w:sz="4" w:space="0" w:color="auto"/>
            </w:tcBorders>
          </w:tcPr>
          <w:p w:rsidR="00682F29" w:rsidRDefault="00682F29">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682F29" w:rsidRDefault="009D6D20">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C4769E">
            <w:pPr>
              <w:jc w:val="both"/>
              <w:rPr>
                <w:rFonts w:eastAsiaTheme="minorHAnsi"/>
                <w:b/>
                <w:sz w:val="20"/>
                <w:szCs w:val="20"/>
                <w:lang w:eastAsia="en-US"/>
              </w:rPr>
            </w:pPr>
          </w:p>
          <w:p w:rsidR="00C4769E" w:rsidRDefault="00C4769E" w:rsidP="00C4769E">
            <w:pPr>
              <w:jc w:val="both"/>
              <w:rPr>
                <w:rFonts w:eastAsiaTheme="minorHAnsi"/>
                <w:b/>
                <w:sz w:val="20"/>
                <w:szCs w:val="20"/>
                <w:lang w:eastAsia="en-US"/>
              </w:rPr>
            </w:pPr>
            <w:r w:rsidRPr="009D6D20">
              <w:rPr>
                <w:rFonts w:eastAsiaTheme="minorHAnsi"/>
                <w:b/>
                <w:sz w:val="20"/>
                <w:szCs w:val="20"/>
                <w:lang w:eastAsia="en-US"/>
              </w:rPr>
              <w:t>4) Strana 9 až 10, bod 2.3</w:t>
            </w:r>
          </w:p>
          <w:p w:rsidR="009D6D20" w:rsidRPr="009D6D20" w:rsidRDefault="009D6D20" w:rsidP="00C4769E">
            <w:pPr>
              <w:jc w:val="both"/>
              <w:rPr>
                <w:rFonts w:eastAsiaTheme="minorHAnsi"/>
                <w:b/>
                <w:sz w:val="20"/>
                <w:szCs w:val="20"/>
                <w:lang w:eastAsia="en-US"/>
              </w:rPr>
            </w:pPr>
          </w:p>
          <w:p w:rsidR="00C4769E" w:rsidRPr="009D6D20" w:rsidRDefault="00C4769E" w:rsidP="00C4769E">
            <w:pPr>
              <w:spacing w:after="120"/>
              <w:jc w:val="both"/>
              <w:rPr>
                <w:rFonts w:eastAsiaTheme="minorHAnsi"/>
                <w:sz w:val="20"/>
                <w:szCs w:val="20"/>
                <w:lang w:eastAsia="en-US"/>
              </w:rPr>
            </w:pPr>
            <w:r w:rsidRPr="009D6D20">
              <w:rPr>
                <w:rFonts w:eastAsiaTheme="minorHAnsi"/>
                <w:sz w:val="20"/>
                <w:szCs w:val="20"/>
                <w:lang w:eastAsia="en-US"/>
              </w:rPr>
              <w:t xml:space="preserve">K volbě monitorovací indikátoru NKÚ uvádí, že MMR jako řídící orgán IOP nezajistilo, aby byl v sadě indikátorů a výzvě vhodný monitorovací indikátor. Možnost MMR rozšířit soustavu sledovaných indikátorů, pokud to bude považováno za účelné, byla detailněji popsána již v kontrolním protokolu a kontrolním závěru z kontrolní akce č. 13/24. Vyjádření OSF MV jako zprostředkujícího subjektu k metodice výpočtu monitorovacího indikátoru projektu NIPEZ (resp. její schválení) v průběhu kontroly MMR nepředložilo. Metodika výpočtu monitorovacího indikátoru byla založena na úkonech v zadávacím řízení provedených elektronicky prostřednictvím NEN k celkovému počtu úkonů v daném zadávacím řízení. Testováním NEN k žádné realizaci zadávacích úkonů prostřednictvím NEN nedocházelo a MMR tak monitorovací indikátor nenaplnilo a ani naplnit nemohlo, jak je také podrobně uvedeno v kontrolním protokolu. </w:t>
            </w:r>
          </w:p>
          <w:p w:rsidR="00C4769E" w:rsidRPr="009D6D20" w:rsidRDefault="00C4769E" w:rsidP="00C4769E">
            <w:pPr>
              <w:spacing w:after="120"/>
              <w:jc w:val="both"/>
              <w:rPr>
                <w:rFonts w:eastAsiaTheme="minorHAnsi"/>
                <w:sz w:val="20"/>
                <w:szCs w:val="20"/>
                <w:lang w:eastAsia="en-US"/>
              </w:rPr>
            </w:pPr>
            <w:r w:rsidRPr="00742614">
              <w:rPr>
                <w:rFonts w:eastAsiaTheme="minorHAnsi"/>
                <w:sz w:val="20"/>
                <w:szCs w:val="20"/>
                <w:lang w:eastAsia="en-US"/>
              </w:rPr>
              <w:t>NKÚ uplatňuje připomínku ke stanovisku</w:t>
            </w:r>
            <w:r w:rsidRPr="009D6D20">
              <w:rPr>
                <w:rFonts w:eastAsia="Calibri"/>
                <w:sz w:val="20"/>
                <w:szCs w:val="20"/>
                <w:lang w:eastAsia="en-US"/>
              </w:rPr>
              <w:t xml:space="preserve"> ve věci naplnění monitorovacích indikátorů projektu IK NIPEZ. </w:t>
            </w:r>
            <w:r w:rsidRPr="009D6D20">
              <w:rPr>
                <w:rFonts w:eastAsiaTheme="minorHAnsi"/>
                <w:sz w:val="20"/>
                <w:szCs w:val="20"/>
                <w:lang w:eastAsia="en-US"/>
              </w:rPr>
              <w:t xml:space="preserve">U tohoto projektu byl monitorovací indikátor stanoven jednoznačně jako </w:t>
            </w:r>
            <w:r w:rsidRPr="009D6D20">
              <w:rPr>
                <w:rFonts w:eastAsiaTheme="minorHAnsi"/>
                <w:i/>
                <w:sz w:val="20"/>
                <w:szCs w:val="20"/>
                <w:lang w:eastAsia="en-US"/>
              </w:rPr>
              <w:t xml:space="preserve">„počet needitačních </w:t>
            </w:r>
            <w:proofErr w:type="spellStart"/>
            <w:r w:rsidRPr="009D6D20">
              <w:rPr>
                <w:rFonts w:eastAsiaTheme="minorHAnsi"/>
                <w:i/>
                <w:sz w:val="20"/>
                <w:szCs w:val="20"/>
                <w:lang w:eastAsia="en-US"/>
              </w:rPr>
              <w:t>agendových</w:t>
            </w:r>
            <w:proofErr w:type="spellEnd"/>
            <w:r w:rsidRPr="009D6D20">
              <w:rPr>
                <w:rFonts w:eastAsiaTheme="minorHAnsi"/>
                <w:i/>
                <w:sz w:val="20"/>
                <w:szCs w:val="20"/>
                <w:lang w:eastAsia="en-US"/>
              </w:rPr>
              <w:t xml:space="preserve"> informačních systémů napojených na základní registry“</w:t>
            </w:r>
            <w:r w:rsidRPr="009D6D20">
              <w:rPr>
                <w:rFonts w:eastAsiaTheme="minorHAnsi"/>
                <w:sz w:val="20"/>
                <w:szCs w:val="20"/>
                <w:lang w:eastAsia="en-US"/>
              </w:rPr>
              <w:t xml:space="preserve">. To, jakým způsobem přistoupilo MMR k technickému řešení ISVZ a jeho jednotlivých modulů, nemá vliv na zjištění, že Věstník veřejných zakázek není needitačním </w:t>
            </w:r>
            <w:proofErr w:type="spellStart"/>
            <w:r w:rsidRPr="009D6D20">
              <w:rPr>
                <w:rFonts w:eastAsiaTheme="minorHAnsi"/>
                <w:sz w:val="20"/>
                <w:szCs w:val="20"/>
                <w:lang w:eastAsia="en-US"/>
              </w:rPr>
              <w:t>agendovým</w:t>
            </w:r>
            <w:proofErr w:type="spellEnd"/>
            <w:r w:rsidRPr="009D6D20">
              <w:rPr>
                <w:rFonts w:eastAsiaTheme="minorHAnsi"/>
                <w:sz w:val="20"/>
                <w:szCs w:val="20"/>
                <w:lang w:eastAsia="en-US"/>
              </w:rPr>
              <w:t xml:space="preserve"> informačním systémem. Věstník veřejných zakázek je ze zákona č. 137/2006 Sb., o veřejných zakázkách pouze modulem ISVZ, čemuž odpovídají i informace v záznamech Informačního systému o informačních systémech veřejné správy a také odpovědi MMR poskytnuté v průběhu kontrolní akce. ISVZ byl navíc na základní registry napojen ještě před realizací projektu IK NIPEZ. NKÚ dále uvádí, že zprostředkující subjekt nebyl kontrolovanou osobou a NKÚ tak v kontrolní akci č. 15/10 jeho činnost nehodnotil.</w:t>
            </w:r>
          </w:p>
          <w:p w:rsidR="00C4769E" w:rsidRPr="009D6D20" w:rsidRDefault="00C4769E" w:rsidP="00C4769E">
            <w:pPr>
              <w:spacing w:after="120"/>
              <w:jc w:val="both"/>
              <w:rPr>
                <w:rFonts w:eastAsiaTheme="minorHAnsi"/>
                <w:sz w:val="20"/>
                <w:szCs w:val="20"/>
                <w:lang w:eastAsia="en-US"/>
              </w:rPr>
            </w:pPr>
            <w:r w:rsidRPr="009D6D20">
              <w:rPr>
                <w:rFonts w:eastAsiaTheme="minorHAnsi"/>
                <w:sz w:val="20"/>
                <w:szCs w:val="20"/>
                <w:lang w:eastAsia="en-US"/>
              </w:rPr>
              <w:t xml:space="preserve">NKÚ nerozporuje tvrzení MMR, že v Registru osob (ROS) nejsou registrovány všechny zadavatelské subjekty. Nicméně z celkového počtu povinných subjektů (veřejný zadavatel) nepředstavují početně významnou skupinu. MMR navíc nastavilo využívání IK NIPEZ tak, že se údaje nenačítají automaticky (i když by byla následně možná jejich editace, která </w:t>
            </w:r>
            <w:r w:rsidRPr="009D6D20">
              <w:rPr>
                <w:rFonts w:eastAsiaTheme="minorHAnsi"/>
                <w:sz w:val="20"/>
                <w:szCs w:val="20"/>
                <w:lang w:eastAsia="en-US"/>
              </w:rPr>
              <w:lastRenderedPageBreak/>
              <w:t xml:space="preserve">je dle MMR nezbytná) ale tak, že si zadavatel musí volbu načítání údajů nejprve aktivně zvolit. Tímto způsobem dochází ke snižování využití IK NIPEZ, která tak nemůže zcela plnit účel, za kterým byla vytvořena, tj. zajistit aktuální a jednotné informace o subjektech v dotčených systémech NIPEZ. </w:t>
            </w:r>
          </w:p>
          <w:p w:rsidR="00C4769E" w:rsidRPr="009D6D20" w:rsidRDefault="00C4769E" w:rsidP="00C4769E">
            <w:pPr>
              <w:spacing w:after="120"/>
              <w:jc w:val="both"/>
              <w:rPr>
                <w:rFonts w:eastAsiaTheme="minorHAnsi"/>
                <w:sz w:val="20"/>
                <w:szCs w:val="20"/>
                <w:lang w:eastAsia="en-US"/>
              </w:rPr>
            </w:pPr>
            <w:r w:rsidRPr="009D6D20">
              <w:rPr>
                <w:rFonts w:eastAsiaTheme="minorHAnsi"/>
                <w:sz w:val="20"/>
                <w:szCs w:val="20"/>
                <w:lang w:eastAsia="en-US"/>
              </w:rPr>
              <w:t>MMR nenavrhuje na základě těchto zjištění žádné opatření k nápravě</w:t>
            </w:r>
            <w:r w:rsidRPr="009D6D20">
              <w:rPr>
                <w:rFonts w:eastAsiaTheme="minorHAnsi"/>
                <w:b/>
                <w:sz w:val="20"/>
                <w:szCs w:val="20"/>
                <w:lang w:eastAsia="en-US"/>
              </w:rPr>
              <w:t>. NKÚ proto  navrhuje, aby MMR doplnilo do stanoviska u bodu 2.3nápravná opatření technickoorganizačního charakteru u IK NIPEZ</w:t>
            </w:r>
            <w:r w:rsidRPr="009D6D20">
              <w:rPr>
                <w:rFonts w:eastAsiaTheme="minorHAnsi"/>
                <w:sz w:val="20"/>
                <w:szCs w:val="20"/>
                <w:lang w:eastAsia="en-US"/>
              </w:rPr>
              <w:t xml:space="preserve">. </w:t>
            </w:r>
          </w:p>
          <w:p w:rsidR="00C4769E" w:rsidRPr="009D6D20" w:rsidRDefault="00C4769E" w:rsidP="00C4769E">
            <w:pPr>
              <w:spacing w:after="240"/>
              <w:jc w:val="both"/>
              <w:rPr>
                <w:rFonts w:eastAsiaTheme="minorHAnsi"/>
                <w:sz w:val="20"/>
                <w:szCs w:val="20"/>
                <w:lang w:eastAsia="en-US"/>
              </w:rPr>
            </w:pPr>
            <w:r w:rsidRPr="009D6D20">
              <w:rPr>
                <w:rFonts w:eastAsiaTheme="minorHAnsi"/>
                <w:sz w:val="20"/>
                <w:szCs w:val="20"/>
                <w:lang w:eastAsia="en-US"/>
              </w:rPr>
              <w:t>Zjištění týkající se monitorovacích indikátorů je spojeno s předchozím programovým obdobím a nedostatky tak nelze napravit.</w:t>
            </w:r>
          </w:p>
          <w:p w:rsidR="00682F29" w:rsidRDefault="00C4769E" w:rsidP="009D6D20">
            <w:pPr>
              <w:spacing w:after="240"/>
              <w:jc w:val="both"/>
              <w:rPr>
                <w:rFonts w:eastAsiaTheme="minorHAnsi"/>
                <w:sz w:val="20"/>
                <w:szCs w:val="20"/>
                <w:lang w:eastAsia="en-US"/>
              </w:rPr>
            </w:pPr>
            <w:r w:rsidRPr="009D6D20">
              <w:rPr>
                <w:rFonts w:eastAsiaTheme="minorHAnsi"/>
                <w:sz w:val="20"/>
                <w:szCs w:val="20"/>
                <w:lang w:eastAsia="en-US"/>
              </w:rPr>
              <w:t xml:space="preserve">NKÚ vyhodnotil, že při realizaci uvedených projektů k porušení rozpočtové kázně došlo a oznámil zjištěné skutečností správci daně. Vzhledem k tomu, že kontrolní závěru obsahuje formulaci „porušení rozpočtové kázně až do výše“ a konkrétní výši odvodu za porušení rozpočtové kázně stanovuje příslušný správce daně, </w:t>
            </w:r>
            <w:r w:rsidRPr="009D6D20">
              <w:rPr>
                <w:rFonts w:eastAsiaTheme="minorHAnsi"/>
                <w:b/>
                <w:sz w:val="20"/>
                <w:szCs w:val="20"/>
                <w:lang w:eastAsia="en-US"/>
              </w:rPr>
              <w:t>navrhuje NKÚ na straně 10 ve druhém odstavci stanoviska vypustit slova „ve výši 100%“</w:t>
            </w:r>
            <w:r w:rsidRPr="009D6D20">
              <w:rPr>
                <w:rFonts w:eastAsiaTheme="minorHAnsi"/>
                <w:sz w:val="20"/>
                <w:szCs w:val="20"/>
                <w:lang w:eastAsia="en-US"/>
              </w:rPr>
              <w:t>.</w:t>
            </w:r>
          </w:p>
          <w:p w:rsidR="009D6D20" w:rsidRPr="009D6D20" w:rsidRDefault="009D6D20" w:rsidP="009D6D20">
            <w:pPr>
              <w:spacing w:after="240"/>
              <w:jc w:val="both"/>
              <w:rPr>
                <w:rFonts w:eastAsiaTheme="minorHAnsi"/>
                <w:sz w:val="20"/>
                <w:szCs w:val="20"/>
                <w:lang w:eastAsia="en-US"/>
              </w:rPr>
            </w:pPr>
            <w:r w:rsidRPr="009D6D20">
              <w:rPr>
                <w:b/>
                <w:sz w:val="20"/>
                <w:szCs w:val="20"/>
                <w:lang w:eastAsia="en-US"/>
              </w:rPr>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682F29" w:rsidRPr="00742614" w:rsidRDefault="00676670">
            <w:pPr>
              <w:spacing w:before="120" w:after="120" w:line="276" w:lineRule="auto"/>
              <w:jc w:val="both"/>
              <w:rPr>
                <w:b/>
                <w:sz w:val="20"/>
                <w:szCs w:val="20"/>
                <w:lang w:eastAsia="en-US"/>
              </w:rPr>
            </w:pPr>
            <w:r w:rsidRPr="00742614">
              <w:rPr>
                <w:b/>
                <w:sz w:val="20"/>
                <w:szCs w:val="20"/>
                <w:lang w:eastAsia="en-US"/>
              </w:rPr>
              <w:lastRenderedPageBreak/>
              <w:t>Akceptováno částečně</w:t>
            </w:r>
          </w:p>
          <w:p w:rsidR="00515B67" w:rsidRDefault="00515B67" w:rsidP="00515B67">
            <w:pPr>
              <w:spacing w:before="120" w:after="120" w:line="276" w:lineRule="auto"/>
              <w:jc w:val="both"/>
              <w:rPr>
                <w:sz w:val="20"/>
                <w:szCs w:val="20"/>
                <w:lang w:eastAsia="en-US"/>
              </w:rPr>
            </w:pPr>
          </w:p>
          <w:p w:rsidR="00515B67" w:rsidRDefault="00515B67" w:rsidP="00515B67">
            <w:pPr>
              <w:spacing w:before="120" w:after="120" w:line="276" w:lineRule="auto"/>
              <w:jc w:val="both"/>
              <w:rPr>
                <w:sz w:val="20"/>
                <w:szCs w:val="20"/>
                <w:lang w:eastAsia="en-US"/>
              </w:rPr>
            </w:pPr>
            <w:r>
              <w:rPr>
                <w:sz w:val="20"/>
                <w:szCs w:val="20"/>
                <w:lang w:eastAsia="en-US"/>
              </w:rPr>
              <w:t>Podle nového ZZVZ bude ve VVZ povinná registrace, kdy se budou údaje z ROS/ROB dotahovat. Tato data budou automaticky vyplněna do formuláře.</w:t>
            </w: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515B67" w:rsidRDefault="00515B67">
            <w:pPr>
              <w:spacing w:before="120" w:after="120" w:line="276" w:lineRule="auto"/>
              <w:jc w:val="both"/>
              <w:rPr>
                <w:sz w:val="20"/>
                <w:szCs w:val="20"/>
                <w:lang w:eastAsia="en-US"/>
              </w:rPr>
            </w:pPr>
          </w:p>
          <w:p w:rsidR="00676670" w:rsidRPr="003E58ED" w:rsidRDefault="003E58ED" w:rsidP="007D6E34">
            <w:pPr>
              <w:spacing w:before="120" w:after="120" w:line="276" w:lineRule="auto"/>
              <w:jc w:val="both"/>
              <w:rPr>
                <w:color w:val="E36C0A" w:themeColor="accent6" w:themeShade="BF"/>
                <w:sz w:val="20"/>
                <w:szCs w:val="20"/>
                <w:lang w:eastAsia="en-US"/>
              </w:rPr>
            </w:pPr>
            <w:r w:rsidRPr="00742614">
              <w:rPr>
                <w:sz w:val="20"/>
                <w:szCs w:val="20"/>
                <w:lang w:eastAsia="en-US"/>
              </w:rPr>
              <w:t xml:space="preserve">Str. 10, druhý odstavec: </w:t>
            </w:r>
            <w:r w:rsidR="007D6E34">
              <w:rPr>
                <w:sz w:val="20"/>
                <w:szCs w:val="20"/>
                <w:lang w:eastAsia="en-US"/>
              </w:rPr>
              <w:t>Slova „ve výši 100%</w:t>
            </w:r>
            <w:r w:rsidR="00444160">
              <w:rPr>
                <w:sz w:val="20"/>
                <w:szCs w:val="20"/>
                <w:lang w:eastAsia="en-US"/>
              </w:rPr>
              <w:t>“</w:t>
            </w:r>
            <w:r w:rsidR="007D6E34">
              <w:rPr>
                <w:sz w:val="20"/>
                <w:szCs w:val="20"/>
                <w:lang w:eastAsia="en-US"/>
              </w:rPr>
              <w:t xml:space="preserve"> vypuštěna.</w:t>
            </w:r>
          </w:p>
        </w:tc>
      </w:tr>
      <w:tr w:rsidR="00682F29" w:rsidTr="00523BE3">
        <w:tc>
          <w:tcPr>
            <w:tcW w:w="682" w:type="dxa"/>
            <w:tcBorders>
              <w:top w:val="single" w:sz="4" w:space="0" w:color="auto"/>
              <w:left w:val="single" w:sz="4" w:space="0" w:color="auto"/>
              <w:bottom w:val="single" w:sz="4" w:space="0" w:color="auto"/>
              <w:right w:val="single" w:sz="4" w:space="0" w:color="auto"/>
            </w:tcBorders>
            <w:hideMark/>
          </w:tcPr>
          <w:p w:rsidR="00682F29" w:rsidRDefault="00C4769E">
            <w:pPr>
              <w:spacing w:before="120" w:after="120" w:line="276" w:lineRule="auto"/>
              <w:rPr>
                <w:b/>
                <w:bCs/>
                <w:sz w:val="20"/>
                <w:szCs w:val="20"/>
                <w:lang w:eastAsia="en-US"/>
              </w:rPr>
            </w:pPr>
            <w:r>
              <w:rPr>
                <w:b/>
                <w:bCs/>
                <w:sz w:val="20"/>
                <w:szCs w:val="20"/>
                <w:lang w:eastAsia="en-US"/>
              </w:rPr>
              <w:lastRenderedPageBreak/>
              <w:t>7</w:t>
            </w:r>
          </w:p>
        </w:tc>
        <w:tc>
          <w:tcPr>
            <w:tcW w:w="2485" w:type="dxa"/>
            <w:tcBorders>
              <w:top w:val="single" w:sz="4" w:space="0" w:color="auto"/>
              <w:left w:val="single" w:sz="4" w:space="0" w:color="auto"/>
              <w:bottom w:val="single" w:sz="4" w:space="0" w:color="auto"/>
              <w:right w:val="single" w:sz="4" w:space="0" w:color="auto"/>
            </w:tcBorders>
          </w:tcPr>
          <w:p w:rsidR="00682F29" w:rsidRDefault="00682F29">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682F29" w:rsidRDefault="00C4769E">
            <w:pPr>
              <w:spacing w:before="120" w:after="120" w:line="276" w:lineRule="auto"/>
              <w:jc w:val="center"/>
              <w:rPr>
                <w:sz w:val="20"/>
                <w:szCs w:val="20"/>
                <w:lang w:eastAsia="en-US"/>
              </w:rPr>
            </w:pPr>
            <w:r>
              <w:rPr>
                <w:sz w:val="20"/>
                <w:szCs w:val="20"/>
                <w:lang w:eastAsia="en-US"/>
              </w:rPr>
              <w:t>Z</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C4769E">
            <w:pPr>
              <w:spacing w:after="120"/>
              <w:jc w:val="both"/>
              <w:rPr>
                <w:rFonts w:eastAsiaTheme="minorHAnsi"/>
                <w:b/>
                <w:sz w:val="20"/>
                <w:szCs w:val="20"/>
                <w:lang w:eastAsia="en-US"/>
              </w:rPr>
            </w:pPr>
          </w:p>
          <w:p w:rsidR="00C4769E" w:rsidRPr="009D6D20" w:rsidRDefault="009D6D20" w:rsidP="00C4769E">
            <w:pPr>
              <w:spacing w:after="120"/>
              <w:jc w:val="both"/>
              <w:rPr>
                <w:rFonts w:eastAsiaTheme="minorHAnsi"/>
                <w:sz w:val="20"/>
                <w:szCs w:val="20"/>
                <w:lang w:eastAsia="en-US"/>
              </w:rPr>
            </w:pPr>
            <w:proofErr w:type="gramStart"/>
            <w:r>
              <w:rPr>
                <w:rFonts w:eastAsiaTheme="minorHAnsi"/>
                <w:b/>
                <w:sz w:val="20"/>
                <w:szCs w:val="20"/>
                <w:lang w:eastAsia="en-US"/>
              </w:rPr>
              <w:t xml:space="preserve">5)  </w:t>
            </w:r>
            <w:r w:rsidR="00C4769E" w:rsidRPr="009D6D20">
              <w:rPr>
                <w:rFonts w:eastAsiaTheme="minorHAnsi"/>
                <w:b/>
                <w:sz w:val="20"/>
                <w:szCs w:val="20"/>
                <w:lang w:eastAsia="en-US"/>
              </w:rPr>
              <w:t>Strana</w:t>
            </w:r>
            <w:proofErr w:type="gramEnd"/>
            <w:r w:rsidR="00C4769E" w:rsidRPr="009D6D20">
              <w:rPr>
                <w:rFonts w:eastAsiaTheme="minorHAnsi"/>
                <w:b/>
                <w:sz w:val="20"/>
                <w:szCs w:val="20"/>
                <w:lang w:eastAsia="en-US"/>
              </w:rPr>
              <w:t xml:space="preserve"> 10 až 13, bod 2.4</w:t>
            </w:r>
          </w:p>
          <w:p w:rsidR="00C4769E" w:rsidRPr="009D6D20" w:rsidRDefault="00C4769E" w:rsidP="00C4769E">
            <w:pPr>
              <w:spacing w:after="120"/>
              <w:jc w:val="both"/>
              <w:rPr>
                <w:rFonts w:eastAsiaTheme="minorHAnsi"/>
                <w:b/>
                <w:sz w:val="20"/>
                <w:szCs w:val="20"/>
                <w:lang w:eastAsia="en-US"/>
              </w:rPr>
            </w:pPr>
            <w:r w:rsidRPr="009D6D20">
              <w:rPr>
                <w:rFonts w:eastAsiaTheme="minorHAnsi"/>
                <w:sz w:val="20"/>
                <w:szCs w:val="20"/>
                <w:lang w:eastAsia="en-US"/>
              </w:rPr>
              <w:t>Předpokládaná hodnota veřejné zakázky na vývoj NEN sestávala ze dvou částí: 171 925 000 Kč bez DPH bez opčního práva a ve výši 223 502 000 Kč bez DPH se započtením opčního práva. MMR ve stanovisku sice popisuje postup, jakým stanovilo předpokládanou hodnotu veřejné zakázky, ale bez uvedeného opčního práva, ke kterému směřuje zjištění NKÚ. Hodnotu opčního práva MMR nestanovilo na základě údajů a informací o zakázkách stejného či podobného předmětu plnění, průzkumem trhu s požadovaným plněním ani jiným vhodným způsobem.</w:t>
            </w:r>
            <w:r w:rsidRPr="009D6D20">
              <w:rPr>
                <w:rFonts w:eastAsiaTheme="minorHAnsi"/>
                <w:b/>
                <w:sz w:val="20"/>
                <w:szCs w:val="20"/>
                <w:lang w:eastAsia="en-US"/>
              </w:rPr>
              <w:t xml:space="preserve"> </w:t>
            </w:r>
            <w:r w:rsidRPr="009D6D20">
              <w:rPr>
                <w:rFonts w:eastAsiaTheme="minorHAnsi"/>
                <w:sz w:val="20"/>
                <w:szCs w:val="20"/>
                <w:lang w:eastAsia="en-US"/>
              </w:rPr>
              <w:t>MMR tak</w:t>
            </w:r>
            <w:r w:rsidRPr="009D6D20">
              <w:rPr>
                <w:rFonts w:eastAsiaTheme="minorHAnsi"/>
                <w:b/>
                <w:sz w:val="20"/>
                <w:szCs w:val="20"/>
                <w:lang w:eastAsia="en-US"/>
              </w:rPr>
              <w:t xml:space="preserve"> </w:t>
            </w:r>
            <w:r w:rsidRPr="009D6D20">
              <w:rPr>
                <w:rFonts w:eastAsiaTheme="minorHAnsi"/>
                <w:sz w:val="20"/>
                <w:szCs w:val="20"/>
                <w:lang w:eastAsia="en-US"/>
              </w:rPr>
              <w:t>porušilo ustanovení § 13 odst. 2 a odst. 6 zákona č. 137/2006 Sb., o veřejných zakázkách.</w:t>
            </w:r>
          </w:p>
          <w:p w:rsidR="00C4769E" w:rsidRPr="009D6D20" w:rsidRDefault="00C4769E" w:rsidP="00C4769E">
            <w:pPr>
              <w:spacing w:after="120"/>
              <w:jc w:val="both"/>
              <w:rPr>
                <w:rFonts w:eastAsiaTheme="minorHAnsi"/>
                <w:bCs/>
                <w:sz w:val="20"/>
                <w:szCs w:val="20"/>
                <w:lang w:eastAsia="en-US"/>
              </w:rPr>
            </w:pPr>
            <w:r w:rsidRPr="009D6D20">
              <w:rPr>
                <w:rFonts w:eastAsiaTheme="minorHAnsi"/>
                <w:sz w:val="20"/>
                <w:szCs w:val="20"/>
                <w:lang w:eastAsia="en-US"/>
              </w:rPr>
              <w:t xml:space="preserve">NKÚ dále uplatňuje připomínku k tvrzení MMR, že v rámci hodnocení nabídek veřejné zakázky na vývoj NEN byla dodržena zásada transparentnosti. Zásada transparentnosti nespočívá pouze v nastavení postupu pro stanovení pořadí uchazečů, ale spočívá především </w:t>
            </w:r>
            <w:r w:rsidRPr="009D6D20">
              <w:rPr>
                <w:rFonts w:eastAsiaTheme="minorHAnsi"/>
                <w:sz w:val="20"/>
                <w:szCs w:val="20"/>
                <w:lang w:eastAsia="en-US"/>
              </w:rPr>
              <w:lastRenderedPageBreak/>
              <w:t xml:space="preserve">v samotném hodnocení hodnotící komise. NKÚ popsal a vyhodnotil, že hodnocení nabídek nebylo objektivní a zpětně přezkoumatelné. Jak je podrobněji uvedeno v kontrolním protokolu, hodnotící komise u každé z hodnocených nabídek nehodnotila veškeré aspekty kvalitativního kritéria, které měla dle zadávací dokumentace hodnotit, a výběrovým způsobem se </w:t>
            </w:r>
            <w:r w:rsidRPr="009D6D20">
              <w:rPr>
                <w:rFonts w:eastAsiaTheme="minorHAnsi"/>
                <w:bCs/>
                <w:sz w:val="20"/>
                <w:szCs w:val="20"/>
                <w:lang w:eastAsia="en-US"/>
              </w:rPr>
              <w:t xml:space="preserve">vyjadřovala jen k některým. </w:t>
            </w:r>
          </w:p>
          <w:p w:rsidR="00C4769E" w:rsidRPr="009D6D20" w:rsidRDefault="00C4769E" w:rsidP="00C4769E">
            <w:pPr>
              <w:autoSpaceDE w:val="0"/>
              <w:autoSpaceDN w:val="0"/>
              <w:adjustRightInd w:val="0"/>
              <w:spacing w:after="120"/>
              <w:jc w:val="both"/>
              <w:rPr>
                <w:rFonts w:eastAsiaTheme="minorHAnsi"/>
                <w:sz w:val="20"/>
                <w:szCs w:val="20"/>
                <w:lang w:eastAsia="en-US"/>
              </w:rPr>
            </w:pPr>
            <w:r w:rsidRPr="009D6D20">
              <w:rPr>
                <w:rFonts w:eastAsiaTheme="minorHAnsi"/>
                <w:sz w:val="20"/>
                <w:szCs w:val="20"/>
                <w:lang w:eastAsia="en-US"/>
              </w:rPr>
              <w:t xml:space="preserve">NKÚ dále uplatňuje </w:t>
            </w:r>
            <w:r w:rsidRPr="009D6D20">
              <w:rPr>
                <w:rFonts w:eastAsiaTheme="minorHAnsi"/>
                <w:b/>
                <w:sz w:val="20"/>
                <w:szCs w:val="20"/>
                <w:lang w:eastAsia="en-US"/>
              </w:rPr>
              <w:t>zásadní připomínku k tvrzení</w:t>
            </w:r>
            <w:r w:rsidRPr="009D6D20">
              <w:rPr>
                <w:rFonts w:eastAsiaTheme="minorHAnsi"/>
                <w:sz w:val="20"/>
                <w:szCs w:val="20"/>
                <w:lang w:eastAsia="en-US"/>
              </w:rPr>
              <w:t xml:space="preserve"> </w:t>
            </w:r>
            <w:r w:rsidRPr="009D6D20">
              <w:rPr>
                <w:rFonts w:eastAsiaTheme="minorHAnsi"/>
                <w:b/>
                <w:sz w:val="20"/>
                <w:szCs w:val="20"/>
                <w:lang w:eastAsia="en-US"/>
              </w:rPr>
              <w:t>MMR</w:t>
            </w:r>
            <w:r w:rsidRPr="009D6D20">
              <w:rPr>
                <w:rFonts w:eastAsiaTheme="minorHAnsi"/>
                <w:sz w:val="20"/>
                <w:szCs w:val="20"/>
                <w:lang w:eastAsia="en-US"/>
              </w:rPr>
              <w:t>, že nedošlo při vývoji NEN k podstatné změně smlouvy. Tvrzení MMR, že dodavatel nemohl celou dobu plnit předmět veřejné zakázky, jelikož neměl k dispozici aktualizovanou technickou specifikaci, je v přímém rozporu se skutečnostmi zjištěnými při kontrolní akci popsanými v kontrolním protokolu. Smlouva na vývoj NEN byla uzavřena dne 20. 4. 2012 s dobou plnění do 31. 12. 2012. Doba plnění byla následně dodatky prodloužena až do 31. 3. 2014, čímž došlo k podstatné změně práv a povinností vyplývajících ze smlouvy. Dodavatel použil při realizaci NEN odlišnou technologii</w:t>
            </w:r>
            <w:r w:rsidRPr="009D6D20">
              <w:rPr>
                <w:rFonts w:eastAsiaTheme="minorHAnsi"/>
                <w:sz w:val="20"/>
                <w:szCs w:val="20"/>
              </w:rPr>
              <w:t xml:space="preserve"> (platforma Microsoft)</w:t>
            </w:r>
            <w:r w:rsidRPr="009D6D20">
              <w:rPr>
                <w:rFonts w:eastAsiaTheme="minorHAnsi"/>
                <w:sz w:val="20"/>
                <w:szCs w:val="20"/>
                <w:lang w:eastAsia="en-US"/>
              </w:rPr>
              <w:t>, než byla uvedena v jeho nabídce (</w:t>
            </w:r>
            <w:r w:rsidRPr="009D6D20">
              <w:rPr>
                <w:rFonts w:eastAsiaTheme="minorHAnsi"/>
                <w:sz w:val="20"/>
                <w:szCs w:val="20"/>
              </w:rPr>
              <w:t xml:space="preserve">platforma IBM). Z porovnání dodavatelem nabízeného a skutečně dodaného řešení, které je podrobněji popsáno v kontrolním protokolu, vyplývá, že </w:t>
            </w:r>
            <w:r w:rsidRPr="009D6D20">
              <w:rPr>
                <w:rFonts w:eastAsiaTheme="minorHAnsi"/>
                <w:sz w:val="20"/>
                <w:szCs w:val="20"/>
                <w:lang w:eastAsia="en-US"/>
              </w:rPr>
              <w:t>z původního řešení byla zachována pouze část sloužící ke správě dokumentů. Uvedené změny harmonogramu, předmětu díla, celkové ceně a další měly za následek podstatnou změnu práv a povinností vyplývajících ze smlouvy. NKÚ vyhodnotil, že tyto podstatné změny mohly podstatně ovlivnit účast uchazečů v zadávacím řízení. Výsledné dodané řešení nevzešlo z hodnocení nabídek předložených uchazeči. Tvrzení, že dodavatel na vlastní náklady rozšířil předmět dodávky o produkty Microsoft, které nebyly předmětem původního řešení, shledává NKÚ jako čistě účelové v souvislosti se zjištěným porušením zákona č. 137/2006 Sb., o veřejných zakázkách. NKÚ neposuzoval, zda došlo ke zlepšení či zhoršení kvality předávaného plnění.</w:t>
            </w:r>
          </w:p>
          <w:p w:rsidR="00C4769E" w:rsidRPr="009D6D20" w:rsidRDefault="00C4769E" w:rsidP="00C4769E">
            <w:pPr>
              <w:autoSpaceDE w:val="0"/>
              <w:autoSpaceDN w:val="0"/>
              <w:adjustRightInd w:val="0"/>
              <w:spacing w:after="120"/>
              <w:jc w:val="both"/>
              <w:rPr>
                <w:rFonts w:eastAsiaTheme="minorHAnsi"/>
                <w:b/>
                <w:sz w:val="20"/>
                <w:szCs w:val="20"/>
                <w:lang w:eastAsia="en-US"/>
              </w:rPr>
            </w:pPr>
            <w:r w:rsidRPr="009D6D20">
              <w:rPr>
                <w:rFonts w:eastAsiaTheme="minorHAnsi"/>
                <w:b/>
                <w:sz w:val="20"/>
                <w:szCs w:val="20"/>
                <w:lang w:eastAsia="en-US"/>
              </w:rPr>
              <w:t xml:space="preserve">NKÚ navrhuje, aby MMR vypustilo ve stanovisku na straně 12 odstavec první až třetí ve znění: </w:t>
            </w:r>
          </w:p>
          <w:p w:rsidR="00C4769E" w:rsidRPr="009D6D20" w:rsidRDefault="00C4769E" w:rsidP="00C4769E">
            <w:pPr>
              <w:autoSpaceDE w:val="0"/>
              <w:autoSpaceDN w:val="0"/>
              <w:adjustRightInd w:val="0"/>
              <w:spacing w:after="120"/>
              <w:jc w:val="both"/>
              <w:rPr>
                <w:rFonts w:eastAsiaTheme="minorHAnsi"/>
                <w:i/>
                <w:sz w:val="20"/>
                <w:szCs w:val="20"/>
                <w:lang w:eastAsia="en-US"/>
              </w:rPr>
            </w:pPr>
            <w:r w:rsidRPr="009D6D20">
              <w:rPr>
                <w:rFonts w:eastAsiaTheme="minorHAnsi"/>
                <w:i/>
                <w:sz w:val="20"/>
                <w:szCs w:val="20"/>
                <w:lang w:eastAsia="en-US"/>
              </w:rPr>
              <w:t>„K nálezu NKÚ: Podstatná změna smlouvy prostřednictvím prodloužení doby na dodání NEN</w:t>
            </w:r>
          </w:p>
          <w:p w:rsidR="00C4769E" w:rsidRPr="009D6D20" w:rsidRDefault="00C4769E" w:rsidP="00C4769E">
            <w:pPr>
              <w:autoSpaceDE w:val="0"/>
              <w:autoSpaceDN w:val="0"/>
              <w:adjustRightInd w:val="0"/>
              <w:spacing w:after="120"/>
              <w:jc w:val="both"/>
              <w:rPr>
                <w:rFonts w:eastAsiaTheme="minorHAnsi"/>
                <w:i/>
                <w:sz w:val="20"/>
                <w:szCs w:val="20"/>
                <w:lang w:eastAsia="en-US"/>
              </w:rPr>
            </w:pPr>
            <w:r w:rsidRPr="009D6D20">
              <w:rPr>
                <w:rFonts w:eastAsiaTheme="minorHAnsi"/>
                <w:i/>
                <w:sz w:val="20"/>
                <w:szCs w:val="20"/>
                <w:lang w:eastAsia="en-US"/>
              </w:rPr>
              <w:t xml:space="preserve">MMR se neztotožňuje se závěrem NKÚ k podstatné změně smlouvy. Je pravdou, že dodavatel měl s plněním předmětu veřejné zakázky problémy, a proto MMR dokonce uložilo dodavateli smluvní pokuty ve výši více než 2 mil. Kč, hlavní důvody zpoždění však byly změny v legislativě a z toho </w:t>
            </w:r>
            <w:r w:rsidRPr="009D6D20">
              <w:rPr>
                <w:rFonts w:eastAsiaTheme="minorHAnsi"/>
                <w:i/>
                <w:sz w:val="20"/>
                <w:szCs w:val="20"/>
                <w:lang w:eastAsia="en-US"/>
              </w:rPr>
              <w:lastRenderedPageBreak/>
              <w:t xml:space="preserve">vyplývající nezbytné úpravy technické specifikace. Dodavatel nemohl po celou dobu smlouvy plnit předmět veřejné zakázky, jelikož po určitou dobu neměl k dispozici aktualizovanou technickou specifikaci NEN. Z toho důvodu bylo přistupováno k prodloužení lhůty pro dodání plnění. </w:t>
            </w:r>
          </w:p>
          <w:p w:rsidR="00C4769E" w:rsidRPr="009D6D20" w:rsidRDefault="00C4769E" w:rsidP="00C4769E">
            <w:pPr>
              <w:autoSpaceDE w:val="0"/>
              <w:autoSpaceDN w:val="0"/>
              <w:adjustRightInd w:val="0"/>
              <w:spacing w:after="120"/>
              <w:jc w:val="both"/>
              <w:rPr>
                <w:rFonts w:eastAsiaTheme="minorHAnsi"/>
                <w:i/>
                <w:sz w:val="20"/>
                <w:szCs w:val="20"/>
                <w:lang w:eastAsia="en-US"/>
              </w:rPr>
            </w:pPr>
            <w:r w:rsidRPr="009D6D20">
              <w:rPr>
                <w:rFonts w:eastAsiaTheme="minorHAnsi"/>
                <w:i/>
                <w:sz w:val="20"/>
                <w:szCs w:val="20"/>
                <w:lang w:eastAsia="en-US"/>
              </w:rPr>
              <w:t>K nálezu NKÚ: Podstatná změna smlouvy v podobě dodání jiného plnění než bylo stanoveno ve smlouvě, což mohlo mít vliv na výběr nejvhodnější nabídky</w:t>
            </w:r>
          </w:p>
          <w:p w:rsidR="00C4769E" w:rsidRPr="009D6D20" w:rsidRDefault="00C4769E" w:rsidP="00C4769E">
            <w:pPr>
              <w:autoSpaceDE w:val="0"/>
              <w:autoSpaceDN w:val="0"/>
              <w:adjustRightInd w:val="0"/>
              <w:spacing w:after="120"/>
              <w:jc w:val="both"/>
              <w:rPr>
                <w:rFonts w:eastAsiaTheme="minorHAnsi"/>
                <w:i/>
                <w:sz w:val="20"/>
                <w:szCs w:val="20"/>
                <w:lang w:eastAsia="en-US"/>
              </w:rPr>
            </w:pPr>
            <w:r w:rsidRPr="009D6D20">
              <w:rPr>
                <w:rFonts w:eastAsiaTheme="minorHAnsi"/>
                <w:i/>
                <w:sz w:val="20"/>
                <w:szCs w:val="20"/>
                <w:lang w:eastAsia="en-US"/>
              </w:rPr>
              <w:t xml:space="preserve">MMR se neztotožňuje se závěrem NKÚ. Dodavatel dodal vše, co bylo uvedeno v nabídce a zároveň na vlastní náklady rozšířil portfolio produktů využívaných v NEN. MMR si nechalo zpracovat několik odborných posudků na realizované rozšíření architektury NEN (např. Ing. Ondřejem Felixem, CSc., společností APOGEO </w:t>
            </w:r>
            <w:proofErr w:type="spellStart"/>
            <w:r w:rsidRPr="009D6D20">
              <w:rPr>
                <w:rFonts w:eastAsiaTheme="minorHAnsi"/>
                <w:i/>
                <w:sz w:val="20"/>
                <w:szCs w:val="20"/>
                <w:lang w:eastAsia="en-US"/>
              </w:rPr>
              <w:t>Esteem</w:t>
            </w:r>
            <w:proofErr w:type="spellEnd"/>
            <w:r w:rsidRPr="009D6D20">
              <w:rPr>
                <w:rFonts w:eastAsiaTheme="minorHAnsi"/>
                <w:i/>
                <w:sz w:val="20"/>
                <w:szCs w:val="20"/>
                <w:lang w:eastAsia="en-US"/>
              </w:rPr>
              <w:t>, a.s.), přičemž žádný z těchto posudků nekonstatoval, že by došlo k pochybení či zhoršení kvality předávaného plnění.</w:t>
            </w:r>
          </w:p>
          <w:p w:rsidR="00C4769E" w:rsidRPr="009D6D20" w:rsidRDefault="00C4769E" w:rsidP="00C4769E">
            <w:pPr>
              <w:autoSpaceDE w:val="0"/>
              <w:autoSpaceDN w:val="0"/>
              <w:adjustRightInd w:val="0"/>
              <w:spacing w:after="120"/>
              <w:jc w:val="both"/>
              <w:rPr>
                <w:rFonts w:eastAsiaTheme="minorHAnsi"/>
                <w:sz w:val="20"/>
                <w:szCs w:val="20"/>
                <w:lang w:eastAsia="en-US"/>
              </w:rPr>
            </w:pPr>
            <w:r w:rsidRPr="009D6D20">
              <w:rPr>
                <w:rFonts w:eastAsiaTheme="minorHAnsi"/>
                <w:i/>
                <w:sz w:val="20"/>
                <w:szCs w:val="20"/>
                <w:lang w:eastAsia="en-US"/>
              </w:rPr>
              <w:t>Z pohledu MMR tak nedošlo k takové změně smlouvy, která by měla vliv na výběr nejvhodnější nabídky.“</w:t>
            </w:r>
          </w:p>
          <w:p w:rsidR="00C4769E" w:rsidRPr="009D6D20" w:rsidRDefault="00C4769E" w:rsidP="00C4769E">
            <w:pPr>
              <w:spacing w:after="120"/>
              <w:jc w:val="both"/>
              <w:rPr>
                <w:rFonts w:eastAsiaTheme="minorHAnsi"/>
                <w:b/>
                <w:sz w:val="20"/>
                <w:szCs w:val="20"/>
                <w:lang w:eastAsia="en-US"/>
              </w:rPr>
            </w:pPr>
            <w:r w:rsidRPr="002E5AB6">
              <w:rPr>
                <w:rFonts w:eastAsiaTheme="minorHAnsi"/>
                <w:b/>
                <w:sz w:val="20"/>
                <w:szCs w:val="20"/>
                <w:lang w:eastAsia="en-US"/>
              </w:rPr>
              <w:t>Tato připomínka je zásadní</w:t>
            </w:r>
          </w:p>
          <w:p w:rsidR="00C4769E" w:rsidRPr="009D6D20" w:rsidRDefault="00C4769E" w:rsidP="00C4769E">
            <w:pPr>
              <w:spacing w:after="120"/>
              <w:jc w:val="both"/>
              <w:rPr>
                <w:rFonts w:eastAsiaTheme="minorHAnsi"/>
                <w:sz w:val="20"/>
                <w:szCs w:val="20"/>
                <w:lang w:eastAsia="en-US"/>
              </w:rPr>
            </w:pPr>
          </w:p>
          <w:p w:rsidR="00C4769E" w:rsidRPr="009D6D20" w:rsidRDefault="00C4769E" w:rsidP="00C4769E">
            <w:pPr>
              <w:spacing w:after="120"/>
              <w:jc w:val="both"/>
              <w:rPr>
                <w:rFonts w:eastAsia="Calibri"/>
                <w:sz w:val="20"/>
                <w:szCs w:val="20"/>
                <w:lang w:eastAsia="en-US"/>
              </w:rPr>
            </w:pPr>
            <w:r w:rsidRPr="009D6D20">
              <w:rPr>
                <w:rFonts w:eastAsiaTheme="minorHAnsi"/>
                <w:sz w:val="20"/>
                <w:szCs w:val="20"/>
                <w:lang w:eastAsia="en-US"/>
              </w:rPr>
              <w:t>NKÚ uplatňuje připomínku ke stanovisku</w:t>
            </w:r>
            <w:r w:rsidRPr="009D6D20">
              <w:rPr>
                <w:rFonts w:eastAsia="Calibri"/>
                <w:sz w:val="20"/>
                <w:szCs w:val="20"/>
                <w:lang w:eastAsia="en-US"/>
              </w:rPr>
              <w:t xml:space="preserve"> v souvislosti se zadáním JŘBÚ. Předmětem VZ </w:t>
            </w:r>
            <w:r w:rsidRPr="009D6D20">
              <w:rPr>
                <w:rFonts w:eastAsia="Calibri"/>
                <w:i/>
                <w:sz w:val="20"/>
                <w:szCs w:val="20"/>
                <w:lang w:eastAsia="en-US"/>
              </w:rPr>
              <w:t>„Implementace změn plynoucích z aktuálních úprav TS“</w:t>
            </w:r>
            <w:r w:rsidRPr="009D6D20">
              <w:rPr>
                <w:rFonts w:eastAsia="Calibri"/>
                <w:sz w:val="20"/>
                <w:szCs w:val="20"/>
                <w:lang w:eastAsia="en-US"/>
              </w:rPr>
              <w:t xml:space="preserve"> bylo dle předložené dokumentace promítnutí změn vyvolaných nejen přijetím zákona č. 341/2013 Sb. (tzv. technická novela), jak uvádí MMR ve stanovisku, ale především zákona č. 55/2012 Sb. do softwarové realizace NEN a souvisejících činností tak, aby bylo předávané dílo v době předání v souladu s platnou legislativou. Tvrzení MMR, že novela z roku 2012 byla dodavatelem implementována bez nároku na finanční odměnu, je v přímém rozporu se zjištěnými skutečnostmi podrobně popsanými v kontrolním protokolu. </w:t>
            </w:r>
          </w:p>
          <w:p w:rsidR="00C4769E" w:rsidRPr="009D6D20" w:rsidRDefault="00C4769E" w:rsidP="00C4769E">
            <w:pPr>
              <w:spacing w:after="240"/>
              <w:jc w:val="both"/>
              <w:rPr>
                <w:rFonts w:eastAsiaTheme="minorHAnsi"/>
                <w:sz w:val="20"/>
                <w:szCs w:val="20"/>
                <w:lang w:eastAsia="en-US"/>
              </w:rPr>
            </w:pPr>
            <w:r w:rsidRPr="009D6D20">
              <w:rPr>
                <w:rFonts w:eastAsiaTheme="minorHAnsi"/>
                <w:sz w:val="20"/>
                <w:szCs w:val="20"/>
                <w:lang w:eastAsia="en-US"/>
              </w:rPr>
              <w:t xml:space="preserve">NKÚ uplatňuje připomínku ke stanovisku v souvislosti s údaji ve VVZ a ISVZ, které nejsou kompletní a existují rozdíly. NKÚ souhlasí s tvrzením, že zadavatel nese plnou zodpovědnost za kompletnost a přesnost uveřejněných dat. Nicméně MMR mohlo při vývoji </w:t>
            </w:r>
            <w:proofErr w:type="spellStart"/>
            <w:r w:rsidRPr="009D6D20">
              <w:rPr>
                <w:rFonts w:eastAsiaTheme="minorHAnsi"/>
                <w:sz w:val="20"/>
                <w:szCs w:val="20"/>
                <w:lang w:eastAsia="en-US"/>
              </w:rPr>
              <w:t>uveřejňovacího</w:t>
            </w:r>
            <w:proofErr w:type="spellEnd"/>
            <w:r w:rsidRPr="009D6D20">
              <w:rPr>
                <w:rFonts w:eastAsiaTheme="minorHAnsi"/>
                <w:sz w:val="20"/>
                <w:szCs w:val="20"/>
                <w:lang w:eastAsia="en-US"/>
              </w:rPr>
              <w:t xml:space="preserve"> subsystému požadovat zakomponování automatických kontrol správnosti vyplňovaných údajů, které by umožnily zadavatelům předcházet chybnému vyplňování formulářů, případně zadavatele upozornily na možné </w:t>
            </w:r>
            <w:r w:rsidRPr="009D6D20">
              <w:rPr>
                <w:rFonts w:eastAsiaTheme="minorHAnsi"/>
                <w:sz w:val="20"/>
                <w:szCs w:val="20"/>
                <w:lang w:eastAsia="en-US"/>
              </w:rPr>
              <w:lastRenderedPageBreak/>
              <w:t xml:space="preserve">nesrovnalosti ještě před odesláním formuláře. Dále MMR ve stanovisku uvedlo, že pochopitelně existuje rozdíl mezi daty uloženými ve VVZ a statistickými daty, která jsou MMR upravována. Zjištění NKÚ se však vztahovalo k rozdílu dat ve VVZ a neupraveném </w:t>
            </w:r>
            <w:proofErr w:type="spellStart"/>
            <w:r w:rsidRPr="009D6D20">
              <w:rPr>
                <w:rFonts w:eastAsiaTheme="minorHAnsi"/>
                <w:sz w:val="20"/>
                <w:szCs w:val="20"/>
                <w:lang w:eastAsia="en-US"/>
              </w:rPr>
              <w:t>datasetu</w:t>
            </w:r>
            <w:proofErr w:type="spellEnd"/>
            <w:r w:rsidRPr="009D6D20">
              <w:rPr>
                <w:rFonts w:eastAsiaTheme="minorHAnsi"/>
                <w:sz w:val="20"/>
                <w:szCs w:val="20"/>
                <w:lang w:eastAsia="en-US"/>
              </w:rPr>
              <w:t xml:space="preserve"> v ISVZ, který má být shodný s daty ve Věstníku veřejných zakázek (tedy 1:1, jak MMR uvádí ve stanovisku), a nikoli k upravenému </w:t>
            </w:r>
            <w:proofErr w:type="spellStart"/>
            <w:r w:rsidRPr="009D6D20">
              <w:rPr>
                <w:rFonts w:eastAsiaTheme="minorHAnsi"/>
                <w:sz w:val="20"/>
                <w:szCs w:val="20"/>
                <w:lang w:eastAsia="en-US"/>
              </w:rPr>
              <w:t>datasetu</w:t>
            </w:r>
            <w:proofErr w:type="spellEnd"/>
            <w:r w:rsidRPr="009D6D20">
              <w:rPr>
                <w:rFonts w:eastAsiaTheme="minorHAnsi"/>
                <w:sz w:val="20"/>
                <w:szCs w:val="20"/>
                <w:lang w:eastAsia="en-US"/>
              </w:rPr>
              <w:t xml:space="preserve"> v ISVZ, který MMR používá pro statistiky. Ze stanoviska MMR dále není zřejmé, zda nový informační systém, který bude obsahovat funkcionality VVZ i ISVZ, vyřeší problém s daty.</w:t>
            </w:r>
          </w:p>
          <w:p w:rsidR="00682F29" w:rsidRPr="009D6D20" w:rsidRDefault="00682F29">
            <w:pPr>
              <w:widowControl w:val="0"/>
              <w:autoSpaceDE w:val="0"/>
              <w:autoSpaceDN w:val="0"/>
              <w:adjustRightInd w:val="0"/>
              <w:spacing w:before="120" w:after="120" w:line="276" w:lineRule="auto"/>
              <w:jc w:val="both"/>
              <w:rPr>
                <w:b/>
                <w:sz w:val="20"/>
                <w:szCs w:val="20"/>
                <w:lang w:eastAsia="en-US"/>
              </w:rPr>
            </w:pPr>
          </w:p>
        </w:tc>
        <w:tc>
          <w:tcPr>
            <w:tcW w:w="4711" w:type="dxa"/>
            <w:tcBorders>
              <w:top w:val="single" w:sz="4" w:space="0" w:color="auto"/>
              <w:left w:val="single" w:sz="4" w:space="0" w:color="auto"/>
              <w:bottom w:val="single" w:sz="4" w:space="0" w:color="auto"/>
              <w:right w:val="single" w:sz="4" w:space="0" w:color="auto"/>
            </w:tcBorders>
            <w:hideMark/>
          </w:tcPr>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742614" w:rsidRDefault="00742614">
            <w:pPr>
              <w:spacing w:before="120" w:after="120" w:line="276" w:lineRule="auto"/>
              <w:jc w:val="both"/>
              <w:rPr>
                <w:b/>
                <w:sz w:val="20"/>
                <w:szCs w:val="20"/>
                <w:lang w:eastAsia="en-US"/>
              </w:rPr>
            </w:pPr>
          </w:p>
          <w:p w:rsidR="00682F29" w:rsidRDefault="00742614">
            <w:pPr>
              <w:spacing w:before="120" w:after="120" w:line="276" w:lineRule="auto"/>
              <w:jc w:val="both"/>
              <w:rPr>
                <w:b/>
                <w:sz w:val="20"/>
                <w:szCs w:val="20"/>
                <w:lang w:eastAsia="en-US"/>
              </w:rPr>
            </w:pPr>
            <w:r>
              <w:rPr>
                <w:b/>
                <w:sz w:val="20"/>
                <w:szCs w:val="20"/>
                <w:lang w:eastAsia="en-US"/>
              </w:rPr>
              <w:t>Vysvětleno</w:t>
            </w:r>
          </w:p>
          <w:p w:rsidR="00742614" w:rsidRDefault="00742614">
            <w:pPr>
              <w:spacing w:before="120" w:after="120" w:line="276" w:lineRule="auto"/>
              <w:jc w:val="both"/>
              <w:rPr>
                <w:sz w:val="20"/>
                <w:szCs w:val="20"/>
                <w:lang w:eastAsia="en-US"/>
              </w:rPr>
            </w:pPr>
            <w:r w:rsidRPr="00742614">
              <w:rPr>
                <w:sz w:val="20"/>
                <w:szCs w:val="20"/>
                <w:lang w:eastAsia="en-US"/>
              </w:rPr>
              <w:t>MMR</w:t>
            </w:r>
            <w:r>
              <w:rPr>
                <w:sz w:val="20"/>
                <w:szCs w:val="20"/>
                <w:lang w:eastAsia="en-US"/>
              </w:rPr>
              <w:t xml:space="preserve"> se neztotožňuje se závěrem NKÚ a trvá na uvedeném stanovisku, že k podstatné změně smlouvy nedošlo. </w:t>
            </w:r>
          </w:p>
          <w:p w:rsidR="00742614" w:rsidRDefault="00742614">
            <w:pPr>
              <w:spacing w:before="120" w:after="120" w:line="276" w:lineRule="auto"/>
              <w:jc w:val="both"/>
              <w:rPr>
                <w:sz w:val="20"/>
                <w:szCs w:val="20"/>
                <w:lang w:eastAsia="en-US"/>
              </w:rPr>
            </w:pPr>
            <w:r>
              <w:rPr>
                <w:sz w:val="20"/>
                <w:szCs w:val="20"/>
                <w:lang w:eastAsia="en-US"/>
              </w:rPr>
              <w:t>Z výše uvedeného důvodu není možné požadované odstavce odstranit.</w:t>
            </w: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r>
              <w:rPr>
                <w:sz w:val="20"/>
                <w:szCs w:val="20"/>
                <w:lang w:eastAsia="en-US"/>
              </w:rPr>
              <w:t>MMR trvá na tom, že validační pravidla jsou nastavena v maximální míře dané legislativou. Je předpokladem, že nový systém VVZ/ISVZ bude mít jednu databázi pro všechny funkcionality.</w:t>
            </w:r>
          </w:p>
          <w:p w:rsidR="00FC15EF" w:rsidRDefault="00FC15EF">
            <w:pPr>
              <w:spacing w:before="120" w:after="120" w:line="276" w:lineRule="auto"/>
              <w:jc w:val="both"/>
              <w:rPr>
                <w:sz w:val="20"/>
                <w:szCs w:val="20"/>
                <w:lang w:eastAsia="en-US"/>
              </w:rPr>
            </w:pPr>
          </w:p>
          <w:p w:rsidR="00FC15EF" w:rsidRDefault="00FC15EF">
            <w:pPr>
              <w:spacing w:before="120" w:after="120" w:line="276" w:lineRule="auto"/>
              <w:jc w:val="both"/>
              <w:rPr>
                <w:sz w:val="20"/>
                <w:szCs w:val="20"/>
                <w:lang w:eastAsia="en-US"/>
              </w:rPr>
            </w:pPr>
          </w:p>
          <w:p w:rsidR="00FC15EF" w:rsidRPr="00742614" w:rsidRDefault="00FC15EF">
            <w:pPr>
              <w:spacing w:before="120" w:after="120" w:line="276" w:lineRule="auto"/>
              <w:jc w:val="both"/>
              <w:rPr>
                <w:sz w:val="20"/>
                <w:szCs w:val="20"/>
                <w:lang w:eastAsia="en-US"/>
              </w:rPr>
            </w:pPr>
          </w:p>
        </w:tc>
      </w:tr>
      <w:tr w:rsidR="00C4769E" w:rsidTr="00523BE3">
        <w:tc>
          <w:tcPr>
            <w:tcW w:w="682" w:type="dxa"/>
            <w:tcBorders>
              <w:top w:val="single" w:sz="4" w:space="0" w:color="auto"/>
              <w:left w:val="single" w:sz="4" w:space="0" w:color="auto"/>
              <w:bottom w:val="single" w:sz="4" w:space="0" w:color="auto"/>
              <w:right w:val="single" w:sz="4" w:space="0" w:color="auto"/>
            </w:tcBorders>
            <w:hideMark/>
          </w:tcPr>
          <w:p w:rsidR="00C4769E" w:rsidRDefault="007E4D1C">
            <w:pPr>
              <w:spacing w:before="120" w:after="120" w:line="276" w:lineRule="auto"/>
              <w:rPr>
                <w:b/>
                <w:bCs/>
                <w:sz w:val="20"/>
                <w:szCs w:val="20"/>
                <w:lang w:eastAsia="en-US"/>
              </w:rPr>
            </w:pPr>
            <w:r>
              <w:rPr>
                <w:b/>
                <w:bCs/>
                <w:sz w:val="20"/>
                <w:szCs w:val="20"/>
                <w:lang w:eastAsia="en-US"/>
              </w:rPr>
              <w:lastRenderedPageBreak/>
              <w:t>8</w:t>
            </w:r>
          </w:p>
        </w:tc>
        <w:tc>
          <w:tcPr>
            <w:tcW w:w="2485" w:type="dxa"/>
            <w:tcBorders>
              <w:top w:val="single" w:sz="4" w:space="0" w:color="auto"/>
              <w:left w:val="single" w:sz="4" w:space="0" w:color="auto"/>
              <w:bottom w:val="single" w:sz="4" w:space="0" w:color="auto"/>
              <w:right w:val="single" w:sz="4" w:space="0" w:color="auto"/>
            </w:tcBorders>
          </w:tcPr>
          <w:p w:rsidR="00C4769E" w:rsidRDefault="00C4769E">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C4769E" w:rsidRDefault="00C4769E">
            <w:pPr>
              <w:spacing w:before="120" w:after="120" w:line="276" w:lineRule="auto"/>
              <w:jc w:val="center"/>
              <w:rPr>
                <w:sz w:val="20"/>
                <w:szCs w:val="20"/>
                <w:lang w:eastAsia="en-US"/>
              </w:rPr>
            </w:pPr>
            <w:r>
              <w:rPr>
                <w:sz w:val="20"/>
                <w:szCs w:val="20"/>
                <w:lang w:eastAsia="en-US"/>
              </w:rPr>
              <w:t>Z</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C4769E">
            <w:pPr>
              <w:spacing w:after="120"/>
              <w:jc w:val="both"/>
              <w:rPr>
                <w:rFonts w:eastAsiaTheme="minorHAnsi"/>
                <w:b/>
                <w:sz w:val="20"/>
                <w:szCs w:val="20"/>
                <w:lang w:eastAsia="en-US"/>
              </w:rPr>
            </w:pPr>
          </w:p>
          <w:p w:rsidR="00C4769E" w:rsidRPr="009D6D20" w:rsidRDefault="009D6D20" w:rsidP="00C4769E">
            <w:pPr>
              <w:spacing w:after="120"/>
              <w:jc w:val="both"/>
              <w:rPr>
                <w:rFonts w:eastAsiaTheme="minorHAnsi"/>
                <w:b/>
                <w:sz w:val="20"/>
                <w:szCs w:val="20"/>
                <w:lang w:eastAsia="en-US"/>
              </w:rPr>
            </w:pPr>
            <w:r>
              <w:rPr>
                <w:rFonts w:eastAsiaTheme="minorHAnsi"/>
                <w:b/>
                <w:sz w:val="20"/>
                <w:szCs w:val="20"/>
                <w:lang w:eastAsia="en-US"/>
              </w:rPr>
              <w:t xml:space="preserve">6) </w:t>
            </w:r>
            <w:r w:rsidR="00C4769E" w:rsidRPr="009D6D20">
              <w:rPr>
                <w:rFonts w:eastAsiaTheme="minorHAnsi"/>
                <w:b/>
                <w:sz w:val="20"/>
                <w:szCs w:val="20"/>
                <w:lang w:eastAsia="en-US"/>
              </w:rPr>
              <w:t>Strana 14, bod 2.5</w:t>
            </w:r>
          </w:p>
          <w:p w:rsidR="00C4769E" w:rsidRPr="009D6D20" w:rsidRDefault="00C4769E" w:rsidP="00C4769E">
            <w:pPr>
              <w:spacing w:after="120"/>
              <w:jc w:val="both"/>
              <w:rPr>
                <w:bCs/>
                <w:sz w:val="20"/>
                <w:szCs w:val="20"/>
                <w:lang w:eastAsia="en-US"/>
              </w:rPr>
            </w:pPr>
            <w:r w:rsidRPr="009D6D20">
              <w:rPr>
                <w:sz w:val="20"/>
                <w:szCs w:val="20"/>
                <w:lang w:eastAsia="en-US"/>
              </w:rPr>
              <w:t>MMR porovnává ekonomickou efektivnost zadávání VZ prostřednictvím NEN a zadávání VZ prostřednictvím e-tržišť. Do výpočtu zahrnuje na jedné straně</w:t>
            </w:r>
            <w:r w:rsidRPr="009D6D20" w:rsidDel="00550090">
              <w:rPr>
                <w:sz w:val="20"/>
                <w:szCs w:val="20"/>
                <w:lang w:eastAsia="en-US"/>
              </w:rPr>
              <w:t xml:space="preserve"> </w:t>
            </w:r>
            <w:r w:rsidRPr="009D6D20">
              <w:rPr>
                <w:sz w:val="20"/>
                <w:szCs w:val="20"/>
                <w:lang w:eastAsia="en-US"/>
              </w:rPr>
              <w:t xml:space="preserve">náklady pouze na provoz NEN, na straně druhé celkové náklady na vývoj i provoz e-tržiště (na základě koncesních smluv zabezpečují provozovatelé e-tržišť na vlastní náklady nejen provoz e-tržišť, ale i jejich vývoj a další). Nastavený ceník e-tržišť tak pokrývá </w:t>
            </w:r>
            <w:r w:rsidRPr="009D6D20">
              <w:rPr>
                <w:rFonts w:eastAsia="Calibri"/>
                <w:sz w:val="20"/>
                <w:szCs w:val="20"/>
                <w:lang w:eastAsia="en-US"/>
              </w:rPr>
              <w:t>nejen náklady na provoz ale i na vývoj e-tržišť a další náklady</w:t>
            </w:r>
            <w:r w:rsidRPr="009D6D20">
              <w:rPr>
                <w:sz w:val="20"/>
                <w:szCs w:val="20"/>
                <w:lang w:eastAsia="en-US"/>
              </w:rPr>
              <w:t xml:space="preserve">. </w:t>
            </w:r>
            <w:r w:rsidRPr="009D6D20">
              <w:rPr>
                <w:rFonts w:eastAsia="Calibri"/>
                <w:sz w:val="20"/>
                <w:szCs w:val="20"/>
                <w:lang w:eastAsia="en-US"/>
              </w:rPr>
              <w:t xml:space="preserve">MMR tak ve svém výpočtu neporovnává srovnatelné údaje. Po zahrnutí nákladů na vývoj NEN a na jeho další úpravy by byl potřebný počet realizovaných zakázek v NEN (nikoli pouze uveřejněných) k zajištění efektivnosti využívání NEN podstatně vyšší. MMR sice počítá se zavedením povinného používání NEN, ale to má nastat od </w:t>
            </w:r>
            <w:r w:rsidRPr="009D6D20">
              <w:rPr>
                <w:rFonts w:eastAsiaTheme="minorHAnsi"/>
                <w:sz w:val="20"/>
                <w:szCs w:val="20"/>
                <w:lang w:eastAsia="en-US"/>
              </w:rPr>
              <w:t xml:space="preserve">1. 7. 2017 pro ústřední orgány státní správy a pro ostatní zadavatele až od </w:t>
            </w:r>
            <w:r w:rsidRPr="009D6D20">
              <w:rPr>
                <w:rFonts w:eastAsiaTheme="minorHAnsi"/>
                <w:bCs/>
                <w:sz w:val="20"/>
                <w:szCs w:val="20"/>
                <w:lang w:eastAsia="en-US"/>
              </w:rPr>
              <w:t xml:space="preserve">31. 12. 2018, dosud však tato povinnost není upravena zákonem či jiným obecně závazným právním předpisem a navíc se předpokládá, že budou udělovány výjimky z povinného používání NEN. Z výše uvedeného vyplývá významné riziko, že se MMR nemusí podařit dosáhnout požadovaného objemu zakázek realizovaných v NEN k dosažení úrovně využití, kterou lze považovat za efektivní. </w:t>
            </w:r>
          </w:p>
          <w:p w:rsidR="00C4769E" w:rsidRPr="009D6D20" w:rsidRDefault="00C4769E" w:rsidP="00C4769E">
            <w:pPr>
              <w:spacing w:after="120"/>
              <w:jc w:val="both"/>
              <w:rPr>
                <w:rFonts w:eastAsiaTheme="minorHAnsi"/>
                <w:bCs/>
                <w:sz w:val="20"/>
                <w:szCs w:val="20"/>
                <w:lang w:eastAsia="en-US"/>
              </w:rPr>
            </w:pPr>
            <w:r w:rsidRPr="009D6D20">
              <w:rPr>
                <w:rFonts w:eastAsiaTheme="minorHAnsi"/>
                <w:sz w:val="20"/>
                <w:szCs w:val="20"/>
                <w:lang w:eastAsia="en-US"/>
              </w:rPr>
              <w:t>NKÚ současně uplatňuje připomínku ke stanovisku</w:t>
            </w:r>
            <w:r w:rsidRPr="009D6D20">
              <w:rPr>
                <w:rFonts w:eastAsiaTheme="minorHAnsi"/>
                <w:bCs/>
                <w:sz w:val="20"/>
                <w:szCs w:val="20"/>
                <w:lang w:eastAsia="en-US"/>
              </w:rPr>
              <w:t xml:space="preserve"> k tvrzení MMR, že prováděcí předpisy konkrétně vymezují podmínky na funkčnost individuálních elektronických nástrojů a nahrazují tak jejich technickou specifikaci. Ze stávající certifikace shody elektronického nástroje dle vyhlášky č. 9/2011 Sb. nevyplývá, jakým rozsahem funkcionalit elektronický nástroj disponuje. Zadavatelům a dalším uživatelům </w:t>
            </w:r>
            <w:r w:rsidRPr="009D6D20">
              <w:rPr>
                <w:rFonts w:eastAsiaTheme="minorHAnsi"/>
                <w:bCs/>
                <w:sz w:val="20"/>
                <w:szCs w:val="20"/>
                <w:lang w:eastAsia="en-US"/>
              </w:rPr>
              <w:lastRenderedPageBreak/>
              <w:t xml:space="preserve">elektronických nástrojů tak tento systém neposkytuje dostatek informací a neumožňuje nástroje porovnat mezi sebou ani vůči </w:t>
            </w:r>
            <w:proofErr w:type="gramStart"/>
            <w:r w:rsidRPr="009D6D20">
              <w:rPr>
                <w:rFonts w:eastAsiaTheme="minorHAnsi"/>
                <w:bCs/>
                <w:sz w:val="20"/>
                <w:szCs w:val="20"/>
                <w:lang w:eastAsia="en-US"/>
              </w:rPr>
              <w:t>NEN</w:t>
            </w:r>
            <w:proofErr w:type="gramEnd"/>
            <w:r w:rsidRPr="009D6D20">
              <w:rPr>
                <w:rFonts w:eastAsiaTheme="minorHAnsi"/>
                <w:bCs/>
                <w:sz w:val="20"/>
                <w:szCs w:val="20"/>
                <w:lang w:eastAsia="en-US"/>
              </w:rPr>
              <w:t xml:space="preserve">, což je detailněji popsáno v kontrolním protokolu. Za situace kdy budou těmto nástrojům udělovány výjimky z plánovaného povinného používání NEN, NKÚ nesouhlasí s MMR, že technická specifikace konkrétního nástroje je věcí tvůrce či provozovatele. Nástroje by měly splnit minimální požadavky/standardy, aby uživatel měl určitou míru garance jejich funkčnosti s ohledem na vydanou výjimku. </w:t>
            </w:r>
          </w:p>
          <w:p w:rsidR="00C4769E" w:rsidRPr="009D6D20" w:rsidRDefault="00C4769E" w:rsidP="00C4769E">
            <w:pPr>
              <w:spacing w:after="120"/>
              <w:jc w:val="both"/>
              <w:rPr>
                <w:rFonts w:eastAsiaTheme="minorHAnsi"/>
                <w:sz w:val="20"/>
                <w:szCs w:val="20"/>
                <w:lang w:eastAsia="en-US"/>
              </w:rPr>
            </w:pPr>
            <w:r w:rsidRPr="009D6D20">
              <w:rPr>
                <w:rFonts w:eastAsiaTheme="minorHAnsi"/>
                <w:sz w:val="20"/>
                <w:szCs w:val="20"/>
                <w:lang w:eastAsia="en-US"/>
              </w:rPr>
              <w:t xml:space="preserve">Rovněž nový </w:t>
            </w:r>
            <w:r w:rsidRPr="009D6D20">
              <w:rPr>
                <w:rFonts w:eastAsiaTheme="minorHAnsi"/>
                <w:i/>
                <w:sz w:val="20"/>
                <w:szCs w:val="20"/>
                <w:lang w:eastAsia="en-US"/>
              </w:rPr>
              <w:t xml:space="preserve">„Návrh vyhlášky o stanovení podrobnějších podmínek týkajících se elektronických nástrojů a úkonů učiněných elektronicky při zadávání veřejných zakázek a podrobností týkajících se certifikátu shody“ </w:t>
            </w:r>
            <w:r w:rsidRPr="009D6D20">
              <w:rPr>
                <w:rFonts w:eastAsiaTheme="minorHAnsi"/>
                <w:sz w:val="20"/>
                <w:szCs w:val="20"/>
                <w:lang w:eastAsia="en-US"/>
              </w:rPr>
              <w:t>uvedenou problematiku neřeší způsobem, který by stanovil pro potřeby certifikace technickou specifikaci u funkcionalit elektronických nástrojů.</w:t>
            </w:r>
          </w:p>
          <w:p w:rsidR="00C4769E" w:rsidRPr="009D6D20" w:rsidRDefault="00C4769E" w:rsidP="00C4769E">
            <w:pPr>
              <w:spacing w:after="120"/>
              <w:jc w:val="both"/>
              <w:rPr>
                <w:rFonts w:eastAsiaTheme="minorHAnsi"/>
                <w:b/>
                <w:bCs/>
                <w:sz w:val="20"/>
                <w:szCs w:val="20"/>
                <w:lang w:eastAsia="en-US"/>
              </w:rPr>
            </w:pPr>
            <w:r w:rsidRPr="009D6D20">
              <w:rPr>
                <w:rFonts w:eastAsiaTheme="minorHAnsi"/>
                <w:b/>
                <w:bCs/>
                <w:sz w:val="20"/>
                <w:szCs w:val="20"/>
                <w:lang w:eastAsia="en-US"/>
              </w:rPr>
              <w:t>NKÚ navrhuje, aby MMR doplnilo navrhované nápravné opatření ve stanovisku tak, aby standardizace elektronických nástrojů umožňovala zadavateli jejich porovnání a výběr nejvhodnějšího nástroje.</w:t>
            </w:r>
          </w:p>
          <w:p w:rsidR="00C4769E" w:rsidRPr="009D6D20" w:rsidRDefault="00C4769E" w:rsidP="009D6D20">
            <w:pPr>
              <w:spacing w:after="360"/>
              <w:jc w:val="both"/>
              <w:rPr>
                <w:rFonts w:eastAsiaTheme="minorHAnsi"/>
                <w:b/>
                <w:sz w:val="20"/>
                <w:szCs w:val="20"/>
                <w:lang w:eastAsia="en-US"/>
              </w:rPr>
            </w:pPr>
            <w:r w:rsidRPr="002E5AB6">
              <w:rPr>
                <w:rFonts w:eastAsiaTheme="minorHAnsi"/>
                <w:b/>
                <w:bCs/>
                <w:sz w:val="20"/>
                <w:szCs w:val="20"/>
                <w:lang w:eastAsia="en-US"/>
              </w:rPr>
              <w:t>Tato připomínka je zásadní.</w:t>
            </w:r>
          </w:p>
        </w:tc>
        <w:tc>
          <w:tcPr>
            <w:tcW w:w="4711" w:type="dxa"/>
            <w:tcBorders>
              <w:top w:val="single" w:sz="4" w:space="0" w:color="auto"/>
              <w:left w:val="single" w:sz="4" w:space="0" w:color="auto"/>
              <w:bottom w:val="single" w:sz="4" w:space="0" w:color="auto"/>
              <w:right w:val="single" w:sz="4" w:space="0" w:color="auto"/>
            </w:tcBorders>
            <w:hideMark/>
          </w:tcPr>
          <w:p w:rsidR="00C4769E" w:rsidRDefault="002E5AB6">
            <w:pPr>
              <w:spacing w:before="120" w:after="120" w:line="276" w:lineRule="auto"/>
              <w:jc w:val="both"/>
              <w:rPr>
                <w:b/>
                <w:sz w:val="20"/>
                <w:szCs w:val="20"/>
                <w:lang w:eastAsia="en-US"/>
              </w:rPr>
            </w:pPr>
            <w:r w:rsidRPr="002E5AB6">
              <w:rPr>
                <w:b/>
                <w:sz w:val="20"/>
                <w:szCs w:val="20"/>
                <w:lang w:eastAsia="en-US"/>
              </w:rPr>
              <w:lastRenderedPageBreak/>
              <w:t>Vysvětleno</w:t>
            </w:r>
          </w:p>
          <w:p w:rsidR="002E5AB6" w:rsidRPr="00343905" w:rsidRDefault="00343905" w:rsidP="00343905">
            <w:pPr>
              <w:spacing w:line="276" w:lineRule="auto"/>
              <w:jc w:val="both"/>
            </w:pPr>
            <w:r w:rsidRPr="00343905">
              <w:rPr>
                <w:bCs/>
                <w:sz w:val="20"/>
                <w:szCs w:val="20"/>
              </w:rPr>
              <w:t xml:space="preserve">V nové vyhlášce o e-nástrojích a podrobnostech certifikace je nově definováno </w:t>
            </w:r>
            <w:r w:rsidR="002770C4">
              <w:rPr>
                <w:bCs/>
                <w:sz w:val="20"/>
                <w:szCs w:val="20"/>
              </w:rPr>
              <w:t>7 skupin funkcionalit, které</w:t>
            </w:r>
            <w:r w:rsidRPr="00343905">
              <w:rPr>
                <w:bCs/>
                <w:sz w:val="20"/>
                <w:szCs w:val="20"/>
              </w:rPr>
              <w:t xml:space="preserve"> bude umožňovat e-nástroj. Bude na žadateli, na které z funkcionalit bude požadovat provedení certifikace. Nejnižší stupeň certifikace bude profil zadavatele, další budou elektronický příjem/odeslání datových zpráv, DNS, </w:t>
            </w:r>
            <w:proofErr w:type="spellStart"/>
            <w:r w:rsidRPr="00343905">
              <w:rPr>
                <w:bCs/>
                <w:sz w:val="20"/>
                <w:szCs w:val="20"/>
              </w:rPr>
              <w:t>eAukce</w:t>
            </w:r>
            <w:proofErr w:type="spellEnd"/>
            <w:r w:rsidRPr="00343905">
              <w:rPr>
                <w:bCs/>
                <w:sz w:val="20"/>
                <w:szCs w:val="20"/>
              </w:rPr>
              <w:t>, apod. Tento způsob certifikace by měl zajistit jednoznačné určení toho, co nástroj poskytuje uživateli za funkce a tím pádem zaručit lepší přehled pro zadavatele o konkrétních e-nástrojích.</w:t>
            </w:r>
          </w:p>
          <w:p w:rsidR="00864B55" w:rsidRDefault="00343905" w:rsidP="005B75AF">
            <w:pPr>
              <w:spacing w:before="120" w:after="120" w:line="276" w:lineRule="auto"/>
              <w:jc w:val="both"/>
              <w:rPr>
                <w:b/>
                <w:sz w:val="20"/>
                <w:szCs w:val="20"/>
                <w:lang w:eastAsia="en-US"/>
              </w:rPr>
            </w:pPr>
            <w:r>
              <w:rPr>
                <w:sz w:val="20"/>
                <w:szCs w:val="20"/>
                <w:lang w:eastAsia="en-US"/>
              </w:rPr>
              <w:t>V</w:t>
            </w:r>
            <w:r w:rsidR="002E5AB6" w:rsidRPr="002E5AB6">
              <w:rPr>
                <w:sz w:val="20"/>
                <w:szCs w:val="20"/>
                <w:lang w:eastAsia="en-US"/>
              </w:rPr>
              <w:t xml:space="preserve">zhledem k tomu, že v souladu s cíli Strategie elektronizace 2016 – 2020 bude do konce roku 2018 rozhodnuto o povinném používání NEN všemi zadavateli, </w:t>
            </w:r>
            <w:r w:rsidR="005B75AF">
              <w:rPr>
                <w:sz w:val="20"/>
                <w:szCs w:val="20"/>
                <w:lang w:eastAsia="en-US"/>
              </w:rPr>
              <w:t xml:space="preserve">vznikne tak situace, kdy NEN bude definovat minimální „standard“, který bude akceptován. Umožněny budou výjimky z využívání NEN v případě, že IEN budou poskytovat zadavatelům přidanou hodnotu oproti </w:t>
            </w:r>
            <w:proofErr w:type="gramStart"/>
            <w:r w:rsidR="005B75AF">
              <w:rPr>
                <w:sz w:val="20"/>
                <w:szCs w:val="20"/>
                <w:lang w:eastAsia="en-US"/>
              </w:rPr>
              <w:t>NEN</w:t>
            </w:r>
            <w:proofErr w:type="gramEnd"/>
            <w:r w:rsidR="005B75AF">
              <w:rPr>
                <w:sz w:val="20"/>
                <w:szCs w:val="20"/>
                <w:lang w:eastAsia="en-US"/>
              </w:rPr>
              <w:t xml:space="preserve">. </w:t>
            </w:r>
            <w:r w:rsidR="002E5AB6">
              <w:rPr>
                <w:b/>
                <w:sz w:val="20"/>
                <w:szCs w:val="20"/>
                <w:lang w:eastAsia="en-US"/>
              </w:rPr>
              <w:t xml:space="preserve"> </w:t>
            </w:r>
          </w:p>
          <w:p w:rsidR="002E5AB6" w:rsidRPr="002E5AB6" w:rsidRDefault="002E5AB6" w:rsidP="005B75AF">
            <w:pPr>
              <w:spacing w:before="120" w:after="120" w:line="276" w:lineRule="auto"/>
              <w:jc w:val="both"/>
              <w:rPr>
                <w:b/>
                <w:sz w:val="20"/>
                <w:szCs w:val="20"/>
                <w:lang w:eastAsia="en-US"/>
              </w:rPr>
            </w:pPr>
          </w:p>
        </w:tc>
      </w:tr>
      <w:tr w:rsidR="00682F29" w:rsidTr="00523BE3">
        <w:tc>
          <w:tcPr>
            <w:tcW w:w="682" w:type="dxa"/>
            <w:tcBorders>
              <w:top w:val="single" w:sz="4" w:space="0" w:color="auto"/>
              <w:left w:val="single" w:sz="4" w:space="0" w:color="auto"/>
              <w:bottom w:val="single" w:sz="4" w:space="0" w:color="auto"/>
              <w:right w:val="single" w:sz="4" w:space="0" w:color="auto"/>
            </w:tcBorders>
            <w:hideMark/>
          </w:tcPr>
          <w:p w:rsidR="00682F29" w:rsidRDefault="007E4D1C">
            <w:pPr>
              <w:spacing w:before="120" w:after="120" w:line="276" w:lineRule="auto"/>
              <w:rPr>
                <w:b/>
                <w:bCs/>
                <w:sz w:val="20"/>
                <w:szCs w:val="20"/>
                <w:lang w:eastAsia="en-US"/>
              </w:rPr>
            </w:pPr>
            <w:r>
              <w:rPr>
                <w:b/>
                <w:bCs/>
                <w:sz w:val="20"/>
                <w:szCs w:val="20"/>
                <w:lang w:eastAsia="en-US"/>
              </w:rPr>
              <w:lastRenderedPageBreak/>
              <w:t>9</w:t>
            </w:r>
          </w:p>
        </w:tc>
        <w:tc>
          <w:tcPr>
            <w:tcW w:w="2485" w:type="dxa"/>
            <w:tcBorders>
              <w:top w:val="single" w:sz="4" w:space="0" w:color="auto"/>
              <w:left w:val="single" w:sz="4" w:space="0" w:color="auto"/>
              <w:bottom w:val="single" w:sz="4" w:space="0" w:color="auto"/>
              <w:right w:val="single" w:sz="4" w:space="0" w:color="auto"/>
            </w:tcBorders>
          </w:tcPr>
          <w:p w:rsidR="00682F29" w:rsidRDefault="00682F29">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682F29"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C4769E">
            <w:pPr>
              <w:jc w:val="both"/>
              <w:rPr>
                <w:rFonts w:eastAsiaTheme="minorHAnsi"/>
                <w:b/>
                <w:sz w:val="20"/>
                <w:szCs w:val="20"/>
                <w:lang w:eastAsia="en-US"/>
              </w:rPr>
            </w:pPr>
          </w:p>
          <w:p w:rsidR="00C4769E" w:rsidRDefault="00C4769E" w:rsidP="009D6D20">
            <w:pPr>
              <w:jc w:val="both"/>
              <w:rPr>
                <w:rFonts w:eastAsiaTheme="minorHAnsi"/>
                <w:b/>
                <w:sz w:val="20"/>
                <w:szCs w:val="20"/>
                <w:lang w:eastAsia="en-US"/>
              </w:rPr>
            </w:pPr>
            <w:r w:rsidRPr="009D6D20">
              <w:rPr>
                <w:rFonts w:eastAsiaTheme="minorHAnsi"/>
                <w:b/>
                <w:sz w:val="20"/>
                <w:szCs w:val="20"/>
                <w:lang w:eastAsia="en-US"/>
              </w:rPr>
              <w:t>7)</w:t>
            </w:r>
            <w:r w:rsidR="009D6D20">
              <w:rPr>
                <w:rFonts w:eastAsiaTheme="minorHAnsi"/>
                <w:b/>
                <w:sz w:val="20"/>
                <w:szCs w:val="20"/>
                <w:lang w:eastAsia="en-US"/>
              </w:rPr>
              <w:t xml:space="preserve"> </w:t>
            </w:r>
            <w:r w:rsidRPr="009D6D20">
              <w:rPr>
                <w:rFonts w:eastAsiaTheme="minorHAnsi"/>
                <w:b/>
                <w:sz w:val="20"/>
                <w:szCs w:val="20"/>
                <w:lang w:eastAsia="en-US"/>
              </w:rPr>
              <w:t>Strana 15, bod 2.6 a)</w:t>
            </w:r>
          </w:p>
          <w:p w:rsidR="009D6D20" w:rsidRPr="009D6D20" w:rsidRDefault="009D6D20" w:rsidP="009D6D20">
            <w:pPr>
              <w:jc w:val="both"/>
              <w:rPr>
                <w:rFonts w:eastAsiaTheme="minorHAnsi"/>
                <w:b/>
                <w:sz w:val="20"/>
                <w:szCs w:val="20"/>
                <w:lang w:eastAsia="en-US"/>
              </w:rPr>
            </w:pPr>
          </w:p>
          <w:p w:rsidR="00C4769E" w:rsidRPr="009D6D20" w:rsidRDefault="00C4769E" w:rsidP="00C4769E">
            <w:pPr>
              <w:spacing w:after="120"/>
              <w:jc w:val="both"/>
              <w:rPr>
                <w:rFonts w:eastAsiaTheme="minorHAnsi"/>
                <w:sz w:val="20"/>
                <w:szCs w:val="20"/>
                <w:lang w:eastAsia="en-US"/>
              </w:rPr>
            </w:pPr>
            <w:r w:rsidRPr="009D6D20">
              <w:rPr>
                <w:rFonts w:eastAsia="Calibri"/>
                <w:sz w:val="20"/>
                <w:szCs w:val="20"/>
                <w:lang w:eastAsia="en-US"/>
              </w:rPr>
              <w:t xml:space="preserve">MMR již ve Stanovisku ke kontrolnímu závěru NKÚ z kontrolní akce č. 13/24 ze dne </w:t>
            </w:r>
            <w:r w:rsidRPr="009D6D20">
              <w:rPr>
                <w:rFonts w:eastAsiaTheme="minorHAnsi"/>
                <w:sz w:val="20"/>
                <w:szCs w:val="20"/>
                <w:lang w:eastAsia="en-US"/>
              </w:rPr>
              <w:t xml:space="preserve">30. 6. 2014 </w:t>
            </w:r>
            <w:r w:rsidRPr="009D6D20">
              <w:rPr>
                <w:rFonts w:eastAsia="Calibri"/>
                <w:sz w:val="20"/>
                <w:szCs w:val="20"/>
                <w:lang w:eastAsia="en-US"/>
              </w:rPr>
              <w:t>uvedlo, že „</w:t>
            </w:r>
            <w:r w:rsidRPr="009D6D20">
              <w:rPr>
                <w:rFonts w:eastAsiaTheme="minorHAnsi"/>
                <w:i/>
                <w:sz w:val="20"/>
                <w:szCs w:val="20"/>
                <w:lang w:eastAsia="en-US"/>
              </w:rPr>
              <w:t>byla ihned zjednána náprava a na straně provozovatelů přijatá taková opatření, aby k duplicitám již nedocházelo</w:t>
            </w:r>
            <w:r w:rsidRPr="009D6D20">
              <w:rPr>
                <w:rFonts w:eastAsiaTheme="minorHAnsi"/>
                <w:sz w:val="20"/>
                <w:szCs w:val="20"/>
                <w:lang w:eastAsia="en-US"/>
              </w:rPr>
              <w:t>.“ Přesto byly následnou kontrolou duplicity v registracích opět nalezeny. MMR nyní ve stanovisku uvádí, že systémová kontrola duplicit by byla s ohledem na ukončení smlouvy s provozovateli e-tržišť v příštím roce neekonomická. Takové systémové opatření však mělo MMR učinit již v době, kdy byly duplicity zjištěny kontrolní akcí č. 13/24.</w:t>
            </w:r>
          </w:p>
          <w:p w:rsidR="00C4769E" w:rsidRPr="009D6D20" w:rsidRDefault="00C4769E" w:rsidP="00C4769E">
            <w:pPr>
              <w:spacing w:after="120"/>
              <w:jc w:val="both"/>
              <w:rPr>
                <w:rFonts w:eastAsiaTheme="minorHAnsi"/>
                <w:sz w:val="20"/>
                <w:szCs w:val="20"/>
                <w:lang w:eastAsia="en-US"/>
              </w:rPr>
            </w:pPr>
            <w:r w:rsidRPr="009D6D20">
              <w:rPr>
                <w:rFonts w:eastAsiaTheme="minorHAnsi"/>
                <w:sz w:val="20"/>
                <w:szCs w:val="20"/>
                <w:lang w:eastAsia="en-US"/>
              </w:rPr>
              <w:t xml:space="preserve">MMR ve stanovisku dále uvedlo, že </w:t>
            </w:r>
            <w:r w:rsidRPr="009D6D20">
              <w:rPr>
                <w:rFonts w:eastAsiaTheme="minorHAnsi"/>
                <w:i/>
                <w:sz w:val="20"/>
                <w:szCs w:val="20"/>
                <w:lang w:eastAsia="en-US"/>
              </w:rPr>
              <w:t>„postupuje při tvorbě statistik tak, že pracuje v první fázi s </w:t>
            </w:r>
            <w:proofErr w:type="spellStart"/>
            <w:r w:rsidRPr="009D6D20">
              <w:rPr>
                <w:rFonts w:eastAsiaTheme="minorHAnsi"/>
                <w:i/>
                <w:sz w:val="20"/>
                <w:szCs w:val="20"/>
                <w:lang w:eastAsia="en-US"/>
              </w:rPr>
              <w:t>datasetem</w:t>
            </w:r>
            <w:proofErr w:type="spellEnd"/>
            <w:r w:rsidRPr="009D6D20">
              <w:rPr>
                <w:rFonts w:eastAsiaTheme="minorHAnsi"/>
                <w:i/>
                <w:sz w:val="20"/>
                <w:szCs w:val="20"/>
                <w:lang w:eastAsia="en-US"/>
              </w:rPr>
              <w:t xml:space="preserve">, jehož interval ve svém závěru překračuje o cca 7 dní zkoumané </w:t>
            </w:r>
            <w:proofErr w:type="gramStart"/>
            <w:r w:rsidRPr="009D6D20">
              <w:rPr>
                <w:rFonts w:eastAsiaTheme="minorHAnsi"/>
                <w:i/>
                <w:sz w:val="20"/>
                <w:szCs w:val="20"/>
                <w:lang w:eastAsia="en-US"/>
              </w:rPr>
              <w:t>období ... VZ</w:t>
            </w:r>
            <w:proofErr w:type="gramEnd"/>
            <w:r w:rsidRPr="009D6D20">
              <w:rPr>
                <w:rFonts w:eastAsiaTheme="minorHAnsi"/>
                <w:i/>
                <w:sz w:val="20"/>
                <w:szCs w:val="20"/>
                <w:lang w:eastAsia="en-US"/>
              </w:rPr>
              <w:t xml:space="preserve">, které do sledovaného období spadají, nejsou v tomto rozšířeném </w:t>
            </w:r>
            <w:proofErr w:type="spellStart"/>
            <w:r w:rsidRPr="009D6D20">
              <w:rPr>
                <w:rFonts w:eastAsiaTheme="minorHAnsi"/>
                <w:i/>
                <w:sz w:val="20"/>
                <w:szCs w:val="20"/>
                <w:lang w:eastAsia="en-US"/>
              </w:rPr>
              <w:t>datasetu</w:t>
            </w:r>
            <w:proofErr w:type="spellEnd"/>
            <w:r w:rsidRPr="009D6D20">
              <w:rPr>
                <w:rFonts w:eastAsiaTheme="minorHAnsi"/>
                <w:i/>
                <w:sz w:val="20"/>
                <w:szCs w:val="20"/>
                <w:lang w:eastAsia="en-US"/>
              </w:rPr>
              <w:t xml:space="preserve"> vyhledávány pouze na základě data importu do ISVZ.“</w:t>
            </w:r>
            <w:r w:rsidRPr="009D6D20">
              <w:rPr>
                <w:rFonts w:eastAsiaTheme="minorHAnsi"/>
                <w:sz w:val="20"/>
                <w:szCs w:val="20"/>
                <w:lang w:eastAsia="en-US"/>
              </w:rPr>
              <w:t xml:space="preserve"> Zjištění NKÚ nesouvisí s délkou intervalu, o který </w:t>
            </w:r>
            <w:proofErr w:type="spellStart"/>
            <w:r w:rsidRPr="009D6D20">
              <w:rPr>
                <w:rFonts w:eastAsiaTheme="minorHAnsi"/>
                <w:sz w:val="20"/>
                <w:szCs w:val="20"/>
                <w:lang w:eastAsia="en-US"/>
              </w:rPr>
              <w:t>dataset</w:t>
            </w:r>
            <w:proofErr w:type="spellEnd"/>
            <w:r w:rsidRPr="009D6D20">
              <w:rPr>
                <w:rFonts w:eastAsiaTheme="minorHAnsi"/>
                <w:sz w:val="20"/>
                <w:szCs w:val="20"/>
                <w:lang w:eastAsia="en-US"/>
              </w:rPr>
              <w:t xml:space="preserve"> převyšuje zkoumané období, ale s chybějícími daty založení </w:t>
            </w:r>
            <w:r w:rsidRPr="009D6D20">
              <w:rPr>
                <w:rFonts w:eastAsiaTheme="minorHAnsi"/>
                <w:sz w:val="20"/>
                <w:szCs w:val="20"/>
                <w:lang w:eastAsia="en-US"/>
              </w:rPr>
              <w:lastRenderedPageBreak/>
              <w:t xml:space="preserve">VZ/zahájení zadávacího řízení u některých VZ a s tím souvisejícím použitím parametru „datum importu“ (datum poslední změny VZ) pro generování </w:t>
            </w:r>
            <w:proofErr w:type="spellStart"/>
            <w:r w:rsidRPr="009D6D20">
              <w:rPr>
                <w:rFonts w:eastAsiaTheme="minorHAnsi"/>
                <w:sz w:val="20"/>
                <w:szCs w:val="20"/>
                <w:lang w:eastAsia="en-US"/>
              </w:rPr>
              <w:t>datasetu</w:t>
            </w:r>
            <w:proofErr w:type="spellEnd"/>
            <w:r w:rsidRPr="009D6D20">
              <w:rPr>
                <w:rFonts w:eastAsiaTheme="minorHAnsi"/>
                <w:sz w:val="20"/>
                <w:szCs w:val="20"/>
                <w:lang w:eastAsia="en-US"/>
              </w:rPr>
              <w:t xml:space="preserve">. NKÚ se v kontrolním protokolu nevyjadřoval ke způsobu zařazení VZ z generovaného </w:t>
            </w:r>
            <w:proofErr w:type="spellStart"/>
            <w:r w:rsidRPr="009D6D20">
              <w:rPr>
                <w:rFonts w:eastAsiaTheme="minorHAnsi"/>
                <w:sz w:val="20"/>
                <w:szCs w:val="20"/>
                <w:lang w:eastAsia="en-US"/>
              </w:rPr>
              <w:t>datasetu</w:t>
            </w:r>
            <w:proofErr w:type="spellEnd"/>
            <w:r w:rsidRPr="009D6D20">
              <w:rPr>
                <w:rFonts w:eastAsiaTheme="minorHAnsi"/>
                <w:sz w:val="20"/>
                <w:szCs w:val="20"/>
                <w:lang w:eastAsia="en-US"/>
              </w:rPr>
              <w:t xml:space="preserve"> do sledovaného období. Pokud generovaný </w:t>
            </w:r>
            <w:proofErr w:type="spellStart"/>
            <w:r w:rsidRPr="009D6D20">
              <w:rPr>
                <w:rFonts w:eastAsiaTheme="minorHAnsi"/>
                <w:sz w:val="20"/>
                <w:szCs w:val="20"/>
                <w:lang w:eastAsia="en-US"/>
              </w:rPr>
              <w:t>dataset</w:t>
            </w:r>
            <w:proofErr w:type="spellEnd"/>
            <w:r w:rsidRPr="009D6D20">
              <w:rPr>
                <w:rFonts w:eastAsiaTheme="minorHAnsi"/>
                <w:sz w:val="20"/>
                <w:szCs w:val="20"/>
                <w:lang w:eastAsia="en-US"/>
              </w:rPr>
              <w:t xml:space="preserve"> neobsahuje všechny VZ, nelze z něj vytvořit </w:t>
            </w:r>
            <w:proofErr w:type="spellStart"/>
            <w:r w:rsidRPr="009D6D20">
              <w:rPr>
                <w:rFonts w:eastAsiaTheme="minorHAnsi"/>
                <w:sz w:val="20"/>
                <w:szCs w:val="20"/>
                <w:lang w:eastAsia="en-US"/>
              </w:rPr>
              <w:t>dataset</w:t>
            </w:r>
            <w:proofErr w:type="spellEnd"/>
            <w:r w:rsidRPr="009D6D20">
              <w:rPr>
                <w:rFonts w:eastAsiaTheme="minorHAnsi"/>
                <w:sz w:val="20"/>
                <w:szCs w:val="20"/>
                <w:lang w:eastAsia="en-US"/>
              </w:rPr>
              <w:t xml:space="preserve">, který by zahrnoval všechny VZ ve sledovaném období, ani s použitím dalších parametrů (nejen datum importu). V případě, že bude pro vytvoření „rozšířeného </w:t>
            </w:r>
            <w:proofErr w:type="spellStart"/>
            <w:r w:rsidRPr="009D6D20">
              <w:rPr>
                <w:rFonts w:eastAsiaTheme="minorHAnsi"/>
                <w:sz w:val="20"/>
                <w:szCs w:val="20"/>
                <w:lang w:eastAsia="en-US"/>
              </w:rPr>
              <w:t>datasetu</w:t>
            </w:r>
            <w:proofErr w:type="spellEnd"/>
            <w:r w:rsidRPr="009D6D20">
              <w:rPr>
                <w:rFonts w:eastAsiaTheme="minorHAnsi"/>
                <w:sz w:val="20"/>
                <w:szCs w:val="20"/>
                <w:lang w:eastAsia="en-US"/>
              </w:rPr>
              <w:t xml:space="preserve">“ používáno pouze datum založení VZ či zahájení zadávacího řízení, bude riziko významně eliminováno. </w:t>
            </w:r>
          </w:p>
          <w:p w:rsidR="00C4769E" w:rsidRPr="009D6D20" w:rsidRDefault="00C4769E" w:rsidP="00C4769E">
            <w:pPr>
              <w:spacing w:after="240"/>
              <w:jc w:val="both"/>
              <w:rPr>
                <w:rFonts w:eastAsiaTheme="minorHAnsi"/>
                <w:b/>
                <w:sz w:val="20"/>
                <w:szCs w:val="20"/>
                <w:lang w:eastAsia="en-US"/>
              </w:rPr>
            </w:pPr>
            <w:r w:rsidRPr="009D6D20">
              <w:rPr>
                <w:rFonts w:eastAsiaTheme="minorHAnsi"/>
                <w:b/>
                <w:sz w:val="20"/>
                <w:szCs w:val="20"/>
                <w:lang w:eastAsia="en-US"/>
              </w:rPr>
              <w:t xml:space="preserve">NKÚ navrhuje, aby  MMR ve stanovisku na základě zjištění týkajících se vyhodnocení výkonových ukazatelů a neúplných či nesprávných hodnot v datech o zakázkách na e-tržištích uvedlo opatření k nápravě. </w:t>
            </w:r>
          </w:p>
          <w:p w:rsidR="00682F29" w:rsidRPr="009D6D20" w:rsidRDefault="009D6D20">
            <w:pPr>
              <w:widowControl w:val="0"/>
              <w:autoSpaceDE w:val="0"/>
              <w:autoSpaceDN w:val="0"/>
              <w:adjustRightInd w:val="0"/>
              <w:spacing w:before="120" w:after="120" w:line="276" w:lineRule="auto"/>
              <w:jc w:val="both"/>
              <w:rPr>
                <w:b/>
                <w:sz w:val="20"/>
                <w:szCs w:val="20"/>
                <w:lang w:eastAsia="en-US"/>
              </w:rPr>
            </w:pPr>
            <w:r w:rsidRPr="009D6D20">
              <w:rPr>
                <w:b/>
                <w:sz w:val="20"/>
                <w:szCs w:val="20"/>
                <w:lang w:eastAsia="en-US"/>
              </w:rPr>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682F29" w:rsidRPr="0022303E" w:rsidRDefault="00705F4A">
            <w:pPr>
              <w:spacing w:before="120" w:after="120" w:line="276" w:lineRule="auto"/>
              <w:jc w:val="both"/>
              <w:rPr>
                <w:b/>
                <w:sz w:val="20"/>
                <w:szCs w:val="20"/>
                <w:lang w:eastAsia="en-US"/>
              </w:rPr>
            </w:pPr>
            <w:r>
              <w:rPr>
                <w:b/>
                <w:sz w:val="20"/>
                <w:szCs w:val="20"/>
                <w:lang w:eastAsia="en-US"/>
              </w:rPr>
              <w:lastRenderedPageBreak/>
              <w:t>Akceptováno částečně</w:t>
            </w:r>
          </w:p>
          <w:p w:rsidR="0022303E" w:rsidRPr="0022303E" w:rsidRDefault="0022303E" w:rsidP="0022303E">
            <w:pPr>
              <w:spacing w:before="120" w:after="120" w:line="276" w:lineRule="auto"/>
              <w:jc w:val="both"/>
              <w:rPr>
                <w:sz w:val="20"/>
                <w:szCs w:val="20"/>
                <w:lang w:eastAsia="en-US"/>
              </w:rPr>
            </w:pPr>
            <w:r w:rsidRPr="0022303E">
              <w:rPr>
                <w:sz w:val="20"/>
                <w:szCs w:val="20"/>
                <w:lang w:eastAsia="en-US"/>
              </w:rPr>
              <w:t>Nápravná opatření v rámci kontroly nebyla systémová. Provozovatelé duplicity odstranili ještě před koncem kontroly. V nynější době by však, jak bylo ve stanovisku MMR uvedeno, byla systémová opatření neekonomická.</w:t>
            </w:r>
          </w:p>
          <w:p w:rsidR="0022303E" w:rsidRDefault="0022303E">
            <w:pPr>
              <w:spacing w:before="120" w:after="120" w:line="276" w:lineRule="auto"/>
              <w:jc w:val="both"/>
              <w:rPr>
                <w:b/>
                <w:color w:val="F79646" w:themeColor="accent6"/>
                <w:sz w:val="20"/>
                <w:szCs w:val="20"/>
                <w:lang w:eastAsia="en-US"/>
              </w:rPr>
            </w:pPr>
          </w:p>
          <w:p w:rsidR="0022303E" w:rsidRDefault="0022303E">
            <w:pPr>
              <w:spacing w:before="120" w:after="120" w:line="276" w:lineRule="auto"/>
              <w:jc w:val="both"/>
              <w:rPr>
                <w:b/>
                <w:color w:val="F79646" w:themeColor="accent6"/>
                <w:sz w:val="20"/>
                <w:szCs w:val="20"/>
                <w:lang w:eastAsia="en-US"/>
              </w:rPr>
            </w:pPr>
          </w:p>
          <w:p w:rsidR="0022303E" w:rsidRPr="0022303E" w:rsidRDefault="0022303E" w:rsidP="00705F4A">
            <w:pPr>
              <w:spacing w:before="120" w:after="120" w:line="276" w:lineRule="auto"/>
              <w:jc w:val="both"/>
              <w:rPr>
                <w:sz w:val="20"/>
                <w:szCs w:val="20"/>
                <w:lang w:eastAsia="en-US"/>
              </w:rPr>
            </w:pPr>
            <w:r w:rsidRPr="0022303E">
              <w:rPr>
                <w:sz w:val="20"/>
                <w:szCs w:val="20"/>
                <w:lang w:eastAsia="en-US"/>
              </w:rPr>
              <w:t>MRR jedná s provozovatel</w:t>
            </w:r>
            <w:r>
              <w:rPr>
                <w:sz w:val="20"/>
                <w:szCs w:val="20"/>
                <w:lang w:eastAsia="en-US"/>
              </w:rPr>
              <w:t>em</w:t>
            </w:r>
            <w:r w:rsidRPr="0022303E">
              <w:rPr>
                <w:sz w:val="20"/>
                <w:szCs w:val="20"/>
                <w:lang w:eastAsia="en-US"/>
              </w:rPr>
              <w:t xml:space="preserve"> ISVZ o </w:t>
            </w:r>
            <w:r>
              <w:rPr>
                <w:sz w:val="20"/>
                <w:szCs w:val="20"/>
                <w:lang w:eastAsia="en-US"/>
              </w:rPr>
              <w:t xml:space="preserve">změně vhodnějšího parametru. Je </w:t>
            </w:r>
            <w:r w:rsidRPr="0022303E">
              <w:rPr>
                <w:sz w:val="20"/>
                <w:szCs w:val="20"/>
                <w:lang w:eastAsia="en-US"/>
              </w:rPr>
              <w:t>nutné</w:t>
            </w:r>
            <w:r>
              <w:rPr>
                <w:sz w:val="20"/>
                <w:szCs w:val="20"/>
                <w:lang w:eastAsia="en-US"/>
              </w:rPr>
              <w:t>,</w:t>
            </w:r>
            <w:r w:rsidRPr="0022303E">
              <w:rPr>
                <w:sz w:val="20"/>
                <w:szCs w:val="20"/>
                <w:lang w:eastAsia="en-US"/>
              </w:rPr>
              <w:t xml:space="preserve"> aby nově zvolený parametr byl k dispozici ke všem VZ. Dále je také potřeba projednat možné změny, které by v rámci změny parametru vznikly. Do</w:t>
            </w:r>
            <w:r w:rsidR="00705F4A">
              <w:rPr>
                <w:sz w:val="20"/>
                <w:szCs w:val="20"/>
                <w:lang w:eastAsia="en-US"/>
              </w:rPr>
              <w:t xml:space="preserve"> stanoviska </w:t>
            </w:r>
            <w:r w:rsidR="00705F4A">
              <w:rPr>
                <w:sz w:val="20"/>
                <w:szCs w:val="20"/>
                <w:lang w:eastAsia="en-US"/>
              </w:rPr>
              <w:lastRenderedPageBreak/>
              <w:t xml:space="preserve">MMR bude dopsáno: „Na základě podnětu </w:t>
            </w:r>
            <w:proofErr w:type="gramStart"/>
            <w:r w:rsidR="00705F4A">
              <w:rPr>
                <w:sz w:val="20"/>
                <w:szCs w:val="20"/>
                <w:lang w:eastAsia="en-US"/>
              </w:rPr>
              <w:t>NKÚ,</w:t>
            </w:r>
            <w:r w:rsidRPr="0022303E">
              <w:rPr>
                <w:sz w:val="20"/>
                <w:szCs w:val="20"/>
                <w:lang w:eastAsia="en-US"/>
              </w:rPr>
              <w:t xml:space="preserve"> </w:t>
            </w:r>
            <w:r w:rsidR="00705F4A">
              <w:rPr>
                <w:sz w:val="20"/>
                <w:szCs w:val="20"/>
                <w:lang w:eastAsia="en-US"/>
              </w:rPr>
              <w:t xml:space="preserve"> </w:t>
            </w:r>
            <w:r w:rsidRPr="0022303E">
              <w:rPr>
                <w:sz w:val="20"/>
                <w:szCs w:val="20"/>
                <w:lang w:eastAsia="en-US"/>
              </w:rPr>
              <w:t xml:space="preserve"> zahájilo</w:t>
            </w:r>
            <w:proofErr w:type="gramEnd"/>
            <w:r w:rsidRPr="0022303E">
              <w:rPr>
                <w:sz w:val="20"/>
                <w:szCs w:val="20"/>
                <w:lang w:eastAsia="en-US"/>
              </w:rPr>
              <w:t xml:space="preserve"> </w:t>
            </w:r>
            <w:r w:rsidR="00705F4A" w:rsidRPr="0022303E">
              <w:rPr>
                <w:sz w:val="20"/>
                <w:szCs w:val="20"/>
                <w:lang w:eastAsia="en-US"/>
              </w:rPr>
              <w:t xml:space="preserve">MMR </w:t>
            </w:r>
            <w:r w:rsidRPr="0022303E">
              <w:rPr>
                <w:sz w:val="20"/>
                <w:szCs w:val="20"/>
                <w:lang w:eastAsia="en-US"/>
              </w:rPr>
              <w:t xml:space="preserve">jednání s provozovatelem ISVZ </w:t>
            </w:r>
            <w:r w:rsidR="003833EF">
              <w:rPr>
                <w:sz w:val="20"/>
                <w:szCs w:val="20"/>
                <w:lang w:eastAsia="en-US"/>
              </w:rPr>
              <w:br/>
            </w:r>
            <w:r w:rsidRPr="0022303E">
              <w:rPr>
                <w:sz w:val="20"/>
                <w:szCs w:val="20"/>
                <w:lang w:eastAsia="en-US"/>
              </w:rPr>
              <w:t>o možné změně parametru</w:t>
            </w:r>
            <w:r w:rsidR="00705F4A">
              <w:rPr>
                <w:sz w:val="20"/>
                <w:szCs w:val="20"/>
                <w:lang w:eastAsia="en-US"/>
              </w:rPr>
              <w:t>, podle kterého se data z e</w:t>
            </w:r>
            <w:r w:rsidR="00705F4A">
              <w:rPr>
                <w:sz w:val="20"/>
                <w:szCs w:val="20"/>
                <w:lang w:eastAsia="en-US"/>
              </w:rPr>
              <w:noBreakHyphen/>
            </w:r>
            <w:r w:rsidRPr="0022303E">
              <w:rPr>
                <w:sz w:val="20"/>
                <w:szCs w:val="20"/>
                <w:lang w:eastAsia="en-US"/>
              </w:rPr>
              <w:t>tržiště do ISVZ importují.“</w:t>
            </w:r>
          </w:p>
        </w:tc>
      </w:tr>
      <w:tr w:rsidR="00C4769E" w:rsidTr="00523BE3">
        <w:tc>
          <w:tcPr>
            <w:tcW w:w="682" w:type="dxa"/>
            <w:tcBorders>
              <w:top w:val="single" w:sz="4" w:space="0" w:color="auto"/>
              <w:left w:val="single" w:sz="4" w:space="0" w:color="auto"/>
              <w:bottom w:val="single" w:sz="4" w:space="0" w:color="auto"/>
              <w:right w:val="single" w:sz="4" w:space="0" w:color="auto"/>
            </w:tcBorders>
            <w:hideMark/>
          </w:tcPr>
          <w:p w:rsidR="00C4769E" w:rsidRDefault="007E4D1C">
            <w:pPr>
              <w:spacing w:before="120" w:after="120" w:line="276" w:lineRule="auto"/>
              <w:rPr>
                <w:b/>
                <w:bCs/>
                <w:sz w:val="20"/>
                <w:szCs w:val="20"/>
                <w:lang w:eastAsia="en-US"/>
              </w:rPr>
            </w:pPr>
            <w:r>
              <w:rPr>
                <w:b/>
                <w:bCs/>
                <w:sz w:val="20"/>
                <w:szCs w:val="20"/>
                <w:lang w:eastAsia="en-US"/>
              </w:rPr>
              <w:lastRenderedPageBreak/>
              <w:t>10</w:t>
            </w:r>
          </w:p>
        </w:tc>
        <w:tc>
          <w:tcPr>
            <w:tcW w:w="2485" w:type="dxa"/>
            <w:tcBorders>
              <w:top w:val="single" w:sz="4" w:space="0" w:color="auto"/>
              <w:left w:val="single" w:sz="4" w:space="0" w:color="auto"/>
              <w:bottom w:val="single" w:sz="4" w:space="0" w:color="auto"/>
              <w:right w:val="single" w:sz="4" w:space="0" w:color="auto"/>
            </w:tcBorders>
          </w:tcPr>
          <w:p w:rsidR="00C4769E" w:rsidRDefault="00C4769E">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C4769E"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9D6D20">
            <w:pPr>
              <w:jc w:val="both"/>
              <w:rPr>
                <w:rFonts w:eastAsiaTheme="minorHAnsi"/>
                <w:b/>
                <w:sz w:val="20"/>
                <w:szCs w:val="20"/>
                <w:lang w:eastAsia="en-US"/>
              </w:rPr>
            </w:pPr>
          </w:p>
          <w:p w:rsidR="00C4769E" w:rsidRDefault="00C4769E" w:rsidP="009D6D20">
            <w:pPr>
              <w:jc w:val="both"/>
              <w:rPr>
                <w:rFonts w:eastAsiaTheme="minorHAnsi"/>
                <w:b/>
                <w:sz w:val="20"/>
                <w:szCs w:val="20"/>
                <w:lang w:eastAsia="en-US"/>
              </w:rPr>
            </w:pPr>
            <w:r w:rsidRPr="009D6D20">
              <w:rPr>
                <w:rFonts w:eastAsiaTheme="minorHAnsi"/>
                <w:b/>
                <w:sz w:val="20"/>
                <w:szCs w:val="20"/>
                <w:lang w:eastAsia="en-US"/>
              </w:rPr>
              <w:t>8)</w:t>
            </w:r>
            <w:r w:rsidR="009D6D20">
              <w:rPr>
                <w:rFonts w:eastAsiaTheme="minorHAnsi"/>
                <w:b/>
                <w:sz w:val="20"/>
                <w:szCs w:val="20"/>
                <w:lang w:eastAsia="en-US"/>
              </w:rPr>
              <w:t xml:space="preserve"> </w:t>
            </w:r>
            <w:r w:rsidRPr="009D6D20">
              <w:rPr>
                <w:rFonts w:eastAsiaTheme="minorHAnsi"/>
                <w:b/>
                <w:sz w:val="20"/>
                <w:szCs w:val="20"/>
                <w:lang w:eastAsia="en-US"/>
              </w:rPr>
              <w:t>Strana 16, bod 2.6 b)</w:t>
            </w:r>
          </w:p>
          <w:p w:rsidR="009D6D20" w:rsidRPr="009D6D20" w:rsidRDefault="009D6D20" w:rsidP="009D6D20">
            <w:pPr>
              <w:jc w:val="both"/>
              <w:rPr>
                <w:rFonts w:eastAsiaTheme="minorHAnsi"/>
                <w:b/>
                <w:sz w:val="20"/>
                <w:szCs w:val="20"/>
                <w:lang w:eastAsia="en-US"/>
              </w:rPr>
            </w:pPr>
          </w:p>
          <w:p w:rsidR="00C4769E" w:rsidRPr="009D6D20" w:rsidRDefault="00C4769E" w:rsidP="00C4769E">
            <w:pPr>
              <w:autoSpaceDE w:val="0"/>
              <w:autoSpaceDN w:val="0"/>
              <w:adjustRightInd w:val="0"/>
              <w:jc w:val="both"/>
              <w:rPr>
                <w:rFonts w:eastAsia="Calibri"/>
                <w:sz w:val="20"/>
                <w:szCs w:val="20"/>
                <w:lang w:eastAsia="en-US"/>
              </w:rPr>
            </w:pPr>
            <w:r w:rsidRPr="009D6D20">
              <w:rPr>
                <w:rFonts w:eastAsia="Calibri"/>
                <w:sz w:val="20"/>
                <w:szCs w:val="20"/>
                <w:lang w:eastAsia="en-US"/>
              </w:rPr>
              <w:t xml:space="preserve">MMR navrhované řešení problému udržitelnosti výstupů projektu NIPEZ (technické specifikace e-tržišť) nebylo v průběhu kontrolní akce NKÚ prověřováno. </w:t>
            </w:r>
          </w:p>
          <w:p w:rsidR="00C4769E" w:rsidRDefault="00C4769E" w:rsidP="009D6D20">
            <w:pPr>
              <w:autoSpaceDE w:val="0"/>
              <w:autoSpaceDN w:val="0"/>
              <w:adjustRightInd w:val="0"/>
              <w:spacing w:after="240"/>
              <w:jc w:val="both"/>
              <w:rPr>
                <w:rFonts w:eastAsia="Calibri"/>
                <w:sz w:val="20"/>
                <w:szCs w:val="20"/>
                <w:lang w:eastAsia="en-US"/>
              </w:rPr>
            </w:pPr>
            <w:r w:rsidRPr="009D6D20">
              <w:rPr>
                <w:rFonts w:eastAsia="Calibri"/>
                <w:sz w:val="20"/>
                <w:szCs w:val="20"/>
                <w:lang w:eastAsia="en-US"/>
              </w:rPr>
              <w:t xml:space="preserve">Vzhledem k tomu, že se jedná o reakci MMR na zjištěné nedostatky, </w:t>
            </w:r>
            <w:r w:rsidRPr="009D6D20">
              <w:rPr>
                <w:rFonts w:eastAsia="Calibri"/>
                <w:b/>
                <w:sz w:val="20"/>
                <w:szCs w:val="20"/>
                <w:lang w:eastAsia="en-US"/>
              </w:rPr>
              <w:t>navrhuje NKÚ přesunout tuto část mezi nápravná opatření</w:t>
            </w:r>
            <w:r w:rsidRPr="009D6D20">
              <w:rPr>
                <w:rFonts w:eastAsia="Calibri"/>
                <w:sz w:val="20"/>
                <w:szCs w:val="20"/>
                <w:lang w:eastAsia="en-US"/>
              </w:rPr>
              <w:t xml:space="preserve">. </w:t>
            </w:r>
          </w:p>
          <w:p w:rsidR="009D6D20" w:rsidRPr="009D6D20" w:rsidRDefault="009D6D20" w:rsidP="009D6D20">
            <w:pPr>
              <w:autoSpaceDE w:val="0"/>
              <w:autoSpaceDN w:val="0"/>
              <w:adjustRightInd w:val="0"/>
              <w:spacing w:after="240"/>
              <w:jc w:val="both"/>
              <w:rPr>
                <w:rFonts w:eastAsiaTheme="minorHAnsi"/>
                <w:sz w:val="20"/>
                <w:szCs w:val="20"/>
                <w:lang w:eastAsia="en-US"/>
              </w:rPr>
            </w:pPr>
            <w:r w:rsidRPr="009D6D20">
              <w:rPr>
                <w:b/>
                <w:sz w:val="20"/>
                <w:szCs w:val="20"/>
                <w:lang w:eastAsia="en-US"/>
              </w:rPr>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C4769E" w:rsidRPr="009318BD" w:rsidRDefault="00516F99">
            <w:pPr>
              <w:spacing w:before="120" w:after="120" w:line="276" w:lineRule="auto"/>
              <w:jc w:val="both"/>
              <w:rPr>
                <w:b/>
                <w:sz w:val="20"/>
                <w:szCs w:val="20"/>
                <w:lang w:eastAsia="en-US"/>
              </w:rPr>
            </w:pPr>
            <w:r w:rsidRPr="009318BD">
              <w:rPr>
                <w:b/>
                <w:sz w:val="20"/>
                <w:szCs w:val="20"/>
                <w:lang w:eastAsia="en-US"/>
              </w:rPr>
              <w:t>Akceptováno</w:t>
            </w:r>
          </w:p>
          <w:p w:rsidR="00516F99" w:rsidRPr="009318BD" w:rsidRDefault="00516F99" w:rsidP="00FC139A">
            <w:pPr>
              <w:spacing w:before="120" w:after="120" w:line="276" w:lineRule="auto"/>
              <w:jc w:val="both"/>
              <w:rPr>
                <w:sz w:val="20"/>
                <w:szCs w:val="20"/>
                <w:lang w:eastAsia="en-US"/>
              </w:rPr>
            </w:pPr>
            <w:r w:rsidRPr="009318BD">
              <w:rPr>
                <w:sz w:val="20"/>
                <w:szCs w:val="20"/>
                <w:lang w:eastAsia="en-US"/>
              </w:rPr>
              <w:t>Doplněno nápravné opatření:</w:t>
            </w:r>
          </w:p>
          <w:p w:rsidR="00516F99" w:rsidRPr="009318BD" w:rsidRDefault="00516F99" w:rsidP="00FC139A">
            <w:pPr>
              <w:spacing w:before="120" w:after="120" w:line="276" w:lineRule="auto"/>
              <w:jc w:val="both"/>
              <w:rPr>
                <w:sz w:val="20"/>
                <w:szCs w:val="20"/>
                <w:lang w:eastAsia="en-US"/>
              </w:rPr>
            </w:pPr>
            <w:r w:rsidRPr="009318BD">
              <w:rPr>
                <w:sz w:val="20"/>
                <w:szCs w:val="20"/>
                <w:lang w:eastAsia="en-US"/>
              </w:rPr>
              <w:t>Zajistit po ukončení systému elektronických tržišť používání NEN jako centrálního</w:t>
            </w:r>
            <w:r w:rsidR="00AA0DA2">
              <w:rPr>
                <w:sz w:val="20"/>
                <w:szCs w:val="20"/>
                <w:lang w:eastAsia="en-US"/>
              </w:rPr>
              <w:t xml:space="preserve"> státního</w:t>
            </w:r>
            <w:r w:rsidRPr="009318BD">
              <w:rPr>
                <w:sz w:val="20"/>
                <w:szCs w:val="20"/>
                <w:lang w:eastAsia="en-US"/>
              </w:rPr>
              <w:t xml:space="preserve"> tržiště.</w:t>
            </w:r>
          </w:p>
          <w:p w:rsidR="00516F99" w:rsidRPr="009318BD" w:rsidRDefault="00AA0DA2" w:rsidP="00FC139A">
            <w:pPr>
              <w:spacing w:before="120" w:after="120" w:line="276" w:lineRule="auto"/>
              <w:jc w:val="both"/>
              <w:rPr>
                <w:sz w:val="20"/>
                <w:szCs w:val="20"/>
                <w:lang w:eastAsia="en-US"/>
              </w:rPr>
            </w:pPr>
            <w:r>
              <w:rPr>
                <w:sz w:val="20"/>
                <w:szCs w:val="20"/>
                <w:lang w:eastAsia="en-US"/>
              </w:rPr>
              <w:t>Termín: 30. 6</w:t>
            </w:r>
            <w:r w:rsidR="00516F99" w:rsidRPr="009318BD">
              <w:rPr>
                <w:sz w:val="20"/>
                <w:szCs w:val="20"/>
                <w:lang w:eastAsia="en-US"/>
              </w:rPr>
              <w:t>. 2017</w:t>
            </w:r>
          </w:p>
          <w:p w:rsidR="009A71A0" w:rsidRPr="009A71A0" w:rsidRDefault="00516F99" w:rsidP="00FC139A">
            <w:pPr>
              <w:spacing w:before="120" w:after="120" w:line="276" w:lineRule="auto"/>
              <w:jc w:val="both"/>
              <w:rPr>
                <w:sz w:val="20"/>
                <w:szCs w:val="20"/>
                <w:lang w:eastAsia="en-US"/>
              </w:rPr>
            </w:pPr>
            <w:r>
              <w:rPr>
                <w:b/>
                <w:color w:val="FFC000"/>
                <w:sz w:val="20"/>
                <w:szCs w:val="20"/>
                <w:lang w:eastAsia="en-US"/>
              </w:rPr>
              <w:t xml:space="preserve"> </w:t>
            </w:r>
            <w:r w:rsidR="00FC139A">
              <w:rPr>
                <w:sz w:val="20"/>
                <w:szCs w:val="20"/>
                <w:lang w:eastAsia="en-US"/>
              </w:rPr>
              <w:t xml:space="preserve">   </w:t>
            </w:r>
            <w:r w:rsidR="00370791">
              <w:rPr>
                <w:sz w:val="20"/>
                <w:szCs w:val="20"/>
                <w:lang w:eastAsia="en-US"/>
              </w:rPr>
              <w:t xml:space="preserve"> </w:t>
            </w:r>
            <w:r w:rsidR="009A71A0">
              <w:rPr>
                <w:sz w:val="20"/>
                <w:szCs w:val="20"/>
                <w:lang w:eastAsia="en-US"/>
              </w:rPr>
              <w:t xml:space="preserve"> </w:t>
            </w:r>
          </w:p>
        </w:tc>
      </w:tr>
      <w:tr w:rsidR="00C4769E" w:rsidTr="00523BE3">
        <w:tc>
          <w:tcPr>
            <w:tcW w:w="682" w:type="dxa"/>
            <w:tcBorders>
              <w:top w:val="single" w:sz="4" w:space="0" w:color="auto"/>
              <w:left w:val="single" w:sz="4" w:space="0" w:color="auto"/>
              <w:bottom w:val="single" w:sz="4" w:space="0" w:color="auto"/>
              <w:right w:val="single" w:sz="4" w:space="0" w:color="auto"/>
            </w:tcBorders>
            <w:hideMark/>
          </w:tcPr>
          <w:p w:rsidR="00C4769E" w:rsidRDefault="007E4D1C">
            <w:pPr>
              <w:spacing w:before="120" w:after="120" w:line="276" w:lineRule="auto"/>
              <w:rPr>
                <w:b/>
                <w:bCs/>
                <w:sz w:val="20"/>
                <w:szCs w:val="20"/>
                <w:lang w:eastAsia="en-US"/>
              </w:rPr>
            </w:pPr>
            <w:r>
              <w:rPr>
                <w:b/>
                <w:bCs/>
                <w:sz w:val="20"/>
                <w:szCs w:val="20"/>
                <w:lang w:eastAsia="en-US"/>
              </w:rPr>
              <w:t>11</w:t>
            </w:r>
          </w:p>
        </w:tc>
        <w:tc>
          <w:tcPr>
            <w:tcW w:w="2485" w:type="dxa"/>
            <w:tcBorders>
              <w:top w:val="single" w:sz="4" w:space="0" w:color="auto"/>
              <w:left w:val="single" w:sz="4" w:space="0" w:color="auto"/>
              <w:bottom w:val="single" w:sz="4" w:space="0" w:color="auto"/>
              <w:right w:val="single" w:sz="4" w:space="0" w:color="auto"/>
            </w:tcBorders>
          </w:tcPr>
          <w:p w:rsidR="00C4769E" w:rsidRDefault="00C4769E">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C4769E"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9D6D20">
            <w:pPr>
              <w:jc w:val="both"/>
              <w:rPr>
                <w:rFonts w:eastAsiaTheme="minorHAnsi"/>
                <w:b/>
                <w:sz w:val="20"/>
                <w:szCs w:val="20"/>
                <w:lang w:eastAsia="en-US"/>
              </w:rPr>
            </w:pPr>
          </w:p>
          <w:p w:rsidR="00C4769E" w:rsidRDefault="00C4769E" w:rsidP="009D6D20">
            <w:pPr>
              <w:jc w:val="both"/>
              <w:rPr>
                <w:rFonts w:eastAsiaTheme="minorHAnsi"/>
                <w:b/>
                <w:sz w:val="20"/>
                <w:szCs w:val="20"/>
                <w:lang w:eastAsia="en-US"/>
              </w:rPr>
            </w:pPr>
            <w:r w:rsidRPr="009D6D20">
              <w:rPr>
                <w:rFonts w:eastAsiaTheme="minorHAnsi"/>
                <w:b/>
                <w:sz w:val="20"/>
                <w:szCs w:val="20"/>
                <w:lang w:eastAsia="en-US"/>
              </w:rPr>
              <w:t>9)</w:t>
            </w:r>
            <w:r w:rsidR="009D6D20">
              <w:rPr>
                <w:rFonts w:eastAsiaTheme="minorHAnsi"/>
                <w:b/>
                <w:sz w:val="20"/>
                <w:szCs w:val="20"/>
                <w:lang w:eastAsia="en-US"/>
              </w:rPr>
              <w:t xml:space="preserve"> </w:t>
            </w:r>
            <w:r w:rsidRPr="009D6D20">
              <w:rPr>
                <w:rFonts w:eastAsiaTheme="minorHAnsi"/>
                <w:b/>
                <w:sz w:val="20"/>
                <w:szCs w:val="20"/>
                <w:lang w:eastAsia="en-US"/>
              </w:rPr>
              <w:t>Strana 16 až 17, bod 2.7</w:t>
            </w:r>
          </w:p>
          <w:p w:rsidR="009D6D20" w:rsidRPr="009D6D20" w:rsidRDefault="009D6D20" w:rsidP="009D6D20">
            <w:pPr>
              <w:jc w:val="both"/>
              <w:rPr>
                <w:rFonts w:eastAsiaTheme="minorHAnsi"/>
                <w:b/>
                <w:sz w:val="20"/>
                <w:szCs w:val="20"/>
                <w:lang w:eastAsia="en-US"/>
              </w:rPr>
            </w:pPr>
          </w:p>
          <w:p w:rsidR="00C4769E" w:rsidRDefault="00C4769E" w:rsidP="00C4769E">
            <w:pPr>
              <w:spacing w:after="240"/>
              <w:jc w:val="both"/>
              <w:rPr>
                <w:sz w:val="20"/>
                <w:szCs w:val="20"/>
                <w:lang w:eastAsia="en-US"/>
              </w:rPr>
            </w:pPr>
            <w:r w:rsidRPr="009D6D20">
              <w:rPr>
                <w:sz w:val="20"/>
                <w:szCs w:val="20"/>
                <w:lang w:eastAsia="en-US"/>
              </w:rPr>
              <w:t xml:space="preserve"> MMR reagovalo na zjištění NKÚ týkající se existence rozdílů mezi informacemi ve VVZ a v ISVZ a absence kontrolních mechanismů. MMR mohlo při vývoji </w:t>
            </w:r>
            <w:proofErr w:type="spellStart"/>
            <w:r w:rsidRPr="009D6D20">
              <w:rPr>
                <w:sz w:val="20"/>
                <w:szCs w:val="20"/>
                <w:lang w:eastAsia="en-US"/>
              </w:rPr>
              <w:t>uveřejňovacího</w:t>
            </w:r>
            <w:proofErr w:type="spellEnd"/>
            <w:r w:rsidRPr="009D6D20">
              <w:rPr>
                <w:sz w:val="20"/>
                <w:szCs w:val="20"/>
                <w:lang w:eastAsia="en-US"/>
              </w:rPr>
              <w:t xml:space="preserve"> subsystému požadovat zakomponování automatických kontrol správnosti vyplňovaných údajů, které by umožnily zadavatelům předcházet chybnému vyplňování formulářů, případně zadavatele upozornily na možné nesrovnalosti ještě před odesláním formuláře. Není zřejmé, zda zavedením nových formulářů pro uveřejňování informací bude problém vyřešen. </w:t>
            </w:r>
          </w:p>
          <w:p w:rsidR="00C4769E" w:rsidRPr="009D6D20" w:rsidRDefault="009D6D20" w:rsidP="009D6D20">
            <w:pPr>
              <w:spacing w:after="240"/>
              <w:jc w:val="both"/>
              <w:rPr>
                <w:sz w:val="20"/>
                <w:szCs w:val="20"/>
                <w:lang w:eastAsia="en-US"/>
              </w:rPr>
            </w:pPr>
            <w:r w:rsidRPr="009D6D20">
              <w:rPr>
                <w:b/>
                <w:sz w:val="20"/>
                <w:szCs w:val="20"/>
                <w:lang w:eastAsia="en-US"/>
              </w:rPr>
              <w:lastRenderedPageBreak/>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FC15EF" w:rsidRPr="00FC15EF" w:rsidRDefault="00FC15EF" w:rsidP="00FC15EF">
            <w:pPr>
              <w:spacing w:before="120" w:after="120" w:line="276" w:lineRule="auto"/>
              <w:jc w:val="both"/>
              <w:rPr>
                <w:b/>
                <w:sz w:val="20"/>
                <w:szCs w:val="20"/>
                <w:lang w:eastAsia="en-US"/>
              </w:rPr>
            </w:pPr>
            <w:r w:rsidRPr="00FC15EF">
              <w:rPr>
                <w:b/>
                <w:sz w:val="20"/>
                <w:szCs w:val="20"/>
                <w:lang w:eastAsia="en-US"/>
              </w:rPr>
              <w:lastRenderedPageBreak/>
              <w:t>Neakceptováno</w:t>
            </w:r>
          </w:p>
          <w:p w:rsidR="00FC15EF" w:rsidRDefault="00FC15EF" w:rsidP="00FC15EF">
            <w:pPr>
              <w:spacing w:before="120" w:after="120" w:line="276" w:lineRule="auto"/>
              <w:jc w:val="both"/>
              <w:rPr>
                <w:sz w:val="20"/>
                <w:szCs w:val="20"/>
                <w:lang w:eastAsia="en-US"/>
              </w:rPr>
            </w:pPr>
            <w:r>
              <w:rPr>
                <w:sz w:val="20"/>
                <w:szCs w:val="20"/>
                <w:lang w:eastAsia="en-US"/>
              </w:rPr>
              <w:t xml:space="preserve">MMR trvá na tom, že validační pravidla jsou nastavena v maximální míře dané legislativou.  </w:t>
            </w:r>
          </w:p>
          <w:p w:rsidR="00C4769E" w:rsidRPr="00515B67" w:rsidRDefault="00C4769E">
            <w:pPr>
              <w:spacing w:before="120" w:after="120" w:line="276" w:lineRule="auto"/>
              <w:jc w:val="both"/>
              <w:rPr>
                <w:b/>
                <w:color w:val="F79646" w:themeColor="accent6"/>
                <w:sz w:val="20"/>
                <w:szCs w:val="20"/>
                <w:lang w:eastAsia="en-US"/>
              </w:rPr>
            </w:pPr>
          </w:p>
        </w:tc>
      </w:tr>
      <w:tr w:rsidR="00C4769E" w:rsidTr="00523BE3">
        <w:tc>
          <w:tcPr>
            <w:tcW w:w="682" w:type="dxa"/>
            <w:tcBorders>
              <w:top w:val="single" w:sz="4" w:space="0" w:color="auto"/>
              <w:left w:val="single" w:sz="4" w:space="0" w:color="auto"/>
              <w:bottom w:val="single" w:sz="4" w:space="0" w:color="auto"/>
              <w:right w:val="single" w:sz="4" w:space="0" w:color="auto"/>
            </w:tcBorders>
            <w:hideMark/>
          </w:tcPr>
          <w:p w:rsidR="00C4769E" w:rsidRDefault="007E4D1C">
            <w:pPr>
              <w:spacing w:before="120" w:after="120" w:line="276" w:lineRule="auto"/>
              <w:rPr>
                <w:b/>
                <w:bCs/>
                <w:sz w:val="20"/>
                <w:szCs w:val="20"/>
                <w:lang w:eastAsia="en-US"/>
              </w:rPr>
            </w:pPr>
            <w:r>
              <w:rPr>
                <w:b/>
                <w:bCs/>
                <w:sz w:val="20"/>
                <w:szCs w:val="20"/>
                <w:lang w:eastAsia="en-US"/>
              </w:rPr>
              <w:lastRenderedPageBreak/>
              <w:t>12</w:t>
            </w:r>
          </w:p>
        </w:tc>
        <w:tc>
          <w:tcPr>
            <w:tcW w:w="2485" w:type="dxa"/>
            <w:tcBorders>
              <w:top w:val="single" w:sz="4" w:space="0" w:color="auto"/>
              <w:left w:val="single" w:sz="4" w:space="0" w:color="auto"/>
              <w:bottom w:val="single" w:sz="4" w:space="0" w:color="auto"/>
              <w:right w:val="single" w:sz="4" w:space="0" w:color="auto"/>
            </w:tcBorders>
          </w:tcPr>
          <w:p w:rsidR="00C4769E" w:rsidRDefault="00C4769E">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C4769E"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9D6D20">
            <w:pPr>
              <w:jc w:val="both"/>
              <w:rPr>
                <w:rFonts w:eastAsiaTheme="minorHAnsi"/>
                <w:b/>
                <w:sz w:val="20"/>
                <w:szCs w:val="20"/>
                <w:lang w:eastAsia="en-US"/>
              </w:rPr>
            </w:pPr>
          </w:p>
          <w:p w:rsidR="00C4769E" w:rsidRPr="009D6D20" w:rsidRDefault="00C4769E" w:rsidP="009D6D20">
            <w:pPr>
              <w:jc w:val="both"/>
              <w:rPr>
                <w:rFonts w:eastAsiaTheme="minorHAnsi"/>
                <w:b/>
                <w:sz w:val="20"/>
                <w:szCs w:val="20"/>
                <w:lang w:eastAsia="en-US"/>
              </w:rPr>
            </w:pPr>
            <w:r w:rsidRPr="009D6D20">
              <w:rPr>
                <w:rFonts w:eastAsiaTheme="minorHAnsi"/>
                <w:b/>
                <w:sz w:val="20"/>
                <w:szCs w:val="20"/>
                <w:lang w:eastAsia="en-US"/>
              </w:rPr>
              <w:t>10)</w:t>
            </w:r>
            <w:r w:rsidR="009D6D20">
              <w:rPr>
                <w:rFonts w:eastAsiaTheme="minorHAnsi"/>
                <w:b/>
                <w:sz w:val="20"/>
                <w:szCs w:val="20"/>
                <w:lang w:eastAsia="en-US"/>
              </w:rPr>
              <w:t xml:space="preserve"> </w:t>
            </w:r>
            <w:r w:rsidRPr="009D6D20">
              <w:rPr>
                <w:rFonts w:eastAsiaTheme="minorHAnsi"/>
                <w:b/>
                <w:sz w:val="20"/>
                <w:szCs w:val="20"/>
                <w:lang w:eastAsia="en-US"/>
              </w:rPr>
              <w:t xml:space="preserve">Strana 17, </w:t>
            </w:r>
            <w:proofErr w:type="gramStart"/>
            <w:r w:rsidRPr="009D6D20">
              <w:rPr>
                <w:rFonts w:eastAsiaTheme="minorHAnsi"/>
                <w:b/>
                <w:sz w:val="20"/>
                <w:szCs w:val="20"/>
                <w:lang w:eastAsia="en-US"/>
              </w:rPr>
              <w:t>bod 3.A</w:t>
            </w:r>
            <w:proofErr w:type="gramEnd"/>
          </w:p>
          <w:p w:rsidR="00C4769E" w:rsidRDefault="00C4769E" w:rsidP="00C4769E">
            <w:pPr>
              <w:spacing w:after="240"/>
              <w:jc w:val="both"/>
              <w:rPr>
                <w:rFonts w:eastAsiaTheme="minorHAnsi"/>
                <w:sz w:val="20"/>
                <w:szCs w:val="20"/>
                <w:lang w:eastAsia="en-US"/>
              </w:rPr>
            </w:pPr>
            <w:r w:rsidRPr="009D6D20">
              <w:rPr>
                <w:rFonts w:eastAsiaTheme="minorHAnsi"/>
                <w:sz w:val="20"/>
                <w:szCs w:val="20"/>
                <w:lang w:eastAsia="en-US"/>
              </w:rPr>
              <w:t xml:space="preserve">MMR v opatření reaguje na část doporučení NKÚ, která se týkala zajištění efektivního využívání NEN. </w:t>
            </w:r>
            <w:r w:rsidRPr="009D6D20">
              <w:rPr>
                <w:rFonts w:eastAsia="Calibri"/>
                <w:sz w:val="20"/>
                <w:szCs w:val="20"/>
                <w:lang w:eastAsia="en-US"/>
              </w:rPr>
              <w:t xml:space="preserve">MMR uváděná </w:t>
            </w:r>
            <w:r w:rsidRPr="009D6D20">
              <w:rPr>
                <w:rFonts w:eastAsiaTheme="minorHAnsi"/>
                <w:i/>
                <w:sz w:val="20"/>
                <w:szCs w:val="20"/>
                <w:lang w:eastAsia="en-US"/>
              </w:rPr>
              <w:t>Strategie elektronizace veřejných zakázek pro období let 2016 až 2020</w:t>
            </w:r>
            <w:r w:rsidRPr="009D6D20">
              <w:rPr>
                <w:rFonts w:eastAsiaTheme="minorHAnsi"/>
                <w:sz w:val="20"/>
                <w:szCs w:val="20"/>
                <w:lang w:eastAsia="en-US"/>
              </w:rPr>
              <w:t xml:space="preserve"> však</w:t>
            </w:r>
            <w:r w:rsidRPr="009D6D20">
              <w:rPr>
                <w:rFonts w:eastAsiaTheme="minorHAnsi"/>
                <w:i/>
                <w:sz w:val="20"/>
                <w:szCs w:val="20"/>
                <w:lang w:eastAsia="en-US"/>
              </w:rPr>
              <w:t xml:space="preserve"> </w:t>
            </w:r>
            <w:r w:rsidRPr="009D6D20">
              <w:rPr>
                <w:rFonts w:eastAsiaTheme="minorHAnsi"/>
                <w:sz w:val="20"/>
                <w:szCs w:val="20"/>
                <w:lang w:eastAsia="en-US"/>
              </w:rPr>
              <w:t>není obecně závazným právním předpisem. MMR nenavrhlo žádné opatření ve vztahu k zákonné povinnosti používat pro zadávání veřejných zakázek certifikované elektronické nástroje podporující komplexní zadávací procesy pro všechny druhy zadávacích řízení.</w:t>
            </w:r>
          </w:p>
          <w:p w:rsidR="00C4769E" w:rsidRPr="009D6D20" w:rsidRDefault="009D6D20" w:rsidP="009D6D20">
            <w:pPr>
              <w:spacing w:after="240"/>
              <w:jc w:val="both"/>
              <w:rPr>
                <w:rFonts w:eastAsiaTheme="minorHAnsi"/>
                <w:sz w:val="20"/>
                <w:szCs w:val="20"/>
                <w:lang w:eastAsia="en-US"/>
              </w:rPr>
            </w:pPr>
            <w:r w:rsidRPr="009D6D20">
              <w:rPr>
                <w:b/>
                <w:sz w:val="20"/>
                <w:szCs w:val="20"/>
                <w:lang w:eastAsia="en-US"/>
              </w:rPr>
              <w:t>Doporučující připomínka</w:t>
            </w:r>
          </w:p>
        </w:tc>
        <w:tc>
          <w:tcPr>
            <w:tcW w:w="4711" w:type="dxa"/>
            <w:tcBorders>
              <w:top w:val="single" w:sz="4" w:space="0" w:color="auto"/>
              <w:left w:val="single" w:sz="4" w:space="0" w:color="auto"/>
              <w:bottom w:val="single" w:sz="4" w:space="0" w:color="auto"/>
              <w:right w:val="single" w:sz="4" w:space="0" w:color="auto"/>
            </w:tcBorders>
            <w:hideMark/>
          </w:tcPr>
          <w:p w:rsidR="00C4769E" w:rsidRDefault="00CE5CA7">
            <w:pPr>
              <w:spacing w:before="120" w:after="120" w:line="276" w:lineRule="auto"/>
              <w:jc w:val="both"/>
              <w:rPr>
                <w:b/>
                <w:sz w:val="20"/>
                <w:szCs w:val="20"/>
                <w:lang w:eastAsia="en-US"/>
              </w:rPr>
            </w:pPr>
            <w:r w:rsidRPr="00CE5CA7">
              <w:rPr>
                <w:b/>
                <w:sz w:val="20"/>
                <w:szCs w:val="20"/>
                <w:lang w:eastAsia="en-US"/>
              </w:rPr>
              <w:t>Vysvětleno</w:t>
            </w:r>
          </w:p>
          <w:p w:rsidR="00CE5CA7" w:rsidRPr="00FC15EF" w:rsidRDefault="00FC15EF">
            <w:pPr>
              <w:spacing w:before="120" w:after="120" w:line="276" w:lineRule="auto"/>
              <w:jc w:val="both"/>
              <w:rPr>
                <w:sz w:val="20"/>
                <w:szCs w:val="20"/>
                <w:lang w:eastAsia="en-US"/>
              </w:rPr>
            </w:pPr>
            <w:r w:rsidRPr="00FC15EF">
              <w:rPr>
                <w:sz w:val="20"/>
                <w:szCs w:val="20"/>
                <w:lang w:eastAsia="en-US"/>
              </w:rPr>
              <w:t>Strategie elektronizace na období 2016</w:t>
            </w:r>
            <w:r>
              <w:rPr>
                <w:sz w:val="20"/>
                <w:szCs w:val="20"/>
                <w:lang w:eastAsia="en-US"/>
              </w:rPr>
              <w:t xml:space="preserve"> </w:t>
            </w:r>
            <w:r w:rsidRPr="00FC15EF">
              <w:rPr>
                <w:sz w:val="20"/>
                <w:szCs w:val="20"/>
                <w:lang w:eastAsia="en-US"/>
              </w:rPr>
              <w:t>-</w:t>
            </w:r>
            <w:r>
              <w:rPr>
                <w:sz w:val="20"/>
                <w:szCs w:val="20"/>
                <w:lang w:eastAsia="en-US"/>
              </w:rPr>
              <w:t xml:space="preserve"> </w:t>
            </w:r>
            <w:r w:rsidRPr="00FC15EF">
              <w:rPr>
                <w:sz w:val="20"/>
                <w:szCs w:val="20"/>
                <w:lang w:eastAsia="en-US"/>
              </w:rPr>
              <w:t>2020 stanoví základní směry, ale konkrétní implementační kroky (např. novela zákona), které budou realizovány, nepatří do dokumentu tohoto typu.</w:t>
            </w:r>
          </w:p>
        </w:tc>
      </w:tr>
      <w:tr w:rsidR="00C4769E" w:rsidTr="00523BE3">
        <w:tc>
          <w:tcPr>
            <w:tcW w:w="682" w:type="dxa"/>
            <w:tcBorders>
              <w:top w:val="single" w:sz="4" w:space="0" w:color="auto"/>
              <w:left w:val="single" w:sz="4" w:space="0" w:color="auto"/>
              <w:bottom w:val="single" w:sz="4" w:space="0" w:color="auto"/>
              <w:right w:val="single" w:sz="4" w:space="0" w:color="auto"/>
            </w:tcBorders>
            <w:hideMark/>
          </w:tcPr>
          <w:p w:rsidR="00C4769E" w:rsidRDefault="007E4D1C">
            <w:pPr>
              <w:spacing w:before="120" w:after="120" w:line="276" w:lineRule="auto"/>
              <w:rPr>
                <w:b/>
                <w:bCs/>
                <w:sz w:val="20"/>
                <w:szCs w:val="20"/>
                <w:lang w:eastAsia="en-US"/>
              </w:rPr>
            </w:pPr>
            <w:r>
              <w:rPr>
                <w:b/>
                <w:bCs/>
                <w:sz w:val="20"/>
                <w:szCs w:val="20"/>
                <w:lang w:eastAsia="en-US"/>
              </w:rPr>
              <w:t>13</w:t>
            </w:r>
          </w:p>
        </w:tc>
        <w:tc>
          <w:tcPr>
            <w:tcW w:w="2485" w:type="dxa"/>
            <w:tcBorders>
              <w:top w:val="single" w:sz="4" w:space="0" w:color="auto"/>
              <w:left w:val="single" w:sz="4" w:space="0" w:color="auto"/>
              <w:bottom w:val="single" w:sz="4" w:space="0" w:color="auto"/>
              <w:right w:val="single" w:sz="4" w:space="0" w:color="auto"/>
            </w:tcBorders>
          </w:tcPr>
          <w:p w:rsidR="00C4769E" w:rsidRDefault="00C4769E">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C4769E"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9D6D20">
            <w:pPr>
              <w:jc w:val="both"/>
              <w:rPr>
                <w:rFonts w:eastAsiaTheme="minorHAnsi"/>
                <w:b/>
                <w:sz w:val="20"/>
                <w:szCs w:val="20"/>
                <w:lang w:eastAsia="en-US"/>
              </w:rPr>
            </w:pPr>
          </w:p>
          <w:p w:rsidR="00C4769E" w:rsidRPr="009D6D20" w:rsidRDefault="00C4769E" w:rsidP="009D6D20">
            <w:pPr>
              <w:jc w:val="both"/>
              <w:rPr>
                <w:rFonts w:eastAsiaTheme="minorHAnsi"/>
                <w:b/>
                <w:sz w:val="20"/>
                <w:szCs w:val="20"/>
                <w:lang w:eastAsia="en-US"/>
              </w:rPr>
            </w:pPr>
            <w:r w:rsidRPr="009D6D20">
              <w:rPr>
                <w:rFonts w:eastAsiaTheme="minorHAnsi"/>
                <w:b/>
                <w:sz w:val="20"/>
                <w:szCs w:val="20"/>
                <w:lang w:eastAsia="en-US"/>
              </w:rPr>
              <w:t>11)</w:t>
            </w:r>
            <w:r w:rsidR="009D6D20">
              <w:rPr>
                <w:rFonts w:eastAsiaTheme="minorHAnsi"/>
                <w:b/>
                <w:sz w:val="20"/>
                <w:szCs w:val="20"/>
                <w:lang w:eastAsia="en-US"/>
              </w:rPr>
              <w:t xml:space="preserve">  </w:t>
            </w:r>
            <w:r w:rsidRPr="009D6D20">
              <w:rPr>
                <w:rFonts w:eastAsiaTheme="minorHAnsi"/>
                <w:b/>
                <w:sz w:val="20"/>
                <w:szCs w:val="20"/>
                <w:lang w:eastAsia="en-US"/>
              </w:rPr>
              <w:t xml:space="preserve">Strana 17, </w:t>
            </w:r>
            <w:proofErr w:type="gramStart"/>
            <w:r w:rsidRPr="009D6D20">
              <w:rPr>
                <w:rFonts w:eastAsiaTheme="minorHAnsi"/>
                <w:b/>
                <w:sz w:val="20"/>
                <w:szCs w:val="20"/>
                <w:lang w:eastAsia="en-US"/>
              </w:rPr>
              <w:t>bod 3.B</w:t>
            </w:r>
            <w:proofErr w:type="gramEnd"/>
          </w:p>
          <w:p w:rsidR="00C4769E" w:rsidRPr="009D6D20" w:rsidRDefault="00C4769E" w:rsidP="00C4769E">
            <w:pPr>
              <w:spacing w:after="120"/>
              <w:jc w:val="both"/>
              <w:rPr>
                <w:rFonts w:eastAsiaTheme="minorHAnsi"/>
                <w:sz w:val="20"/>
                <w:szCs w:val="20"/>
                <w:lang w:eastAsia="en-US"/>
              </w:rPr>
            </w:pPr>
            <w:r w:rsidRPr="009D6D20">
              <w:rPr>
                <w:rFonts w:eastAsiaTheme="minorHAnsi"/>
                <w:sz w:val="20"/>
                <w:szCs w:val="20"/>
                <w:lang w:eastAsia="en-US"/>
              </w:rPr>
              <w:t xml:space="preserve">NKÚ k navrhované vyhlášce </w:t>
            </w:r>
            <w:bookmarkStart w:id="0" w:name="_Toc280353465"/>
            <w:bookmarkStart w:id="1" w:name="_Toc280354129"/>
            <w:r w:rsidRPr="009D6D20">
              <w:rPr>
                <w:rFonts w:eastAsiaTheme="minorHAnsi"/>
                <w:i/>
                <w:sz w:val="20"/>
                <w:szCs w:val="20"/>
                <w:lang w:eastAsia="en-US"/>
              </w:rPr>
              <w:t>„o stanovení podrobnějších podmínek týkajících se elektronických nástrojů a úkonů učiněných elektronicky při zadávání veřejných zakázek a podrobností týkajících se certifikátu shody</w:t>
            </w:r>
            <w:bookmarkEnd w:id="0"/>
            <w:bookmarkEnd w:id="1"/>
            <w:r w:rsidRPr="009D6D20">
              <w:rPr>
                <w:rFonts w:eastAsiaTheme="minorHAnsi"/>
                <w:i/>
                <w:sz w:val="20"/>
                <w:szCs w:val="20"/>
                <w:lang w:eastAsia="en-US"/>
              </w:rPr>
              <w:t>“</w:t>
            </w:r>
            <w:r w:rsidRPr="009D6D20">
              <w:rPr>
                <w:rFonts w:eastAsiaTheme="minorHAnsi"/>
                <w:sz w:val="20"/>
                <w:szCs w:val="20"/>
                <w:lang w:eastAsia="en-US"/>
              </w:rPr>
              <w:t xml:space="preserve"> uplatnil v rámci meziresortního připomínkového řízení připomínky a nepovažuje tento návrh za dostatečné řešení standardizace elektronických nástrojů umožňující zadavateli jejich porovnání a výběr nejvhodnějšího nástroje.</w:t>
            </w:r>
          </w:p>
          <w:p w:rsidR="00C4769E" w:rsidRPr="009D6D20" w:rsidRDefault="00C4769E" w:rsidP="00C4769E">
            <w:pPr>
              <w:spacing w:after="240"/>
              <w:jc w:val="both"/>
              <w:rPr>
                <w:rFonts w:eastAsiaTheme="minorHAnsi"/>
                <w:b/>
                <w:sz w:val="20"/>
                <w:szCs w:val="20"/>
                <w:highlight w:val="green"/>
                <w:lang w:eastAsia="en-US"/>
              </w:rPr>
            </w:pPr>
            <w:r w:rsidRPr="009D6D20">
              <w:rPr>
                <w:rFonts w:eastAsiaTheme="minorHAnsi"/>
                <w:b/>
                <w:sz w:val="20"/>
                <w:szCs w:val="20"/>
                <w:lang w:eastAsia="en-US"/>
              </w:rPr>
              <w:t>NKÚ navrhuje, aby MMR doplnilo navrhované nápravné opatření tak, aby standardizace elektronických nástrojů umožňovala zadavateli jejich porovnání a výběr nejvhodnějšího nástroje.</w:t>
            </w:r>
          </w:p>
          <w:p w:rsidR="00C4769E" w:rsidRDefault="009D6D20" w:rsidP="00C4769E">
            <w:pPr>
              <w:jc w:val="both"/>
              <w:rPr>
                <w:b/>
                <w:sz w:val="20"/>
                <w:szCs w:val="20"/>
                <w:lang w:eastAsia="en-US"/>
              </w:rPr>
            </w:pPr>
            <w:r w:rsidRPr="009D6D20">
              <w:rPr>
                <w:b/>
                <w:sz w:val="20"/>
                <w:szCs w:val="20"/>
                <w:lang w:eastAsia="en-US"/>
              </w:rPr>
              <w:t>Doporučující připomínka</w:t>
            </w:r>
          </w:p>
          <w:p w:rsidR="009D6D20" w:rsidRPr="009D6D20" w:rsidRDefault="009D6D20" w:rsidP="00C4769E">
            <w:pPr>
              <w:jc w:val="both"/>
              <w:rPr>
                <w:rFonts w:eastAsiaTheme="minorHAnsi"/>
                <w:b/>
                <w:sz w:val="20"/>
                <w:szCs w:val="20"/>
                <w:lang w:eastAsia="en-US"/>
              </w:rPr>
            </w:pPr>
          </w:p>
        </w:tc>
        <w:tc>
          <w:tcPr>
            <w:tcW w:w="4711" w:type="dxa"/>
            <w:tcBorders>
              <w:top w:val="single" w:sz="4" w:space="0" w:color="auto"/>
              <w:left w:val="single" w:sz="4" w:space="0" w:color="auto"/>
              <w:bottom w:val="single" w:sz="4" w:space="0" w:color="auto"/>
              <w:right w:val="single" w:sz="4" w:space="0" w:color="auto"/>
            </w:tcBorders>
            <w:hideMark/>
          </w:tcPr>
          <w:p w:rsidR="00C4769E" w:rsidRDefault="00CE5CA7">
            <w:pPr>
              <w:spacing w:before="120" w:after="120" w:line="276" w:lineRule="auto"/>
              <w:jc w:val="both"/>
              <w:rPr>
                <w:b/>
                <w:sz w:val="20"/>
                <w:szCs w:val="20"/>
                <w:lang w:eastAsia="en-US"/>
              </w:rPr>
            </w:pPr>
            <w:r>
              <w:rPr>
                <w:b/>
                <w:sz w:val="20"/>
                <w:szCs w:val="20"/>
                <w:lang w:eastAsia="en-US"/>
              </w:rPr>
              <w:t>Vysvětleno</w:t>
            </w:r>
          </w:p>
          <w:p w:rsidR="00193835" w:rsidRPr="00193835" w:rsidRDefault="00193835">
            <w:pPr>
              <w:spacing w:before="120" w:after="120" w:line="276" w:lineRule="auto"/>
              <w:jc w:val="both"/>
              <w:rPr>
                <w:sz w:val="20"/>
                <w:szCs w:val="20"/>
                <w:lang w:eastAsia="en-US"/>
              </w:rPr>
            </w:pPr>
            <w:r w:rsidRPr="00193835">
              <w:rPr>
                <w:sz w:val="20"/>
                <w:szCs w:val="20"/>
                <w:lang w:eastAsia="en-US"/>
              </w:rPr>
              <w:t>- vysvětlení viz připomínka č. 8</w:t>
            </w:r>
          </w:p>
        </w:tc>
      </w:tr>
      <w:tr w:rsidR="00C4769E" w:rsidTr="00523BE3">
        <w:tc>
          <w:tcPr>
            <w:tcW w:w="682" w:type="dxa"/>
            <w:tcBorders>
              <w:top w:val="single" w:sz="4" w:space="0" w:color="auto"/>
              <w:left w:val="single" w:sz="4" w:space="0" w:color="auto"/>
              <w:bottom w:val="single" w:sz="4" w:space="0" w:color="auto"/>
              <w:right w:val="single" w:sz="4" w:space="0" w:color="auto"/>
            </w:tcBorders>
            <w:hideMark/>
          </w:tcPr>
          <w:p w:rsidR="00C4769E" w:rsidRDefault="007E4D1C">
            <w:pPr>
              <w:spacing w:before="120" w:after="120" w:line="276" w:lineRule="auto"/>
              <w:rPr>
                <w:b/>
                <w:bCs/>
                <w:sz w:val="20"/>
                <w:szCs w:val="20"/>
                <w:lang w:eastAsia="en-US"/>
              </w:rPr>
            </w:pPr>
            <w:r>
              <w:rPr>
                <w:b/>
                <w:bCs/>
                <w:sz w:val="20"/>
                <w:szCs w:val="20"/>
                <w:lang w:eastAsia="en-US"/>
              </w:rPr>
              <w:t>14</w:t>
            </w:r>
          </w:p>
        </w:tc>
        <w:tc>
          <w:tcPr>
            <w:tcW w:w="2485" w:type="dxa"/>
            <w:tcBorders>
              <w:top w:val="single" w:sz="4" w:space="0" w:color="auto"/>
              <w:left w:val="single" w:sz="4" w:space="0" w:color="auto"/>
              <w:bottom w:val="single" w:sz="4" w:space="0" w:color="auto"/>
              <w:right w:val="single" w:sz="4" w:space="0" w:color="auto"/>
            </w:tcBorders>
          </w:tcPr>
          <w:p w:rsidR="00C4769E" w:rsidRDefault="00C4769E">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C4769E"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9D6D20">
            <w:pPr>
              <w:jc w:val="both"/>
              <w:rPr>
                <w:rFonts w:eastAsiaTheme="minorHAnsi"/>
                <w:b/>
                <w:sz w:val="20"/>
                <w:szCs w:val="20"/>
                <w:lang w:eastAsia="en-US"/>
              </w:rPr>
            </w:pPr>
          </w:p>
          <w:p w:rsidR="00C4769E" w:rsidRPr="009D6D20" w:rsidRDefault="00C4769E" w:rsidP="009D6D20">
            <w:pPr>
              <w:jc w:val="both"/>
              <w:rPr>
                <w:rFonts w:eastAsiaTheme="minorHAnsi"/>
                <w:b/>
                <w:sz w:val="20"/>
                <w:szCs w:val="20"/>
                <w:lang w:eastAsia="en-US"/>
              </w:rPr>
            </w:pPr>
            <w:r w:rsidRPr="009D6D20">
              <w:rPr>
                <w:rFonts w:eastAsiaTheme="minorHAnsi"/>
                <w:b/>
                <w:sz w:val="20"/>
                <w:szCs w:val="20"/>
                <w:lang w:eastAsia="en-US"/>
              </w:rPr>
              <w:t>12)</w:t>
            </w:r>
            <w:r w:rsidR="009D6D20">
              <w:rPr>
                <w:rFonts w:eastAsiaTheme="minorHAnsi"/>
                <w:b/>
                <w:sz w:val="20"/>
                <w:szCs w:val="20"/>
                <w:lang w:eastAsia="en-US"/>
              </w:rPr>
              <w:t xml:space="preserve">  </w:t>
            </w:r>
            <w:r w:rsidRPr="009D6D20">
              <w:rPr>
                <w:rFonts w:eastAsiaTheme="minorHAnsi"/>
                <w:b/>
                <w:sz w:val="20"/>
                <w:szCs w:val="20"/>
                <w:lang w:eastAsia="en-US"/>
              </w:rPr>
              <w:t xml:space="preserve">Strana 18, </w:t>
            </w:r>
            <w:proofErr w:type="gramStart"/>
            <w:r w:rsidRPr="009D6D20">
              <w:rPr>
                <w:rFonts w:eastAsiaTheme="minorHAnsi"/>
                <w:b/>
                <w:sz w:val="20"/>
                <w:szCs w:val="20"/>
                <w:lang w:eastAsia="en-US"/>
              </w:rPr>
              <w:t>bod 3.C</w:t>
            </w:r>
            <w:proofErr w:type="gramEnd"/>
          </w:p>
          <w:p w:rsidR="00C4769E" w:rsidRPr="009D6D20" w:rsidRDefault="00C4769E" w:rsidP="00C4769E">
            <w:pPr>
              <w:spacing w:after="120"/>
              <w:jc w:val="both"/>
              <w:rPr>
                <w:rFonts w:eastAsiaTheme="minorHAnsi"/>
                <w:sz w:val="20"/>
                <w:szCs w:val="20"/>
                <w:lang w:eastAsia="en-US"/>
              </w:rPr>
            </w:pPr>
            <w:r w:rsidRPr="009D6D20">
              <w:rPr>
                <w:rFonts w:eastAsiaTheme="minorHAnsi"/>
                <w:sz w:val="20"/>
                <w:szCs w:val="20"/>
                <w:lang w:eastAsia="en-US"/>
              </w:rPr>
              <w:t>Z navrženého opatření není zřejmé, jakým způsobem MMR podněcuje či bude podněcovat vyšší účast přeshraničních dodavatelů na veřejných zakázkách ve smyslu doporučení NKÚ.</w:t>
            </w:r>
          </w:p>
          <w:p w:rsidR="00C4769E" w:rsidRPr="009D6D20" w:rsidRDefault="00C4769E" w:rsidP="00C4769E">
            <w:pPr>
              <w:spacing w:after="240"/>
              <w:jc w:val="both"/>
              <w:rPr>
                <w:rFonts w:eastAsiaTheme="minorHAnsi"/>
                <w:b/>
                <w:sz w:val="20"/>
                <w:szCs w:val="20"/>
                <w:lang w:eastAsia="en-US"/>
              </w:rPr>
            </w:pPr>
            <w:r w:rsidRPr="009D6D20">
              <w:rPr>
                <w:rFonts w:eastAsiaTheme="minorHAnsi"/>
                <w:b/>
                <w:sz w:val="20"/>
                <w:szCs w:val="20"/>
                <w:lang w:eastAsia="en-US"/>
              </w:rPr>
              <w:t xml:space="preserve">NKÚ navrhuje, aby MMR doplnilo ve stanovisku konkrétní nápravné opatření, které bude podněcovat vyšší účast přeshraničních </w:t>
            </w:r>
            <w:r w:rsidRPr="009D6D20">
              <w:rPr>
                <w:rFonts w:eastAsiaTheme="minorHAnsi"/>
                <w:b/>
                <w:sz w:val="20"/>
                <w:szCs w:val="20"/>
                <w:lang w:eastAsia="en-US"/>
              </w:rPr>
              <w:lastRenderedPageBreak/>
              <w:t>dodavatelů na veřejných zakázkách.</w:t>
            </w:r>
          </w:p>
          <w:p w:rsidR="00C4769E" w:rsidRDefault="009D6D20" w:rsidP="00C4769E">
            <w:pPr>
              <w:jc w:val="both"/>
              <w:rPr>
                <w:b/>
                <w:sz w:val="20"/>
                <w:szCs w:val="20"/>
                <w:lang w:eastAsia="en-US"/>
              </w:rPr>
            </w:pPr>
            <w:r w:rsidRPr="009D6D20">
              <w:rPr>
                <w:b/>
                <w:sz w:val="20"/>
                <w:szCs w:val="20"/>
                <w:lang w:eastAsia="en-US"/>
              </w:rPr>
              <w:t>Doporučující připomínka</w:t>
            </w:r>
          </w:p>
          <w:p w:rsidR="009D6D20" w:rsidRPr="009D6D20" w:rsidRDefault="009D6D20" w:rsidP="00C4769E">
            <w:pPr>
              <w:jc w:val="both"/>
              <w:rPr>
                <w:rFonts w:eastAsiaTheme="minorHAnsi"/>
                <w:b/>
                <w:sz w:val="20"/>
                <w:szCs w:val="20"/>
                <w:lang w:eastAsia="en-US"/>
              </w:rPr>
            </w:pPr>
          </w:p>
        </w:tc>
        <w:tc>
          <w:tcPr>
            <w:tcW w:w="4711" w:type="dxa"/>
            <w:tcBorders>
              <w:top w:val="single" w:sz="4" w:space="0" w:color="auto"/>
              <w:left w:val="single" w:sz="4" w:space="0" w:color="auto"/>
              <w:bottom w:val="single" w:sz="4" w:space="0" w:color="auto"/>
              <w:right w:val="single" w:sz="4" w:space="0" w:color="auto"/>
            </w:tcBorders>
            <w:hideMark/>
          </w:tcPr>
          <w:p w:rsidR="008276E8" w:rsidRPr="008276E8" w:rsidRDefault="00CE5CA7">
            <w:pPr>
              <w:spacing w:before="120" w:after="120" w:line="276" w:lineRule="auto"/>
              <w:jc w:val="both"/>
              <w:rPr>
                <w:b/>
                <w:sz w:val="20"/>
                <w:szCs w:val="20"/>
                <w:lang w:eastAsia="en-US"/>
              </w:rPr>
            </w:pPr>
            <w:r>
              <w:rPr>
                <w:b/>
                <w:sz w:val="20"/>
                <w:szCs w:val="20"/>
                <w:lang w:eastAsia="en-US"/>
              </w:rPr>
              <w:lastRenderedPageBreak/>
              <w:t>Vysvětleno</w:t>
            </w:r>
          </w:p>
          <w:p w:rsidR="00C4769E" w:rsidRDefault="00515B67" w:rsidP="00CE5CA7">
            <w:pPr>
              <w:spacing w:before="120" w:after="120" w:line="276" w:lineRule="auto"/>
              <w:jc w:val="both"/>
              <w:rPr>
                <w:b/>
                <w:sz w:val="20"/>
                <w:szCs w:val="20"/>
                <w:lang w:eastAsia="en-US"/>
              </w:rPr>
            </w:pPr>
            <w:r w:rsidRPr="006233B2">
              <w:rPr>
                <w:sz w:val="20"/>
                <w:szCs w:val="20"/>
                <w:lang w:eastAsia="en-US"/>
              </w:rPr>
              <w:t xml:space="preserve">Podněcovat </w:t>
            </w:r>
            <w:proofErr w:type="spellStart"/>
            <w:r w:rsidRPr="006233B2">
              <w:rPr>
                <w:sz w:val="20"/>
                <w:szCs w:val="20"/>
                <w:lang w:eastAsia="en-US"/>
              </w:rPr>
              <w:t>přeshraniční</w:t>
            </w:r>
            <w:proofErr w:type="spellEnd"/>
            <w:r w:rsidRPr="006233B2">
              <w:rPr>
                <w:sz w:val="20"/>
                <w:szCs w:val="20"/>
                <w:lang w:eastAsia="en-US"/>
              </w:rPr>
              <w:t xml:space="preserve"> dodavatele</w:t>
            </w:r>
            <w:r w:rsidR="008276E8">
              <w:rPr>
                <w:sz w:val="20"/>
                <w:szCs w:val="20"/>
                <w:lang w:eastAsia="en-US"/>
              </w:rPr>
              <w:t xml:space="preserve"> </w:t>
            </w:r>
            <w:r w:rsidR="00CE5CA7">
              <w:rPr>
                <w:sz w:val="20"/>
                <w:szCs w:val="20"/>
                <w:lang w:eastAsia="en-US"/>
              </w:rPr>
              <w:t>bude</w:t>
            </w:r>
            <w:r w:rsidR="00CE5CA7" w:rsidRPr="006233B2">
              <w:rPr>
                <w:sz w:val="20"/>
                <w:szCs w:val="20"/>
                <w:lang w:eastAsia="en-US"/>
              </w:rPr>
              <w:t xml:space="preserve"> </w:t>
            </w:r>
            <w:r w:rsidRPr="006233B2">
              <w:rPr>
                <w:sz w:val="20"/>
                <w:szCs w:val="20"/>
                <w:lang w:eastAsia="en-US"/>
              </w:rPr>
              <w:t>MMR</w:t>
            </w:r>
            <w:r w:rsidR="003B1261">
              <w:rPr>
                <w:sz w:val="20"/>
                <w:szCs w:val="20"/>
                <w:lang w:eastAsia="en-US"/>
              </w:rPr>
              <w:t xml:space="preserve"> </w:t>
            </w:r>
            <w:r w:rsidRPr="006233B2">
              <w:rPr>
                <w:sz w:val="20"/>
                <w:szCs w:val="20"/>
                <w:lang w:eastAsia="en-US"/>
              </w:rPr>
              <w:t>skrze podporu zadavatelů ve využívání NEN a zadávání VZ prostřednictvím NEN</w:t>
            </w:r>
            <w:r>
              <w:rPr>
                <w:sz w:val="20"/>
                <w:szCs w:val="20"/>
                <w:lang w:eastAsia="en-US"/>
              </w:rPr>
              <w:t>.</w:t>
            </w:r>
          </w:p>
        </w:tc>
      </w:tr>
      <w:tr w:rsidR="00C4769E" w:rsidTr="00523BE3">
        <w:tc>
          <w:tcPr>
            <w:tcW w:w="682" w:type="dxa"/>
            <w:tcBorders>
              <w:top w:val="single" w:sz="4" w:space="0" w:color="auto"/>
              <w:left w:val="single" w:sz="4" w:space="0" w:color="auto"/>
              <w:bottom w:val="single" w:sz="4" w:space="0" w:color="auto"/>
              <w:right w:val="single" w:sz="4" w:space="0" w:color="auto"/>
            </w:tcBorders>
            <w:hideMark/>
          </w:tcPr>
          <w:p w:rsidR="00C4769E" w:rsidRDefault="007E4D1C">
            <w:pPr>
              <w:spacing w:before="120" w:after="120" w:line="276" w:lineRule="auto"/>
              <w:rPr>
                <w:b/>
                <w:bCs/>
                <w:sz w:val="20"/>
                <w:szCs w:val="20"/>
                <w:lang w:eastAsia="en-US"/>
              </w:rPr>
            </w:pPr>
            <w:r>
              <w:rPr>
                <w:b/>
                <w:bCs/>
                <w:sz w:val="20"/>
                <w:szCs w:val="20"/>
                <w:lang w:eastAsia="en-US"/>
              </w:rPr>
              <w:lastRenderedPageBreak/>
              <w:t>15</w:t>
            </w:r>
          </w:p>
        </w:tc>
        <w:tc>
          <w:tcPr>
            <w:tcW w:w="2485" w:type="dxa"/>
            <w:tcBorders>
              <w:top w:val="single" w:sz="4" w:space="0" w:color="auto"/>
              <w:left w:val="single" w:sz="4" w:space="0" w:color="auto"/>
              <w:bottom w:val="single" w:sz="4" w:space="0" w:color="auto"/>
              <w:right w:val="single" w:sz="4" w:space="0" w:color="auto"/>
            </w:tcBorders>
          </w:tcPr>
          <w:p w:rsidR="00C4769E" w:rsidRDefault="00C4769E">
            <w:pPr>
              <w:spacing w:before="120" w:after="120" w:line="276" w:lineRule="auto"/>
              <w:rPr>
                <w:b/>
                <w:bCs/>
                <w:sz w:val="20"/>
                <w:szCs w:val="20"/>
                <w:lang w:eastAsia="en-US"/>
              </w:rPr>
            </w:pPr>
          </w:p>
        </w:tc>
        <w:tc>
          <w:tcPr>
            <w:tcW w:w="665" w:type="dxa"/>
            <w:tcBorders>
              <w:top w:val="single" w:sz="4" w:space="0" w:color="auto"/>
              <w:left w:val="single" w:sz="4" w:space="0" w:color="auto"/>
              <w:bottom w:val="single" w:sz="4" w:space="0" w:color="auto"/>
              <w:right w:val="single" w:sz="4" w:space="0" w:color="auto"/>
            </w:tcBorders>
            <w:hideMark/>
          </w:tcPr>
          <w:p w:rsidR="00C4769E" w:rsidRDefault="00C4769E">
            <w:pPr>
              <w:spacing w:before="120" w:after="120" w:line="276" w:lineRule="auto"/>
              <w:jc w:val="center"/>
              <w:rPr>
                <w:sz w:val="20"/>
                <w:szCs w:val="20"/>
                <w:lang w:eastAsia="en-US"/>
              </w:rPr>
            </w:pPr>
            <w:r>
              <w:rPr>
                <w:sz w:val="20"/>
                <w:szCs w:val="20"/>
                <w:lang w:eastAsia="en-US"/>
              </w:rPr>
              <w:t>D</w:t>
            </w:r>
          </w:p>
        </w:tc>
        <w:tc>
          <w:tcPr>
            <w:tcW w:w="6877" w:type="dxa"/>
            <w:tcBorders>
              <w:top w:val="single" w:sz="4" w:space="0" w:color="auto"/>
              <w:left w:val="single" w:sz="4" w:space="0" w:color="auto"/>
              <w:bottom w:val="single" w:sz="4" w:space="0" w:color="auto"/>
              <w:right w:val="single" w:sz="4" w:space="0" w:color="auto"/>
            </w:tcBorders>
            <w:hideMark/>
          </w:tcPr>
          <w:p w:rsidR="009D6D20" w:rsidRDefault="009D6D20" w:rsidP="009D6D20">
            <w:pPr>
              <w:jc w:val="both"/>
              <w:rPr>
                <w:rFonts w:eastAsiaTheme="minorHAnsi"/>
                <w:b/>
                <w:sz w:val="20"/>
                <w:szCs w:val="20"/>
                <w:lang w:eastAsia="en-US"/>
              </w:rPr>
            </w:pPr>
          </w:p>
          <w:p w:rsidR="00C4769E" w:rsidRPr="009D6D20" w:rsidRDefault="00C4769E" w:rsidP="009D6D20">
            <w:pPr>
              <w:jc w:val="both"/>
              <w:rPr>
                <w:rFonts w:eastAsiaTheme="minorHAnsi"/>
                <w:b/>
                <w:sz w:val="20"/>
                <w:szCs w:val="20"/>
                <w:lang w:eastAsia="en-US"/>
              </w:rPr>
            </w:pPr>
            <w:r w:rsidRPr="009D6D20">
              <w:rPr>
                <w:rFonts w:eastAsiaTheme="minorHAnsi"/>
                <w:b/>
                <w:sz w:val="20"/>
                <w:szCs w:val="20"/>
                <w:lang w:eastAsia="en-US"/>
              </w:rPr>
              <w:t>13)</w:t>
            </w:r>
            <w:r w:rsidR="009D6D20">
              <w:rPr>
                <w:rFonts w:eastAsiaTheme="minorHAnsi"/>
                <w:b/>
                <w:sz w:val="20"/>
                <w:szCs w:val="20"/>
                <w:lang w:eastAsia="en-US"/>
              </w:rPr>
              <w:t xml:space="preserve"> </w:t>
            </w:r>
            <w:r w:rsidRPr="009D6D20">
              <w:rPr>
                <w:rFonts w:eastAsiaTheme="minorHAnsi"/>
                <w:b/>
                <w:sz w:val="20"/>
                <w:szCs w:val="20"/>
                <w:lang w:eastAsia="en-US"/>
              </w:rPr>
              <w:t xml:space="preserve">Strana 18, </w:t>
            </w:r>
            <w:proofErr w:type="gramStart"/>
            <w:r w:rsidRPr="009D6D20">
              <w:rPr>
                <w:rFonts w:eastAsiaTheme="minorHAnsi"/>
                <w:b/>
                <w:sz w:val="20"/>
                <w:szCs w:val="20"/>
                <w:lang w:eastAsia="en-US"/>
              </w:rPr>
              <w:t>bod 3.E</w:t>
            </w:r>
            <w:proofErr w:type="gramEnd"/>
          </w:p>
          <w:p w:rsidR="00C4769E" w:rsidRDefault="00C4769E" w:rsidP="00C4769E">
            <w:pPr>
              <w:jc w:val="both"/>
              <w:rPr>
                <w:sz w:val="20"/>
                <w:szCs w:val="20"/>
                <w:lang w:eastAsia="en-US"/>
              </w:rPr>
            </w:pPr>
            <w:r w:rsidRPr="009D6D20">
              <w:rPr>
                <w:sz w:val="20"/>
                <w:szCs w:val="20"/>
                <w:lang w:eastAsia="en-US"/>
              </w:rPr>
              <w:t>Není zřejmé, zda zavedením nových formulářů pro uveřejňování informací bude problém kvality a spolehlivosti dat vyřešen.</w:t>
            </w:r>
          </w:p>
          <w:p w:rsidR="00CE5CA7" w:rsidRDefault="00CE5CA7" w:rsidP="00C4769E">
            <w:pPr>
              <w:jc w:val="both"/>
              <w:rPr>
                <w:b/>
                <w:sz w:val="20"/>
                <w:szCs w:val="20"/>
                <w:lang w:eastAsia="en-US"/>
              </w:rPr>
            </w:pPr>
          </w:p>
          <w:p w:rsidR="004E016F" w:rsidRPr="009D6D20" w:rsidRDefault="004E016F" w:rsidP="00C4769E">
            <w:pPr>
              <w:jc w:val="both"/>
              <w:rPr>
                <w:b/>
                <w:sz w:val="20"/>
                <w:szCs w:val="20"/>
                <w:lang w:eastAsia="en-US"/>
              </w:rPr>
            </w:pPr>
            <w:r w:rsidRPr="009D6D20">
              <w:rPr>
                <w:b/>
                <w:sz w:val="20"/>
                <w:szCs w:val="20"/>
                <w:lang w:eastAsia="en-US"/>
              </w:rPr>
              <w:t>Doporučující připomínka</w:t>
            </w:r>
          </w:p>
          <w:p w:rsidR="00C4769E" w:rsidRPr="009D6D20" w:rsidRDefault="00C4769E" w:rsidP="00C4769E">
            <w:pPr>
              <w:jc w:val="both"/>
              <w:rPr>
                <w:rFonts w:eastAsiaTheme="minorHAnsi"/>
                <w:b/>
                <w:sz w:val="20"/>
                <w:szCs w:val="20"/>
                <w:lang w:eastAsia="en-US"/>
              </w:rPr>
            </w:pPr>
          </w:p>
        </w:tc>
        <w:tc>
          <w:tcPr>
            <w:tcW w:w="4711" w:type="dxa"/>
            <w:tcBorders>
              <w:top w:val="single" w:sz="4" w:space="0" w:color="auto"/>
              <w:left w:val="single" w:sz="4" w:space="0" w:color="auto"/>
              <w:bottom w:val="single" w:sz="4" w:space="0" w:color="auto"/>
              <w:right w:val="single" w:sz="4" w:space="0" w:color="auto"/>
            </w:tcBorders>
            <w:hideMark/>
          </w:tcPr>
          <w:p w:rsidR="00C4769E" w:rsidRDefault="007C3809">
            <w:pPr>
              <w:spacing w:before="120" w:after="120" w:line="276" w:lineRule="auto"/>
              <w:jc w:val="both"/>
              <w:rPr>
                <w:b/>
                <w:sz w:val="20"/>
                <w:szCs w:val="20"/>
                <w:lang w:eastAsia="en-US"/>
              </w:rPr>
            </w:pPr>
            <w:r>
              <w:rPr>
                <w:b/>
                <w:sz w:val="20"/>
                <w:szCs w:val="20"/>
                <w:lang w:eastAsia="en-US"/>
              </w:rPr>
              <w:t xml:space="preserve">Vysvětleno </w:t>
            </w:r>
            <w:r w:rsidR="0075388E">
              <w:rPr>
                <w:b/>
                <w:sz w:val="20"/>
                <w:szCs w:val="20"/>
                <w:lang w:eastAsia="en-US"/>
              </w:rPr>
              <w:t xml:space="preserve"> </w:t>
            </w:r>
          </w:p>
          <w:p w:rsidR="0075388E" w:rsidRPr="0075388E" w:rsidRDefault="0075388E">
            <w:pPr>
              <w:spacing w:before="120" w:after="120" w:line="276" w:lineRule="auto"/>
              <w:jc w:val="both"/>
              <w:rPr>
                <w:sz w:val="20"/>
                <w:szCs w:val="20"/>
                <w:lang w:eastAsia="en-US"/>
              </w:rPr>
            </w:pPr>
            <w:r w:rsidRPr="0075388E">
              <w:rPr>
                <w:sz w:val="20"/>
                <w:szCs w:val="20"/>
                <w:lang w:eastAsia="en-US"/>
              </w:rPr>
              <w:t>Kval</w:t>
            </w:r>
            <w:r w:rsidR="005C347B">
              <w:rPr>
                <w:sz w:val="20"/>
                <w:szCs w:val="20"/>
                <w:lang w:eastAsia="en-US"/>
              </w:rPr>
              <w:t>ita dat bude ovlivněna vytvořením</w:t>
            </w:r>
            <w:r w:rsidRPr="0075388E">
              <w:rPr>
                <w:sz w:val="20"/>
                <w:szCs w:val="20"/>
                <w:lang w:eastAsia="en-US"/>
              </w:rPr>
              <w:t xml:space="preserve"> nového systému VVZ/ISVZ, nikoli implementací nových standardních formulářů.</w:t>
            </w:r>
          </w:p>
          <w:p w:rsidR="005E4A75" w:rsidRDefault="005E4A75">
            <w:pPr>
              <w:spacing w:before="120" w:after="120" w:line="276" w:lineRule="auto"/>
              <w:jc w:val="both"/>
              <w:rPr>
                <w:b/>
                <w:sz w:val="20"/>
                <w:szCs w:val="20"/>
                <w:lang w:eastAsia="en-US"/>
              </w:rPr>
            </w:pPr>
          </w:p>
        </w:tc>
      </w:tr>
    </w:tbl>
    <w:p w:rsidR="00851DD9" w:rsidRDefault="00851DD9"/>
    <w:sectPr w:rsidR="00851DD9" w:rsidSect="00523BE3">
      <w:pgSz w:w="16838" w:h="11906" w:orient="landscape"/>
      <w:pgMar w:top="1418" w:right="1418" w:bottom="1418"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6872"/>
    <w:multiLevelType w:val="hybridMultilevel"/>
    <w:tmpl w:val="26223C62"/>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
    <w:nsid w:val="27313DE4"/>
    <w:multiLevelType w:val="hybridMultilevel"/>
    <w:tmpl w:val="755E2EBA"/>
    <w:lvl w:ilvl="0" w:tplc="238CFC7A">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57F33CED"/>
    <w:multiLevelType w:val="hybridMultilevel"/>
    <w:tmpl w:val="3C1094C6"/>
    <w:lvl w:ilvl="0" w:tplc="E9DA105E">
      <w:start w:val="1"/>
      <w:numFmt w:val="decimal"/>
      <w:lvlText w:val="%1."/>
      <w:lvlJc w:val="left"/>
      <w:pPr>
        <w:ind w:left="720" w:hanging="360"/>
      </w:pPr>
      <w:rPr>
        <w:strike w:val="0"/>
        <w:dstrike w:val="0"/>
        <w:u w:val="none"/>
        <w:effect w:val="none"/>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68AB3370"/>
    <w:multiLevelType w:val="hybridMultilevel"/>
    <w:tmpl w:val="230E3D62"/>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523BE3"/>
    <w:rsid w:val="000048D6"/>
    <w:rsid w:val="0009158A"/>
    <w:rsid w:val="000C1D7B"/>
    <w:rsid w:val="00171E7D"/>
    <w:rsid w:val="00193835"/>
    <w:rsid w:val="0022303E"/>
    <w:rsid w:val="00266835"/>
    <w:rsid w:val="002770C4"/>
    <w:rsid w:val="002B2F5A"/>
    <w:rsid w:val="002E5AB6"/>
    <w:rsid w:val="00343905"/>
    <w:rsid w:val="003536A1"/>
    <w:rsid w:val="00370791"/>
    <w:rsid w:val="003833EF"/>
    <w:rsid w:val="00383EFC"/>
    <w:rsid w:val="003B1261"/>
    <w:rsid w:val="003E58ED"/>
    <w:rsid w:val="003F2D30"/>
    <w:rsid w:val="004242B4"/>
    <w:rsid w:val="00444160"/>
    <w:rsid w:val="00487224"/>
    <w:rsid w:val="004C0188"/>
    <w:rsid w:val="004C7421"/>
    <w:rsid w:val="004E016F"/>
    <w:rsid w:val="004E07EB"/>
    <w:rsid w:val="00515B67"/>
    <w:rsid w:val="00516F99"/>
    <w:rsid w:val="00523BE3"/>
    <w:rsid w:val="005306CE"/>
    <w:rsid w:val="00554081"/>
    <w:rsid w:val="005757AA"/>
    <w:rsid w:val="0057598B"/>
    <w:rsid w:val="005775D7"/>
    <w:rsid w:val="005A734E"/>
    <w:rsid w:val="005B75AF"/>
    <w:rsid w:val="005C347B"/>
    <w:rsid w:val="005E08D3"/>
    <w:rsid w:val="005E4A75"/>
    <w:rsid w:val="005F1FE8"/>
    <w:rsid w:val="005F274B"/>
    <w:rsid w:val="00601746"/>
    <w:rsid w:val="0065334B"/>
    <w:rsid w:val="00673EAA"/>
    <w:rsid w:val="00676670"/>
    <w:rsid w:val="00682F29"/>
    <w:rsid w:val="00705F4A"/>
    <w:rsid w:val="00742614"/>
    <w:rsid w:val="00747242"/>
    <w:rsid w:val="0075388E"/>
    <w:rsid w:val="007C3809"/>
    <w:rsid w:val="007C3EC7"/>
    <w:rsid w:val="007D6E34"/>
    <w:rsid w:val="007E4D1C"/>
    <w:rsid w:val="007F7637"/>
    <w:rsid w:val="007F7E42"/>
    <w:rsid w:val="008276E8"/>
    <w:rsid w:val="00851DD9"/>
    <w:rsid w:val="00864B55"/>
    <w:rsid w:val="008C0A86"/>
    <w:rsid w:val="008D2729"/>
    <w:rsid w:val="008E307F"/>
    <w:rsid w:val="008F2C83"/>
    <w:rsid w:val="008F5933"/>
    <w:rsid w:val="009318BD"/>
    <w:rsid w:val="0094251E"/>
    <w:rsid w:val="00991905"/>
    <w:rsid w:val="009A71A0"/>
    <w:rsid w:val="009D6D20"/>
    <w:rsid w:val="009E5EAB"/>
    <w:rsid w:val="00AA0DA2"/>
    <w:rsid w:val="00B20B7E"/>
    <w:rsid w:val="00B51145"/>
    <w:rsid w:val="00B8441A"/>
    <w:rsid w:val="00C41486"/>
    <w:rsid w:val="00C4769E"/>
    <w:rsid w:val="00C8373D"/>
    <w:rsid w:val="00CE5CA7"/>
    <w:rsid w:val="00CF2CAB"/>
    <w:rsid w:val="00CF72EC"/>
    <w:rsid w:val="00D102A8"/>
    <w:rsid w:val="00D10F80"/>
    <w:rsid w:val="00D40178"/>
    <w:rsid w:val="00DA34DB"/>
    <w:rsid w:val="00DE4BD0"/>
    <w:rsid w:val="00E01FD7"/>
    <w:rsid w:val="00E523E5"/>
    <w:rsid w:val="00E55FAF"/>
    <w:rsid w:val="00ED259B"/>
    <w:rsid w:val="00EF1552"/>
    <w:rsid w:val="00F33ED6"/>
    <w:rsid w:val="00F61BAC"/>
    <w:rsid w:val="00F62196"/>
    <w:rsid w:val="00FA1469"/>
    <w:rsid w:val="00FC139A"/>
    <w:rsid w:val="00FC15EF"/>
    <w:rsid w:val="00FD4AAB"/>
    <w:rsid w:val="00FF783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BE3"/>
    <w:pPr>
      <w:spacing w:after="0" w:line="240" w:lineRule="auto"/>
    </w:pPr>
    <w:rPr>
      <w:rFonts w:ascii="Arial" w:eastAsia="Times New Roman" w:hAnsi="Arial" w:cs="Arial"/>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unhideWhenUsed/>
    <w:rsid w:val="00523BE3"/>
    <w:pPr>
      <w:jc w:val="both"/>
    </w:pPr>
    <w:rPr>
      <w:rFonts w:cs="Times New Roman"/>
    </w:rPr>
  </w:style>
  <w:style w:type="character" w:customStyle="1" w:styleId="ZkladntextChar">
    <w:name w:val="Základní text Char"/>
    <w:basedOn w:val="Standardnpsmoodstavce"/>
    <w:link w:val="Zkladntext"/>
    <w:uiPriority w:val="99"/>
    <w:rsid w:val="00523BE3"/>
    <w:rPr>
      <w:rFonts w:ascii="Arial" w:eastAsia="Times New Roman" w:hAnsi="Arial" w:cs="Times New Roman"/>
      <w:sz w:val="24"/>
      <w:szCs w:val="24"/>
      <w:lang w:eastAsia="cs-CZ"/>
    </w:rPr>
  </w:style>
  <w:style w:type="paragraph" w:styleId="Odstavecseseznamem">
    <w:name w:val="List Paragraph"/>
    <w:basedOn w:val="Normln"/>
    <w:uiPriority w:val="34"/>
    <w:qFormat/>
    <w:rsid w:val="00523BE3"/>
    <w:pPr>
      <w:ind w:left="720"/>
      <w:contextualSpacing/>
    </w:pPr>
  </w:style>
  <w:style w:type="character" w:styleId="Hypertextovodkaz">
    <w:name w:val="Hyperlink"/>
    <w:basedOn w:val="Standardnpsmoodstavce"/>
    <w:uiPriority w:val="99"/>
    <w:unhideWhenUsed/>
    <w:rsid w:val="00E55FAF"/>
    <w:rPr>
      <w:color w:val="0000FF" w:themeColor="hyperlink"/>
      <w:u w:val="single"/>
    </w:rPr>
  </w:style>
  <w:style w:type="character" w:styleId="Odkaznakoment">
    <w:name w:val="annotation reference"/>
    <w:basedOn w:val="Standardnpsmoodstavce"/>
    <w:uiPriority w:val="99"/>
    <w:semiHidden/>
    <w:unhideWhenUsed/>
    <w:rsid w:val="005B75AF"/>
    <w:rPr>
      <w:sz w:val="16"/>
      <w:szCs w:val="16"/>
    </w:rPr>
  </w:style>
  <w:style w:type="paragraph" w:styleId="Textkomente">
    <w:name w:val="annotation text"/>
    <w:basedOn w:val="Normln"/>
    <w:link w:val="TextkomenteChar"/>
    <w:uiPriority w:val="99"/>
    <w:semiHidden/>
    <w:unhideWhenUsed/>
    <w:rsid w:val="005B75AF"/>
    <w:rPr>
      <w:sz w:val="20"/>
      <w:szCs w:val="20"/>
    </w:rPr>
  </w:style>
  <w:style w:type="character" w:customStyle="1" w:styleId="TextkomenteChar">
    <w:name w:val="Text komentáře Char"/>
    <w:basedOn w:val="Standardnpsmoodstavce"/>
    <w:link w:val="Textkomente"/>
    <w:uiPriority w:val="99"/>
    <w:semiHidden/>
    <w:rsid w:val="005B75AF"/>
    <w:rPr>
      <w:rFonts w:ascii="Arial" w:eastAsia="Times New Roman"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5B75AF"/>
    <w:rPr>
      <w:b/>
      <w:bCs/>
    </w:rPr>
  </w:style>
  <w:style w:type="character" w:customStyle="1" w:styleId="PedmtkomenteChar">
    <w:name w:val="Předmět komentáře Char"/>
    <w:basedOn w:val="TextkomenteChar"/>
    <w:link w:val="Pedmtkomente"/>
    <w:uiPriority w:val="99"/>
    <w:semiHidden/>
    <w:rsid w:val="005B75AF"/>
    <w:rPr>
      <w:rFonts w:ascii="Arial" w:eastAsia="Times New Roman" w:hAnsi="Arial" w:cs="Arial"/>
      <w:b/>
      <w:bCs/>
      <w:sz w:val="20"/>
      <w:szCs w:val="20"/>
      <w:lang w:eastAsia="cs-CZ"/>
    </w:rPr>
  </w:style>
  <w:style w:type="paragraph" w:styleId="Textbubliny">
    <w:name w:val="Balloon Text"/>
    <w:basedOn w:val="Normln"/>
    <w:link w:val="TextbublinyChar"/>
    <w:uiPriority w:val="99"/>
    <w:semiHidden/>
    <w:unhideWhenUsed/>
    <w:rsid w:val="005B75AF"/>
    <w:rPr>
      <w:rFonts w:ascii="Tahoma" w:hAnsi="Tahoma" w:cs="Tahoma"/>
      <w:sz w:val="16"/>
      <w:szCs w:val="16"/>
    </w:rPr>
  </w:style>
  <w:style w:type="character" w:customStyle="1" w:styleId="TextbublinyChar">
    <w:name w:val="Text bubliny Char"/>
    <w:basedOn w:val="Standardnpsmoodstavce"/>
    <w:link w:val="Textbubliny"/>
    <w:uiPriority w:val="99"/>
    <w:semiHidden/>
    <w:rsid w:val="005B75AF"/>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7434590">
      <w:bodyDiv w:val="1"/>
      <w:marLeft w:val="0"/>
      <w:marRight w:val="0"/>
      <w:marTop w:val="0"/>
      <w:marBottom w:val="0"/>
      <w:divBdr>
        <w:top w:val="none" w:sz="0" w:space="0" w:color="auto"/>
        <w:left w:val="none" w:sz="0" w:space="0" w:color="auto"/>
        <w:bottom w:val="none" w:sz="0" w:space="0" w:color="auto"/>
        <w:right w:val="none" w:sz="0" w:space="0" w:color="auto"/>
      </w:divBdr>
    </w:div>
    <w:div w:id="1186291303">
      <w:bodyDiv w:val="1"/>
      <w:marLeft w:val="0"/>
      <w:marRight w:val="0"/>
      <w:marTop w:val="0"/>
      <w:marBottom w:val="0"/>
      <w:divBdr>
        <w:top w:val="none" w:sz="0" w:space="0" w:color="auto"/>
        <w:left w:val="none" w:sz="0" w:space="0" w:color="auto"/>
        <w:bottom w:val="none" w:sz="0" w:space="0" w:color="auto"/>
        <w:right w:val="none" w:sz="0" w:space="0" w:color="auto"/>
      </w:divBdr>
    </w:div>
    <w:div w:id="1194926284">
      <w:bodyDiv w:val="1"/>
      <w:marLeft w:val="0"/>
      <w:marRight w:val="0"/>
      <w:marTop w:val="0"/>
      <w:marBottom w:val="0"/>
      <w:divBdr>
        <w:top w:val="none" w:sz="0" w:space="0" w:color="auto"/>
        <w:left w:val="none" w:sz="0" w:space="0" w:color="auto"/>
        <w:bottom w:val="none" w:sz="0" w:space="0" w:color="auto"/>
        <w:right w:val="none" w:sz="0" w:space="0" w:color="auto"/>
      </w:divBdr>
    </w:div>
    <w:div w:id="1525746019">
      <w:bodyDiv w:val="1"/>
      <w:marLeft w:val="0"/>
      <w:marRight w:val="0"/>
      <w:marTop w:val="0"/>
      <w:marBottom w:val="0"/>
      <w:divBdr>
        <w:top w:val="none" w:sz="0" w:space="0" w:color="auto"/>
        <w:left w:val="none" w:sz="0" w:space="0" w:color="auto"/>
        <w:bottom w:val="none" w:sz="0" w:space="0" w:color="auto"/>
        <w:right w:val="none" w:sz="0" w:space="0" w:color="auto"/>
      </w:divBdr>
    </w:div>
    <w:div w:id="1647274933">
      <w:bodyDiv w:val="1"/>
      <w:marLeft w:val="0"/>
      <w:marRight w:val="0"/>
      <w:marTop w:val="0"/>
      <w:marBottom w:val="0"/>
      <w:divBdr>
        <w:top w:val="none" w:sz="0" w:space="0" w:color="auto"/>
        <w:left w:val="none" w:sz="0" w:space="0" w:color="auto"/>
        <w:bottom w:val="none" w:sz="0" w:space="0" w:color="auto"/>
        <w:right w:val="none" w:sz="0" w:space="0" w:color="auto"/>
      </w:divBdr>
    </w:div>
    <w:div w:id="1700625610">
      <w:bodyDiv w:val="1"/>
      <w:marLeft w:val="0"/>
      <w:marRight w:val="0"/>
      <w:marTop w:val="0"/>
      <w:marBottom w:val="0"/>
      <w:divBdr>
        <w:top w:val="none" w:sz="0" w:space="0" w:color="auto"/>
        <w:left w:val="none" w:sz="0" w:space="0" w:color="auto"/>
        <w:bottom w:val="none" w:sz="0" w:space="0" w:color="auto"/>
        <w:right w:val="none" w:sz="0" w:space="0" w:color="auto"/>
      </w:divBdr>
    </w:div>
    <w:div w:id="1790931513">
      <w:bodyDiv w:val="1"/>
      <w:marLeft w:val="0"/>
      <w:marRight w:val="0"/>
      <w:marTop w:val="0"/>
      <w:marBottom w:val="0"/>
      <w:divBdr>
        <w:top w:val="none" w:sz="0" w:space="0" w:color="auto"/>
        <w:left w:val="none" w:sz="0" w:space="0" w:color="auto"/>
        <w:bottom w:val="none" w:sz="0" w:space="0" w:color="auto"/>
        <w:right w:val="none" w:sz="0" w:space="0" w:color="auto"/>
      </w:divBdr>
    </w:div>
    <w:div w:id="1870994047">
      <w:bodyDiv w:val="1"/>
      <w:marLeft w:val="0"/>
      <w:marRight w:val="0"/>
      <w:marTop w:val="0"/>
      <w:marBottom w:val="0"/>
      <w:divBdr>
        <w:top w:val="none" w:sz="0" w:space="0" w:color="auto"/>
        <w:left w:val="none" w:sz="0" w:space="0" w:color="auto"/>
        <w:bottom w:val="none" w:sz="0" w:space="0" w:color="auto"/>
        <w:right w:val="none" w:sz="0" w:space="0" w:color="auto"/>
      </w:divBdr>
    </w:div>
    <w:div w:id="2015957992">
      <w:bodyDiv w:val="1"/>
      <w:marLeft w:val="0"/>
      <w:marRight w:val="0"/>
      <w:marTop w:val="0"/>
      <w:marBottom w:val="0"/>
      <w:divBdr>
        <w:top w:val="none" w:sz="0" w:space="0" w:color="auto"/>
        <w:left w:val="none" w:sz="0" w:space="0" w:color="auto"/>
        <w:bottom w:val="none" w:sz="0" w:space="0" w:color="auto"/>
        <w:right w:val="none" w:sz="0" w:space="0" w:color="auto"/>
      </w:divBdr>
    </w:div>
    <w:div w:id="211362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12</Pages>
  <Words>3812</Words>
  <Characters>22491</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Lonská Marcela</dc:creator>
  <cp:lastModifiedBy>Lonská Marcela</cp:lastModifiedBy>
  <cp:revision>20</cp:revision>
  <dcterms:created xsi:type="dcterms:W3CDTF">2016-06-16T06:52:00Z</dcterms:created>
  <dcterms:modified xsi:type="dcterms:W3CDTF">2016-06-17T10:31:00Z</dcterms:modified>
</cp:coreProperties>
</file>