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6DD" w:rsidRPr="000B6E8A" w:rsidRDefault="009A07B4" w:rsidP="00540F7C">
      <w:pPr>
        <w:pStyle w:val="Zkladntext"/>
        <w:spacing w:after="600"/>
        <w:jc w:val="right"/>
        <w:rPr>
          <w:b/>
          <w:sz w:val="22"/>
          <w:szCs w:val="22"/>
        </w:rPr>
      </w:pPr>
      <w:bookmarkStart w:id="0" w:name="_GoBack"/>
      <w:bookmarkEnd w:id="0"/>
      <w:r w:rsidRPr="000B6E8A">
        <w:rPr>
          <w:b/>
          <w:bCs/>
          <w:sz w:val="22"/>
          <w:szCs w:val="22"/>
        </w:rPr>
        <w:t>I</w:t>
      </w:r>
      <w:r w:rsidR="00C57BB6" w:rsidRPr="000B6E8A">
        <w:rPr>
          <w:b/>
          <w:bCs/>
          <w:sz w:val="22"/>
          <w:szCs w:val="22"/>
        </w:rPr>
        <w:t>II</w:t>
      </w:r>
      <w:r w:rsidRPr="000B6E8A">
        <w:rPr>
          <w:b/>
          <w:bCs/>
          <w:sz w:val="22"/>
          <w:szCs w:val="22"/>
        </w:rPr>
        <w:t>.</w:t>
      </w:r>
    </w:p>
    <w:p w:rsidR="00952E4D" w:rsidRPr="00540F7C" w:rsidRDefault="002E4804" w:rsidP="00540F7C">
      <w:pPr>
        <w:pStyle w:val="Zkladntext"/>
        <w:spacing w:before="240" w:after="600"/>
        <w:jc w:val="center"/>
        <w:rPr>
          <w:b/>
          <w:bCs/>
          <w:szCs w:val="22"/>
        </w:rPr>
      </w:pPr>
      <w:r w:rsidRPr="00540F7C">
        <w:rPr>
          <w:b/>
          <w:caps/>
          <w:szCs w:val="22"/>
        </w:rPr>
        <w:t>Vypořádání připomínek k materiálu s názvem:</w:t>
      </w:r>
    </w:p>
    <w:p w:rsidR="00326115" w:rsidRDefault="00326115" w:rsidP="00326115">
      <w:pPr>
        <w:spacing w:before="240" w:after="240"/>
        <w:jc w:val="center"/>
        <w:rPr>
          <w:b/>
          <w:bCs/>
          <w:sz w:val="22"/>
          <w:szCs w:val="22"/>
        </w:rPr>
      </w:pPr>
      <w:r w:rsidRPr="00326115">
        <w:rPr>
          <w:b/>
          <w:bCs/>
          <w:sz w:val="22"/>
          <w:szCs w:val="22"/>
        </w:rPr>
        <w:t>Usnesení vlády „Revitalizace brownfieldu a příprava a výstavba strategického podnikatelského parku Plzeň – Líně“</w:t>
      </w:r>
    </w:p>
    <w:p w:rsidR="00B81330" w:rsidRPr="00B77102" w:rsidRDefault="00B81330" w:rsidP="009056DD">
      <w:pPr>
        <w:spacing w:before="240" w:after="240"/>
        <w:jc w:val="both"/>
        <w:rPr>
          <w:sz w:val="22"/>
          <w:szCs w:val="22"/>
        </w:rPr>
      </w:pPr>
      <w:r w:rsidRPr="00B77102">
        <w:rPr>
          <w:sz w:val="22"/>
          <w:szCs w:val="22"/>
        </w:rPr>
        <w:t>Dle Jednacího řádu vlády byl materiál rozeslán do meziresortního připomínkového řízení dopisem</w:t>
      </w:r>
      <w:r w:rsidR="00AD59F5" w:rsidRPr="00B77102">
        <w:rPr>
          <w:sz w:val="22"/>
          <w:szCs w:val="22"/>
        </w:rPr>
        <w:t xml:space="preserve"> </w:t>
      </w:r>
      <w:r w:rsidR="00326115">
        <w:rPr>
          <w:bCs/>
          <w:sz w:val="22"/>
          <w:szCs w:val="22"/>
        </w:rPr>
        <w:t xml:space="preserve">Ing. Jozefa Síkely, </w:t>
      </w:r>
      <w:r w:rsidR="00326115" w:rsidRPr="00326115">
        <w:rPr>
          <w:bCs/>
          <w:sz w:val="22"/>
          <w:szCs w:val="22"/>
        </w:rPr>
        <w:t>Ministerstvo průmyslu a obchodu</w:t>
      </w:r>
      <w:r w:rsidR="00326115">
        <w:rPr>
          <w:bCs/>
          <w:sz w:val="22"/>
          <w:szCs w:val="22"/>
        </w:rPr>
        <w:t>,</w:t>
      </w:r>
      <w:r w:rsidR="003731BF">
        <w:rPr>
          <w:bCs/>
          <w:sz w:val="22"/>
          <w:szCs w:val="22"/>
        </w:rPr>
        <w:t xml:space="preserve"> </w:t>
      </w:r>
      <w:r w:rsidRPr="00B77102">
        <w:rPr>
          <w:sz w:val="22"/>
          <w:szCs w:val="22"/>
        </w:rPr>
        <w:t xml:space="preserve">dne </w:t>
      </w:r>
      <w:r w:rsidR="00326115">
        <w:rPr>
          <w:bCs/>
          <w:sz w:val="22"/>
          <w:szCs w:val="22"/>
        </w:rPr>
        <w:t>23</w:t>
      </w:r>
      <w:r w:rsidR="003731BF">
        <w:rPr>
          <w:bCs/>
          <w:sz w:val="22"/>
          <w:szCs w:val="22"/>
        </w:rPr>
        <w:t xml:space="preserve">. </w:t>
      </w:r>
      <w:r w:rsidR="00326115">
        <w:rPr>
          <w:bCs/>
          <w:sz w:val="22"/>
          <w:szCs w:val="22"/>
        </w:rPr>
        <w:t>června</w:t>
      </w:r>
      <w:r w:rsidR="003731BF">
        <w:rPr>
          <w:bCs/>
          <w:sz w:val="22"/>
          <w:szCs w:val="22"/>
        </w:rPr>
        <w:t xml:space="preserve"> 20</w:t>
      </w:r>
      <w:r w:rsidR="00326115">
        <w:rPr>
          <w:bCs/>
          <w:sz w:val="22"/>
          <w:szCs w:val="22"/>
        </w:rPr>
        <w:t>22</w:t>
      </w:r>
      <w:r w:rsidRPr="00B77102">
        <w:rPr>
          <w:sz w:val="22"/>
          <w:szCs w:val="22"/>
        </w:rPr>
        <w:t xml:space="preserve">, s termínem dodání stanovisek do </w:t>
      </w:r>
      <w:r w:rsidR="00326115">
        <w:rPr>
          <w:bCs/>
          <w:sz w:val="22"/>
          <w:szCs w:val="22"/>
        </w:rPr>
        <w:t>12</w:t>
      </w:r>
      <w:r w:rsidR="003731BF">
        <w:rPr>
          <w:bCs/>
          <w:sz w:val="22"/>
          <w:szCs w:val="22"/>
        </w:rPr>
        <w:t xml:space="preserve">. </w:t>
      </w:r>
      <w:r w:rsidR="00326115">
        <w:rPr>
          <w:bCs/>
          <w:sz w:val="22"/>
          <w:szCs w:val="22"/>
        </w:rPr>
        <w:t xml:space="preserve">července </w:t>
      </w:r>
      <w:r w:rsidR="003731BF">
        <w:rPr>
          <w:bCs/>
          <w:sz w:val="22"/>
          <w:szCs w:val="22"/>
        </w:rPr>
        <w:t>20</w:t>
      </w:r>
      <w:r w:rsidR="00326115">
        <w:rPr>
          <w:bCs/>
          <w:sz w:val="22"/>
          <w:szCs w:val="22"/>
        </w:rPr>
        <w:t>22</w:t>
      </w:r>
      <w:r w:rsidRPr="00B77102">
        <w:rPr>
          <w:sz w:val="22"/>
          <w:szCs w:val="22"/>
        </w:rPr>
        <w:t>. Vyhodnocení tohoto řízení je uvedeno v následující tabulce:</w:t>
      </w:r>
    </w:p>
    <w:tbl>
      <w:tblPr>
        <w:tblW w:w="1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5745"/>
        <w:gridCol w:w="6393"/>
      </w:tblGrid>
      <w:tr w:rsidR="001C1BAD" w:rsidRPr="00E172A8" w:rsidTr="00E1562D">
        <w:trPr>
          <w:trHeight w:val="340"/>
        </w:trPr>
        <w:tc>
          <w:tcPr>
            <w:tcW w:w="2191" w:type="dxa"/>
            <w:shd w:val="clear" w:color="auto" w:fill="auto"/>
          </w:tcPr>
          <w:p w:rsidR="001C1BAD" w:rsidRPr="00E172A8" w:rsidRDefault="001C1BAD" w:rsidP="0012692B">
            <w:pPr>
              <w:rPr>
                <w:b/>
                <w:sz w:val="22"/>
                <w:szCs w:val="22"/>
              </w:rPr>
            </w:pPr>
            <w:r w:rsidRPr="00E172A8">
              <w:rPr>
                <w:b/>
                <w:bCs/>
                <w:sz w:val="22"/>
                <w:szCs w:val="22"/>
              </w:rPr>
              <w:t>Resort</w:t>
            </w:r>
          </w:p>
        </w:tc>
        <w:tc>
          <w:tcPr>
            <w:tcW w:w="5745" w:type="dxa"/>
            <w:shd w:val="clear" w:color="auto" w:fill="auto"/>
          </w:tcPr>
          <w:p w:rsidR="001C1BAD" w:rsidRPr="00E172A8" w:rsidRDefault="001C1BAD" w:rsidP="0012692B">
            <w:pPr>
              <w:rPr>
                <w:sz w:val="22"/>
                <w:szCs w:val="22"/>
              </w:rPr>
            </w:pPr>
            <w:r w:rsidRPr="00E172A8">
              <w:rPr>
                <w:b/>
                <w:bCs/>
                <w:sz w:val="22"/>
                <w:szCs w:val="22"/>
              </w:rPr>
              <w:t>Připomínky</w:t>
            </w:r>
          </w:p>
        </w:tc>
        <w:tc>
          <w:tcPr>
            <w:tcW w:w="6393" w:type="dxa"/>
            <w:shd w:val="clear" w:color="auto" w:fill="auto"/>
          </w:tcPr>
          <w:p w:rsidR="001C1BAD" w:rsidRPr="00E172A8" w:rsidRDefault="001C1BAD" w:rsidP="00D24678">
            <w:pPr>
              <w:jc w:val="both"/>
              <w:rPr>
                <w:sz w:val="22"/>
                <w:szCs w:val="22"/>
              </w:rPr>
            </w:pPr>
            <w:r w:rsidRPr="00E172A8">
              <w:rPr>
                <w:b/>
                <w:bCs/>
                <w:sz w:val="22"/>
                <w:szCs w:val="22"/>
              </w:rPr>
              <w:t>Vypořádání</w:t>
            </w:r>
          </w:p>
        </w:tc>
      </w:tr>
      <w:tr w:rsidR="002E4804" w:rsidRPr="00E172A8" w:rsidTr="00E1562D">
        <w:trPr>
          <w:trHeight w:val="340"/>
        </w:trPr>
        <w:tc>
          <w:tcPr>
            <w:tcW w:w="2191" w:type="dxa"/>
            <w:vMerge w:val="restart"/>
            <w:tcBorders>
              <w:top w:val="single" w:sz="4" w:space="0" w:color="auto"/>
              <w:left w:val="single" w:sz="4" w:space="0" w:color="auto"/>
              <w:right w:val="single" w:sz="4" w:space="0" w:color="auto"/>
            </w:tcBorders>
            <w:shd w:val="clear" w:color="auto" w:fill="auto"/>
          </w:tcPr>
          <w:p w:rsidR="002E4804" w:rsidRPr="00555320" w:rsidRDefault="00E172A8" w:rsidP="00326115">
            <w:pPr>
              <w:rPr>
                <w:b/>
                <w:sz w:val="22"/>
                <w:szCs w:val="22"/>
              </w:rPr>
            </w:pPr>
            <w:r w:rsidRPr="00555320">
              <w:rPr>
                <w:b/>
                <w:sz w:val="22"/>
                <w:szCs w:val="22"/>
              </w:rPr>
              <w:t>Ministerstvo financí</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0F6571" w:rsidRPr="00E172A8" w:rsidRDefault="000F6571" w:rsidP="00571E9C">
            <w:pPr>
              <w:widowControl w:val="0"/>
              <w:autoSpaceDE w:val="0"/>
              <w:autoSpaceDN w:val="0"/>
              <w:adjustRightInd w:val="0"/>
              <w:jc w:val="both"/>
              <w:rPr>
                <w:b/>
                <w:sz w:val="22"/>
                <w:szCs w:val="22"/>
              </w:rPr>
            </w:pPr>
            <w:r w:rsidRPr="00E172A8">
              <w:rPr>
                <w:b/>
                <w:sz w:val="22"/>
                <w:szCs w:val="22"/>
              </w:rPr>
              <w:t>Zásadní připomínka č. 1:</w:t>
            </w:r>
          </w:p>
          <w:p w:rsidR="00641D5F" w:rsidRDefault="00641D5F" w:rsidP="00571E9C">
            <w:pPr>
              <w:jc w:val="both"/>
              <w:rPr>
                <w:sz w:val="22"/>
                <w:szCs w:val="22"/>
              </w:rPr>
            </w:pPr>
          </w:p>
          <w:p w:rsidR="00641D5F" w:rsidRPr="00641D5F" w:rsidRDefault="00641D5F" w:rsidP="00571E9C">
            <w:pPr>
              <w:jc w:val="both"/>
              <w:rPr>
                <w:sz w:val="22"/>
                <w:szCs w:val="22"/>
              </w:rPr>
            </w:pPr>
            <w:r w:rsidRPr="00641D5F">
              <w:rPr>
                <w:sz w:val="22"/>
                <w:szCs w:val="22"/>
              </w:rPr>
              <w:t>K návrhu usnesení (bod II/1.):</w:t>
            </w:r>
          </w:p>
          <w:p w:rsidR="000F6571" w:rsidRPr="00E172A8" w:rsidRDefault="00641D5F" w:rsidP="00571E9C">
            <w:pPr>
              <w:jc w:val="both"/>
              <w:rPr>
                <w:bCs/>
                <w:sz w:val="22"/>
                <w:szCs w:val="22"/>
              </w:rPr>
            </w:pPr>
            <w:r w:rsidRPr="00641D5F">
              <w:rPr>
                <w:sz w:val="22"/>
                <w:szCs w:val="22"/>
              </w:rPr>
              <w:t>Předpokládáme, že účast státního rozpočtu na financování tohoto projektu bude předmětem vyjednávání v rámci přípravy zákona o státním rozpočtu. Řešený materiál chápeme jako informaci vládě o startu tohoto projektu. Požadujeme přeformulovat bod usnesení ve smyslu, že se jedná o prvotní záměr, nepovažujeme za vhodné, aby vláda na základě takto stručné informace schvalovala investici v řádu mld. Kč.</w:t>
            </w:r>
            <w:r w:rsidR="000F6571" w:rsidRPr="00E172A8">
              <w:rPr>
                <w:bCs/>
                <w:sz w:val="22"/>
                <w:szCs w:val="22"/>
              </w:rPr>
              <w:t xml:space="preserve"> </w:t>
            </w:r>
          </w:p>
          <w:p w:rsidR="002E4804" w:rsidRPr="00E172A8" w:rsidRDefault="002E4804" w:rsidP="00571E9C">
            <w:pPr>
              <w:jc w:val="both"/>
              <w:rPr>
                <w:sz w:val="22"/>
                <w:szCs w:val="22"/>
              </w:rPr>
            </w:pPr>
          </w:p>
        </w:tc>
        <w:tc>
          <w:tcPr>
            <w:tcW w:w="6393" w:type="dxa"/>
            <w:tcBorders>
              <w:top w:val="single" w:sz="4" w:space="0" w:color="auto"/>
              <w:left w:val="single" w:sz="4" w:space="0" w:color="auto"/>
              <w:right w:val="single" w:sz="4" w:space="0" w:color="auto"/>
            </w:tcBorders>
            <w:shd w:val="clear" w:color="auto" w:fill="auto"/>
          </w:tcPr>
          <w:p w:rsidR="00A7257B" w:rsidRDefault="00B919FC" w:rsidP="00641D5F">
            <w:pPr>
              <w:jc w:val="both"/>
              <w:rPr>
                <w:sz w:val="22"/>
                <w:szCs w:val="22"/>
              </w:rPr>
            </w:pPr>
            <w:r>
              <w:rPr>
                <w:sz w:val="22"/>
                <w:szCs w:val="22"/>
              </w:rPr>
              <w:t xml:space="preserve">Ano, jedná se o prvotní indikativní záměr. Text bodu rozšířen a záměr nahrazen slovy prvotní indikativní záměr. </w:t>
            </w:r>
          </w:p>
          <w:p w:rsidR="00A7257B" w:rsidRDefault="00A7257B" w:rsidP="00641D5F">
            <w:pPr>
              <w:jc w:val="both"/>
              <w:rPr>
                <w:sz w:val="22"/>
                <w:szCs w:val="22"/>
              </w:rPr>
            </w:pPr>
          </w:p>
          <w:p w:rsidR="00A7257B" w:rsidRDefault="00A7257B" w:rsidP="00641D5F">
            <w:pPr>
              <w:jc w:val="both"/>
              <w:rPr>
                <w:sz w:val="22"/>
                <w:szCs w:val="22"/>
              </w:rPr>
            </w:pPr>
            <w:r>
              <w:rPr>
                <w:sz w:val="22"/>
                <w:szCs w:val="22"/>
              </w:rPr>
              <w:t xml:space="preserve">Částka ve výši 9 mld. Kč přesunuta z bodu II/1 usnesení do bodu I/1. </w:t>
            </w:r>
          </w:p>
          <w:p w:rsidR="00BA7B6B" w:rsidRDefault="00BA7B6B" w:rsidP="00641D5F">
            <w:pPr>
              <w:jc w:val="both"/>
              <w:rPr>
                <w:sz w:val="22"/>
                <w:szCs w:val="22"/>
              </w:rPr>
            </w:pPr>
          </w:p>
          <w:p w:rsidR="00BA7B6B" w:rsidRPr="00213C54" w:rsidRDefault="00BA7B6B" w:rsidP="00BA7B6B">
            <w:pPr>
              <w:jc w:val="both"/>
              <w:rPr>
                <w:b/>
                <w:bCs/>
                <w:sz w:val="22"/>
                <w:szCs w:val="22"/>
              </w:rPr>
            </w:pPr>
            <w:r w:rsidRPr="00213C54">
              <w:rPr>
                <w:b/>
                <w:bCs/>
                <w:sz w:val="22"/>
                <w:szCs w:val="22"/>
              </w:rPr>
              <w:t xml:space="preserve">Vyjádření </w:t>
            </w:r>
            <w:r>
              <w:rPr>
                <w:b/>
                <w:bCs/>
                <w:sz w:val="22"/>
                <w:szCs w:val="22"/>
              </w:rPr>
              <w:t>MF</w:t>
            </w:r>
            <w:r w:rsidRPr="00213C54">
              <w:rPr>
                <w:b/>
                <w:bCs/>
                <w:sz w:val="22"/>
                <w:szCs w:val="22"/>
              </w:rPr>
              <w:t xml:space="preserve"> k vypořádání:</w:t>
            </w:r>
          </w:p>
          <w:p w:rsidR="00BA7B6B" w:rsidRDefault="00BA7B6B" w:rsidP="00BA7B6B">
            <w:pPr>
              <w:jc w:val="both"/>
              <w:rPr>
                <w:bCs/>
                <w:sz w:val="22"/>
                <w:szCs w:val="22"/>
              </w:rPr>
            </w:pPr>
            <w:r>
              <w:rPr>
                <w:bCs/>
                <w:sz w:val="22"/>
                <w:szCs w:val="22"/>
              </w:rPr>
              <w:t>Souhlas s vypořádáním.</w:t>
            </w:r>
          </w:p>
          <w:p w:rsidR="00BA7B6B" w:rsidRPr="00641D5F" w:rsidRDefault="00BA7B6B" w:rsidP="00641D5F">
            <w:pPr>
              <w:jc w:val="both"/>
              <w:rPr>
                <w:sz w:val="22"/>
                <w:szCs w:val="22"/>
              </w:rPr>
            </w:pPr>
          </w:p>
        </w:tc>
      </w:tr>
      <w:tr w:rsidR="00B42A2B" w:rsidRPr="00E172A8" w:rsidTr="00E1562D">
        <w:trPr>
          <w:trHeight w:val="340"/>
        </w:trPr>
        <w:tc>
          <w:tcPr>
            <w:tcW w:w="2191" w:type="dxa"/>
            <w:vMerge/>
            <w:tcBorders>
              <w:left w:val="single" w:sz="4" w:space="0" w:color="auto"/>
              <w:right w:val="single" w:sz="4" w:space="0" w:color="auto"/>
            </w:tcBorders>
            <w:shd w:val="clear" w:color="auto" w:fill="auto"/>
          </w:tcPr>
          <w:p w:rsidR="00B42A2B" w:rsidRPr="00555320" w:rsidRDefault="00B42A2B" w:rsidP="00326115">
            <w:pPr>
              <w:rPr>
                <w:b/>
                <w:sz w:val="22"/>
                <w:szCs w:val="22"/>
              </w:rPr>
            </w:pP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42A2B" w:rsidRPr="00E172A8" w:rsidRDefault="00B42A2B" w:rsidP="00571E9C">
            <w:pPr>
              <w:widowControl w:val="0"/>
              <w:autoSpaceDE w:val="0"/>
              <w:autoSpaceDN w:val="0"/>
              <w:adjustRightInd w:val="0"/>
              <w:jc w:val="both"/>
              <w:rPr>
                <w:b/>
                <w:sz w:val="22"/>
                <w:szCs w:val="22"/>
              </w:rPr>
            </w:pPr>
            <w:r w:rsidRPr="00E172A8">
              <w:rPr>
                <w:b/>
                <w:sz w:val="22"/>
                <w:szCs w:val="22"/>
              </w:rPr>
              <w:t>Zásadní připomínka č. 2:</w:t>
            </w:r>
          </w:p>
          <w:p w:rsidR="00641D5F" w:rsidRDefault="00641D5F" w:rsidP="00571E9C">
            <w:pPr>
              <w:jc w:val="both"/>
              <w:rPr>
                <w:sz w:val="22"/>
                <w:szCs w:val="22"/>
              </w:rPr>
            </w:pPr>
          </w:p>
          <w:p w:rsidR="00641D5F" w:rsidRPr="00641D5F" w:rsidRDefault="00641D5F" w:rsidP="00571E9C">
            <w:pPr>
              <w:jc w:val="both"/>
              <w:rPr>
                <w:sz w:val="22"/>
                <w:szCs w:val="22"/>
              </w:rPr>
            </w:pPr>
            <w:r w:rsidRPr="00641D5F">
              <w:rPr>
                <w:sz w:val="22"/>
                <w:szCs w:val="22"/>
              </w:rPr>
              <w:t>K návrhu usnesení (bod III/2.):</w:t>
            </w:r>
          </w:p>
          <w:p w:rsidR="00641D5F" w:rsidRPr="00641D5F" w:rsidRDefault="00641D5F" w:rsidP="00571E9C">
            <w:pPr>
              <w:jc w:val="both"/>
              <w:rPr>
                <w:sz w:val="22"/>
                <w:szCs w:val="22"/>
              </w:rPr>
            </w:pPr>
            <w:r w:rsidRPr="00641D5F">
              <w:rPr>
                <w:sz w:val="22"/>
                <w:szCs w:val="22"/>
              </w:rPr>
              <w:t xml:space="preserve">Účast státního rozpočtu na financování programu – akce bude případně zabezpečena v rámci přípravy zákona o státním rozpočtu, úkol pro ministra financí je tak nadbytečný (jedná se spíše o úkol pro ministra průmyslu </w:t>
            </w:r>
          </w:p>
          <w:p w:rsidR="00B42A2B" w:rsidRPr="00E172A8" w:rsidRDefault="00641D5F" w:rsidP="00571E9C">
            <w:pPr>
              <w:widowControl w:val="0"/>
              <w:autoSpaceDE w:val="0"/>
              <w:autoSpaceDN w:val="0"/>
              <w:adjustRightInd w:val="0"/>
              <w:jc w:val="both"/>
              <w:rPr>
                <w:sz w:val="22"/>
                <w:szCs w:val="22"/>
              </w:rPr>
            </w:pPr>
            <w:r w:rsidRPr="00641D5F">
              <w:rPr>
                <w:sz w:val="22"/>
                <w:szCs w:val="22"/>
              </w:rPr>
              <w:t>a obchodu). Požadujeme tento bod vypustit.</w:t>
            </w:r>
          </w:p>
        </w:tc>
        <w:tc>
          <w:tcPr>
            <w:tcW w:w="6393" w:type="dxa"/>
            <w:tcBorders>
              <w:left w:val="single" w:sz="4" w:space="0" w:color="auto"/>
              <w:right w:val="single" w:sz="4" w:space="0" w:color="auto"/>
            </w:tcBorders>
            <w:shd w:val="clear" w:color="auto" w:fill="auto"/>
          </w:tcPr>
          <w:p w:rsidR="00B42A2B" w:rsidRDefault="00B919FC" w:rsidP="00D24678">
            <w:pPr>
              <w:jc w:val="both"/>
              <w:rPr>
                <w:sz w:val="22"/>
                <w:szCs w:val="22"/>
              </w:rPr>
            </w:pPr>
            <w:r>
              <w:rPr>
                <w:sz w:val="22"/>
                <w:szCs w:val="22"/>
              </w:rPr>
              <w:t>Nejde jen o financování výdajů MPO, nýbrž i dalších resortů, zejména ŘSD, dále může vzniknout potřeba zapojení zdrojů i jiných resortů, úloha ministerstva financí zde bude a nelze vynechat</w:t>
            </w:r>
            <w:r w:rsidR="00497C75">
              <w:rPr>
                <w:sz w:val="22"/>
                <w:szCs w:val="22"/>
              </w:rPr>
              <w:t>.</w:t>
            </w:r>
          </w:p>
          <w:p w:rsidR="00A7257B" w:rsidRDefault="00A7257B" w:rsidP="00D24678">
            <w:pPr>
              <w:jc w:val="both"/>
              <w:rPr>
                <w:sz w:val="22"/>
                <w:szCs w:val="22"/>
              </w:rPr>
            </w:pPr>
          </w:p>
          <w:p w:rsidR="00A7257B" w:rsidRDefault="00A7257B" w:rsidP="00A7257B">
            <w:pPr>
              <w:overflowPunct w:val="0"/>
              <w:autoSpaceDE w:val="0"/>
              <w:autoSpaceDN w:val="0"/>
              <w:adjustRightInd w:val="0"/>
              <w:spacing w:after="240"/>
              <w:jc w:val="both"/>
              <w:textAlignment w:val="baseline"/>
              <w:rPr>
                <w:rStyle w:val="StylIChar"/>
              </w:rPr>
            </w:pPr>
            <w:r w:rsidRPr="00A7257B">
              <w:rPr>
                <w:sz w:val="22"/>
                <w:szCs w:val="22"/>
              </w:rPr>
              <w:t>Reformulován</w:t>
            </w:r>
            <w:r>
              <w:rPr>
                <w:sz w:val="22"/>
                <w:szCs w:val="22"/>
              </w:rPr>
              <w:t xml:space="preserve"> původní text usnesení. Nový text:</w:t>
            </w:r>
            <w:r w:rsidRPr="00A7257B">
              <w:rPr>
                <w:sz w:val="22"/>
                <w:szCs w:val="22"/>
              </w:rPr>
              <w:t xml:space="preserve"> </w:t>
            </w:r>
            <w:bookmarkStart w:id="1" w:name="_Hlk109037708"/>
            <w:r>
              <w:rPr>
                <w:sz w:val="22"/>
                <w:szCs w:val="22"/>
              </w:rPr>
              <w:t>S</w:t>
            </w:r>
            <w:r>
              <w:rPr>
                <w:rStyle w:val="StylIChar"/>
              </w:rPr>
              <w:t xml:space="preserve">právcům jednotlivých rozpočtových kapitol uplatňovat </w:t>
            </w:r>
            <w:r w:rsidRPr="00E77E82">
              <w:rPr>
                <w:rStyle w:val="StylIChar"/>
              </w:rPr>
              <w:t>finanční prostředky na financování závazků České republiky uvedených v bodě I/1 tohoto usnesení</w:t>
            </w:r>
            <w:r w:rsidR="00BA7B6B">
              <w:rPr>
                <w:rStyle w:val="StylIChar"/>
              </w:rPr>
              <w:t xml:space="preserve"> </w:t>
            </w:r>
            <w:r w:rsidR="00BA7B6B" w:rsidRPr="00E77E82">
              <w:rPr>
                <w:rStyle w:val="StylIChar"/>
              </w:rPr>
              <w:t>p</w:t>
            </w:r>
            <w:r w:rsidR="00BA7B6B">
              <w:rPr>
                <w:rStyle w:val="StylIChar"/>
              </w:rPr>
              <w:t>odle výstupů pracovní skupiny a stavu realizace záměru</w:t>
            </w:r>
            <w:bookmarkEnd w:id="1"/>
            <w:r>
              <w:rPr>
                <w:rStyle w:val="StylIChar"/>
              </w:rPr>
              <w:t>.</w:t>
            </w:r>
          </w:p>
          <w:p w:rsidR="00A7257B" w:rsidRPr="00E172A8" w:rsidRDefault="00A7257B" w:rsidP="00D24678">
            <w:pPr>
              <w:jc w:val="both"/>
              <w:rPr>
                <w:sz w:val="22"/>
                <w:szCs w:val="22"/>
              </w:rPr>
            </w:pPr>
          </w:p>
        </w:tc>
      </w:tr>
      <w:tr w:rsidR="00B42A2B" w:rsidRPr="00E172A8" w:rsidTr="00E1562D">
        <w:trPr>
          <w:trHeight w:val="340"/>
        </w:trPr>
        <w:tc>
          <w:tcPr>
            <w:tcW w:w="2191" w:type="dxa"/>
            <w:vMerge/>
            <w:tcBorders>
              <w:left w:val="single" w:sz="4" w:space="0" w:color="auto"/>
              <w:right w:val="single" w:sz="4" w:space="0" w:color="auto"/>
            </w:tcBorders>
            <w:shd w:val="clear" w:color="auto" w:fill="auto"/>
          </w:tcPr>
          <w:p w:rsidR="00B42A2B" w:rsidRPr="00555320" w:rsidRDefault="00B42A2B" w:rsidP="00326115">
            <w:pPr>
              <w:rPr>
                <w:b/>
                <w:sz w:val="22"/>
                <w:szCs w:val="22"/>
              </w:rPr>
            </w:pP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42A2B" w:rsidRPr="00E172A8" w:rsidRDefault="00B42A2B" w:rsidP="00571E9C">
            <w:pPr>
              <w:widowControl w:val="0"/>
              <w:autoSpaceDE w:val="0"/>
              <w:autoSpaceDN w:val="0"/>
              <w:adjustRightInd w:val="0"/>
              <w:jc w:val="both"/>
              <w:rPr>
                <w:b/>
                <w:sz w:val="22"/>
                <w:szCs w:val="22"/>
              </w:rPr>
            </w:pPr>
            <w:r w:rsidRPr="00E172A8">
              <w:rPr>
                <w:b/>
                <w:sz w:val="22"/>
                <w:szCs w:val="22"/>
              </w:rPr>
              <w:t>Zásadní připomínka č. 3:</w:t>
            </w:r>
          </w:p>
          <w:p w:rsidR="00641D5F" w:rsidRDefault="00641D5F" w:rsidP="00571E9C">
            <w:pPr>
              <w:jc w:val="both"/>
              <w:rPr>
                <w:sz w:val="22"/>
                <w:szCs w:val="22"/>
              </w:rPr>
            </w:pPr>
          </w:p>
          <w:p w:rsidR="00641D5F" w:rsidRPr="00641D5F" w:rsidRDefault="00641D5F" w:rsidP="00571E9C">
            <w:pPr>
              <w:jc w:val="both"/>
              <w:rPr>
                <w:sz w:val="22"/>
                <w:szCs w:val="22"/>
              </w:rPr>
            </w:pPr>
            <w:r w:rsidRPr="00641D5F">
              <w:rPr>
                <w:sz w:val="22"/>
                <w:szCs w:val="22"/>
              </w:rPr>
              <w:t>K předkládací zprávě:</w:t>
            </w:r>
          </w:p>
          <w:p w:rsidR="00B42A2B" w:rsidRPr="00E172A8" w:rsidRDefault="00641D5F" w:rsidP="00571E9C">
            <w:pPr>
              <w:jc w:val="both"/>
              <w:rPr>
                <w:sz w:val="22"/>
                <w:szCs w:val="22"/>
              </w:rPr>
            </w:pPr>
            <w:r w:rsidRPr="00641D5F">
              <w:rPr>
                <w:sz w:val="22"/>
                <w:szCs w:val="22"/>
              </w:rPr>
              <w:t>Materiál předjímá, že spolufinancování projektu bude nastaveno 90 % státní rozpočet/ 10 % příjemce. Ministerstvo financí bude v rámci schvalovacího procesu nového programu požadovat spolufinancování obdobné jako u stávajícího programu č. 122 20 – Smart Parks for the Future, tzn. 70 % státní rozpočet/ 30 % příjemce. Proto žádáme tuto informaci vypustit, výše spoluúčasti bude předmětem schvalovacího procesu dokumentace programu.</w:t>
            </w:r>
          </w:p>
        </w:tc>
        <w:tc>
          <w:tcPr>
            <w:tcW w:w="6393" w:type="dxa"/>
            <w:tcBorders>
              <w:left w:val="single" w:sz="4" w:space="0" w:color="auto"/>
              <w:right w:val="single" w:sz="4" w:space="0" w:color="auto"/>
            </w:tcBorders>
            <w:shd w:val="clear" w:color="auto" w:fill="auto"/>
          </w:tcPr>
          <w:p w:rsidR="00B42A2B" w:rsidRDefault="00B919FC" w:rsidP="00D24678">
            <w:pPr>
              <w:jc w:val="both"/>
              <w:rPr>
                <w:sz w:val="22"/>
                <w:szCs w:val="22"/>
              </w:rPr>
            </w:pPr>
            <w:r>
              <w:rPr>
                <w:sz w:val="22"/>
                <w:szCs w:val="22"/>
              </w:rPr>
              <w:t>Souhlasíme s úpravou na 70</w:t>
            </w:r>
            <w:r w:rsidR="00D93CBD">
              <w:rPr>
                <w:sz w:val="22"/>
                <w:szCs w:val="22"/>
              </w:rPr>
              <w:t xml:space="preserve"> </w:t>
            </w:r>
            <w:r w:rsidR="00497C75">
              <w:rPr>
                <w:sz w:val="22"/>
                <w:szCs w:val="22"/>
              </w:rPr>
              <w:t>%,</w:t>
            </w:r>
            <w:r>
              <w:rPr>
                <w:sz w:val="22"/>
                <w:szCs w:val="22"/>
              </w:rPr>
              <w:t xml:space="preserve"> nicméně je nutné ponechat jako indikaci, kraj již nyní koná řadu kroků a „nemá v ruce nic“.</w:t>
            </w:r>
          </w:p>
          <w:p w:rsidR="00BA7B6B" w:rsidRDefault="00BA7B6B" w:rsidP="00D24678">
            <w:pPr>
              <w:jc w:val="both"/>
              <w:rPr>
                <w:sz w:val="22"/>
                <w:szCs w:val="22"/>
              </w:rPr>
            </w:pPr>
          </w:p>
          <w:p w:rsidR="00BA7B6B" w:rsidRDefault="00BA7B6B" w:rsidP="00D24678">
            <w:pPr>
              <w:jc w:val="both"/>
              <w:rPr>
                <w:sz w:val="22"/>
                <w:szCs w:val="22"/>
              </w:rPr>
            </w:pPr>
          </w:p>
          <w:p w:rsidR="00BA7B6B" w:rsidRPr="00213C54" w:rsidRDefault="00BA7B6B" w:rsidP="00BA7B6B">
            <w:pPr>
              <w:jc w:val="both"/>
              <w:rPr>
                <w:b/>
                <w:bCs/>
                <w:sz w:val="22"/>
                <w:szCs w:val="22"/>
              </w:rPr>
            </w:pPr>
            <w:r w:rsidRPr="00213C54">
              <w:rPr>
                <w:b/>
                <w:bCs/>
                <w:sz w:val="22"/>
                <w:szCs w:val="22"/>
              </w:rPr>
              <w:t xml:space="preserve">Vyjádření </w:t>
            </w:r>
            <w:r>
              <w:rPr>
                <w:b/>
                <w:bCs/>
                <w:sz w:val="22"/>
                <w:szCs w:val="22"/>
              </w:rPr>
              <w:t>MF</w:t>
            </w:r>
            <w:r w:rsidRPr="00213C54">
              <w:rPr>
                <w:b/>
                <w:bCs/>
                <w:sz w:val="22"/>
                <w:szCs w:val="22"/>
              </w:rPr>
              <w:t xml:space="preserve"> k vypořádání:</w:t>
            </w:r>
          </w:p>
          <w:p w:rsidR="00BA7B6B" w:rsidRDefault="00B36E14" w:rsidP="00B36E14">
            <w:pPr>
              <w:jc w:val="both"/>
              <w:rPr>
                <w:bCs/>
                <w:sz w:val="22"/>
                <w:szCs w:val="22"/>
              </w:rPr>
            </w:pPr>
            <w:r>
              <w:rPr>
                <w:bCs/>
                <w:sz w:val="22"/>
                <w:szCs w:val="22"/>
              </w:rPr>
              <w:t>MF dále požaduje vypustit bod předkládací zprávy „</w:t>
            </w:r>
            <w:r w:rsidRPr="00B36E14">
              <w:rPr>
                <w:bCs/>
                <w:sz w:val="22"/>
                <w:szCs w:val="22"/>
              </w:rPr>
              <w:t>Navýšení maximální výše podpory pro projekt „Projektová příprava a zpracování projektové dokumentace“ na 90 % způsobilých výdajů projektu.</w:t>
            </w:r>
            <w:r>
              <w:rPr>
                <w:bCs/>
                <w:sz w:val="22"/>
                <w:szCs w:val="22"/>
              </w:rPr>
              <w:t>“</w:t>
            </w:r>
            <w:r w:rsidRPr="00B36E14">
              <w:rPr>
                <w:bCs/>
                <w:sz w:val="22"/>
                <w:szCs w:val="22"/>
              </w:rPr>
              <w:t xml:space="preserve"> </w:t>
            </w:r>
          </w:p>
          <w:p w:rsidR="006426D2" w:rsidRDefault="006426D2" w:rsidP="00B36E14">
            <w:pPr>
              <w:jc w:val="both"/>
              <w:rPr>
                <w:bCs/>
                <w:sz w:val="22"/>
                <w:szCs w:val="22"/>
              </w:rPr>
            </w:pPr>
            <w:r>
              <w:rPr>
                <w:bCs/>
                <w:sz w:val="22"/>
                <w:szCs w:val="22"/>
              </w:rPr>
              <w:t>Bod vypuštěn, MF s vypořádáním souhlasí.</w:t>
            </w:r>
          </w:p>
          <w:p w:rsidR="006426D2" w:rsidRPr="00E172A8" w:rsidRDefault="006426D2" w:rsidP="00B36E14">
            <w:pPr>
              <w:jc w:val="both"/>
              <w:rPr>
                <w:sz w:val="22"/>
                <w:szCs w:val="22"/>
              </w:rPr>
            </w:pPr>
          </w:p>
        </w:tc>
      </w:tr>
      <w:tr w:rsidR="00B42A2B" w:rsidRPr="00E172A8" w:rsidTr="00E1562D">
        <w:trPr>
          <w:trHeight w:val="340"/>
        </w:trPr>
        <w:tc>
          <w:tcPr>
            <w:tcW w:w="2191" w:type="dxa"/>
            <w:tcBorders>
              <w:left w:val="single" w:sz="4" w:space="0" w:color="auto"/>
              <w:right w:val="single" w:sz="4" w:space="0" w:color="auto"/>
            </w:tcBorders>
            <w:shd w:val="clear" w:color="auto" w:fill="auto"/>
          </w:tcPr>
          <w:p w:rsidR="00B42A2B" w:rsidRPr="00555320" w:rsidRDefault="00B42A2B" w:rsidP="00326115">
            <w:pPr>
              <w:rPr>
                <w:b/>
                <w:sz w:val="22"/>
                <w:szCs w:val="22"/>
              </w:rPr>
            </w:pP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42A2B" w:rsidRPr="00E172A8" w:rsidRDefault="00B42A2B" w:rsidP="00571E9C">
            <w:pPr>
              <w:widowControl w:val="0"/>
              <w:autoSpaceDE w:val="0"/>
              <w:autoSpaceDN w:val="0"/>
              <w:adjustRightInd w:val="0"/>
              <w:jc w:val="both"/>
              <w:rPr>
                <w:b/>
                <w:sz w:val="22"/>
                <w:szCs w:val="22"/>
              </w:rPr>
            </w:pPr>
            <w:r w:rsidRPr="00E172A8">
              <w:rPr>
                <w:b/>
                <w:sz w:val="22"/>
                <w:szCs w:val="22"/>
              </w:rPr>
              <w:t>Zásadní připomínka č. 4:</w:t>
            </w:r>
          </w:p>
          <w:p w:rsidR="00641D5F" w:rsidRDefault="00641D5F" w:rsidP="00571E9C">
            <w:pPr>
              <w:widowControl w:val="0"/>
              <w:autoSpaceDE w:val="0"/>
              <w:autoSpaceDN w:val="0"/>
              <w:adjustRightInd w:val="0"/>
              <w:jc w:val="both"/>
              <w:rPr>
                <w:sz w:val="22"/>
                <w:szCs w:val="22"/>
              </w:rPr>
            </w:pPr>
          </w:p>
          <w:p w:rsidR="00641D5F" w:rsidRPr="00641D5F" w:rsidRDefault="00641D5F" w:rsidP="00571E9C">
            <w:pPr>
              <w:widowControl w:val="0"/>
              <w:autoSpaceDE w:val="0"/>
              <w:autoSpaceDN w:val="0"/>
              <w:adjustRightInd w:val="0"/>
              <w:jc w:val="both"/>
              <w:rPr>
                <w:sz w:val="22"/>
                <w:szCs w:val="22"/>
              </w:rPr>
            </w:pPr>
            <w:r w:rsidRPr="00641D5F">
              <w:rPr>
                <w:sz w:val="22"/>
                <w:szCs w:val="22"/>
              </w:rPr>
              <w:t>Obecně:</w:t>
            </w:r>
          </w:p>
          <w:p w:rsidR="00B42A2B" w:rsidRPr="00641D5F" w:rsidRDefault="00641D5F" w:rsidP="00571E9C">
            <w:pPr>
              <w:widowControl w:val="0"/>
              <w:autoSpaceDE w:val="0"/>
              <w:autoSpaceDN w:val="0"/>
              <w:adjustRightInd w:val="0"/>
              <w:jc w:val="both"/>
              <w:rPr>
                <w:sz w:val="22"/>
                <w:szCs w:val="22"/>
              </w:rPr>
            </w:pPr>
            <w:r w:rsidRPr="00641D5F">
              <w:rPr>
                <w:sz w:val="22"/>
                <w:szCs w:val="22"/>
              </w:rPr>
              <w:t>Z bezpečnostního hlediska a také s ohledem na obranné zájmy státu nepovažujeme za vhodné zrušení letiště v lokalitě Plzeň – Líně, které je ve vlastnictví ČR, resp. Ministerstva obrany (MO) bez důkladné analýzy, a to s ohledem na aktuální mezinárodní dění (invaze vojsk Ruské federace na Ukrajinu 24. 2. 2022). Zásadní bude stanovisko MO, které si musí důkladně posoudit výhodnost či nevýhodnost navrhované demolice letištní infrastruktury a také bezúplatný převod pozemků v lokalitě Plzeň – Líně do vlastnictví Plzeňského kraje. Realizace navrhovaných kroků de facto představuje nevratný zásah do možného způsobu využití dotčených pozemků. Pro úplnost podotýkáme, že letiště v Plzni – Líně je dlouhodobě využíváno pro účely letecké záchranné služby a letecké zdravotnické dopravy uzavřené mezi Ministerstvem zdravotnictví a MO. Návazně na tuto skutečnost doporučujeme doplnit do materiálu informaci, jakým způsobem bude případně letecká záchranná služba a letecká zdravotnická doprava zajištěna.</w:t>
            </w:r>
          </w:p>
        </w:tc>
        <w:tc>
          <w:tcPr>
            <w:tcW w:w="6393" w:type="dxa"/>
            <w:tcBorders>
              <w:left w:val="single" w:sz="4" w:space="0" w:color="auto"/>
              <w:right w:val="single" w:sz="4" w:space="0" w:color="auto"/>
            </w:tcBorders>
            <w:shd w:val="clear" w:color="auto" w:fill="auto"/>
          </w:tcPr>
          <w:p w:rsidR="00B42A2B" w:rsidRDefault="00B919FC" w:rsidP="00283BD9">
            <w:pPr>
              <w:jc w:val="both"/>
              <w:rPr>
                <w:bCs/>
                <w:sz w:val="22"/>
                <w:szCs w:val="22"/>
              </w:rPr>
            </w:pPr>
            <w:r>
              <w:rPr>
                <w:bCs/>
                <w:sz w:val="22"/>
                <w:szCs w:val="22"/>
              </w:rPr>
              <w:t>Toto je samozřejmě na rozhodnutí armády ČR a MO, nikoliv MF či MPO, je o tom dlouhodobě diskutováno a bylo řádně zanalyzováno, usnesení vlády je formulováno – MO prověří možnost nepotřebnosti letiště.</w:t>
            </w:r>
            <w:r w:rsidR="00561A71">
              <w:rPr>
                <w:bCs/>
                <w:sz w:val="22"/>
                <w:szCs w:val="22"/>
              </w:rPr>
              <w:t xml:space="preserve"> </w:t>
            </w:r>
          </w:p>
          <w:p w:rsidR="00B225EF" w:rsidRDefault="00B225EF" w:rsidP="00283BD9">
            <w:pPr>
              <w:jc w:val="both"/>
              <w:rPr>
                <w:bCs/>
                <w:sz w:val="22"/>
                <w:szCs w:val="22"/>
              </w:rPr>
            </w:pPr>
          </w:p>
          <w:p w:rsidR="00B225EF" w:rsidRDefault="00B225EF" w:rsidP="00283BD9">
            <w:pPr>
              <w:jc w:val="both"/>
              <w:rPr>
                <w:bCs/>
                <w:sz w:val="22"/>
                <w:szCs w:val="22"/>
              </w:rPr>
            </w:pPr>
          </w:p>
          <w:p w:rsidR="00B225EF" w:rsidRDefault="00B225EF" w:rsidP="00283BD9">
            <w:pPr>
              <w:jc w:val="both"/>
              <w:rPr>
                <w:bCs/>
                <w:sz w:val="22"/>
                <w:szCs w:val="22"/>
              </w:rPr>
            </w:pPr>
          </w:p>
          <w:p w:rsidR="00B225EF" w:rsidRDefault="00B225EF" w:rsidP="00283BD9">
            <w:pPr>
              <w:jc w:val="both"/>
              <w:rPr>
                <w:bCs/>
                <w:sz w:val="22"/>
                <w:szCs w:val="22"/>
              </w:rPr>
            </w:pPr>
          </w:p>
          <w:p w:rsidR="00B225EF" w:rsidRDefault="00B225EF" w:rsidP="00283BD9">
            <w:pPr>
              <w:jc w:val="both"/>
              <w:rPr>
                <w:bCs/>
                <w:sz w:val="22"/>
                <w:szCs w:val="22"/>
              </w:rPr>
            </w:pPr>
          </w:p>
          <w:p w:rsidR="00B225EF" w:rsidRDefault="00B225EF" w:rsidP="00283BD9">
            <w:pPr>
              <w:jc w:val="both"/>
              <w:rPr>
                <w:bCs/>
                <w:sz w:val="22"/>
                <w:szCs w:val="22"/>
              </w:rPr>
            </w:pPr>
          </w:p>
          <w:p w:rsidR="00B225EF" w:rsidRDefault="00B225EF" w:rsidP="00283BD9">
            <w:pPr>
              <w:jc w:val="both"/>
              <w:rPr>
                <w:bCs/>
                <w:sz w:val="22"/>
                <w:szCs w:val="22"/>
              </w:rPr>
            </w:pPr>
          </w:p>
          <w:p w:rsidR="00B225EF" w:rsidRDefault="00B225EF" w:rsidP="00283BD9">
            <w:pPr>
              <w:jc w:val="both"/>
              <w:rPr>
                <w:bCs/>
                <w:sz w:val="22"/>
                <w:szCs w:val="22"/>
              </w:rPr>
            </w:pPr>
          </w:p>
          <w:p w:rsidR="00BA7B6B" w:rsidRPr="00213C54" w:rsidRDefault="00BA7B6B" w:rsidP="00BA7B6B">
            <w:pPr>
              <w:jc w:val="both"/>
              <w:rPr>
                <w:b/>
                <w:bCs/>
                <w:sz w:val="22"/>
                <w:szCs w:val="22"/>
              </w:rPr>
            </w:pPr>
            <w:r w:rsidRPr="00213C54">
              <w:rPr>
                <w:b/>
                <w:bCs/>
                <w:sz w:val="22"/>
                <w:szCs w:val="22"/>
              </w:rPr>
              <w:t xml:space="preserve">Vyjádření </w:t>
            </w:r>
            <w:r>
              <w:rPr>
                <w:b/>
                <w:bCs/>
                <w:sz w:val="22"/>
                <w:szCs w:val="22"/>
              </w:rPr>
              <w:t>MF</w:t>
            </w:r>
            <w:r w:rsidRPr="00213C54">
              <w:rPr>
                <w:b/>
                <w:bCs/>
                <w:sz w:val="22"/>
                <w:szCs w:val="22"/>
              </w:rPr>
              <w:t xml:space="preserve"> k vypořádání:</w:t>
            </w:r>
          </w:p>
          <w:p w:rsidR="00BA7B6B" w:rsidRDefault="00BA7B6B" w:rsidP="00BA7B6B">
            <w:pPr>
              <w:jc w:val="both"/>
              <w:rPr>
                <w:bCs/>
                <w:sz w:val="22"/>
                <w:szCs w:val="22"/>
              </w:rPr>
            </w:pPr>
            <w:r>
              <w:rPr>
                <w:bCs/>
                <w:sz w:val="22"/>
                <w:szCs w:val="22"/>
              </w:rPr>
              <w:t>Souhlas s vypořádáním.</w:t>
            </w:r>
          </w:p>
          <w:p w:rsidR="00B225EF" w:rsidRDefault="00B225EF" w:rsidP="00283BD9">
            <w:pPr>
              <w:jc w:val="both"/>
              <w:rPr>
                <w:bCs/>
                <w:sz w:val="22"/>
                <w:szCs w:val="22"/>
              </w:rPr>
            </w:pPr>
          </w:p>
          <w:p w:rsidR="00B225EF" w:rsidRDefault="00B225EF" w:rsidP="00283BD9">
            <w:pPr>
              <w:jc w:val="both"/>
              <w:rPr>
                <w:bCs/>
                <w:sz w:val="22"/>
                <w:szCs w:val="22"/>
              </w:rPr>
            </w:pPr>
          </w:p>
          <w:p w:rsidR="00B225EF" w:rsidRDefault="00B225EF" w:rsidP="00283BD9">
            <w:pPr>
              <w:jc w:val="both"/>
              <w:rPr>
                <w:bCs/>
                <w:sz w:val="22"/>
                <w:szCs w:val="22"/>
              </w:rPr>
            </w:pPr>
          </w:p>
          <w:p w:rsidR="00B225EF" w:rsidRDefault="00B225EF" w:rsidP="00283BD9">
            <w:pPr>
              <w:jc w:val="both"/>
              <w:rPr>
                <w:bCs/>
                <w:sz w:val="22"/>
                <w:szCs w:val="22"/>
              </w:rPr>
            </w:pPr>
          </w:p>
          <w:p w:rsidR="00B225EF" w:rsidRDefault="00B225EF" w:rsidP="00283BD9">
            <w:pPr>
              <w:jc w:val="both"/>
              <w:rPr>
                <w:bCs/>
                <w:sz w:val="22"/>
                <w:szCs w:val="22"/>
              </w:rPr>
            </w:pPr>
          </w:p>
          <w:p w:rsidR="00B225EF" w:rsidRDefault="00B225EF" w:rsidP="00283BD9">
            <w:pPr>
              <w:jc w:val="both"/>
              <w:rPr>
                <w:bCs/>
                <w:sz w:val="22"/>
                <w:szCs w:val="22"/>
              </w:rPr>
            </w:pPr>
          </w:p>
          <w:p w:rsidR="00B225EF" w:rsidRDefault="00B225EF" w:rsidP="00283BD9">
            <w:pPr>
              <w:jc w:val="both"/>
              <w:rPr>
                <w:bCs/>
                <w:sz w:val="22"/>
                <w:szCs w:val="22"/>
              </w:rPr>
            </w:pPr>
          </w:p>
          <w:p w:rsidR="00B225EF" w:rsidRDefault="00B225EF" w:rsidP="00283BD9">
            <w:pPr>
              <w:jc w:val="both"/>
              <w:rPr>
                <w:bCs/>
                <w:sz w:val="22"/>
                <w:szCs w:val="22"/>
              </w:rPr>
            </w:pPr>
          </w:p>
          <w:p w:rsidR="00B225EF" w:rsidRDefault="00B225EF" w:rsidP="00283BD9">
            <w:pPr>
              <w:jc w:val="both"/>
              <w:rPr>
                <w:bCs/>
                <w:sz w:val="22"/>
                <w:szCs w:val="22"/>
              </w:rPr>
            </w:pPr>
          </w:p>
          <w:p w:rsidR="00B225EF" w:rsidRPr="00E172A8" w:rsidRDefault="00B225EF" w:rsidP="00283BD9">
            <w:pPr>
              <w:jc w:val="both"/>
              <w:rPr>
                <w:bCs/>
                <w:sz w:val="22"/>
                <w:szCs w:val="22"/>
              </w:rPr>
            </w:pPr>
          </w:p>
        </w:tc>
      </w:tr>
      <w:tr w:rsidR="00B42A2B" w:rsidRPr="00E172A8" w:rsidTr="00E1562D">
        <w:trPr>
          <w:trHeight w:val="340"/>
        </w:trPr>
        <w:tc>
          <w:tcPr>
            <w:tcW w:w="2191" w:type="dxa"/>
            <w:tcBorders>
              <w:left w:val="single" w:sz="4" w:space="0" w:color="auto"/>
              <w:right w:val="single" w:sz="4" w:space="0" w:color="auto"/>
            </w:tcBorders>
            <w:shd w:val="clear" w:color="auto" w:fill="auto"/>
          </w:tcPr>
          <w:p w:rsidR="00B42A2B" w:rsidRPr="00555320" w:rsidRDefault="00B42A2B" w:rsidP="00326115">
            <w:pPr>
              <w:rPr>
                <w:b/>
                <w:sz w:val="22"/>
                <w:szCs w:val="22"/>
              </w:rPr>
            </w:pP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641D5F" w:rsidRPr="00E172A8" w:rsidRDefault="00641D5F" w:rsidP="00571E9C">
            <w:pPr>
              <w:widowControl w:val="0"/>
              <w:autoSpaceDE w:val="0"/>
              <w:autoSpaceDN w:val="0"/>
              <w:adjustRightInd w:val="0"/>
              <w:jc w:val="both"/>
              <w:rPr>
                <w:b/>
                <w:sz w:val="22"/>
                <w:szCs w:val="22"/>
              </w:rPr>
            </w:pPr>
            <w:r w:rsidRPr="00E172A8">
              <w:rPr>
                <w:b/>
                <w:sz w:val="22"/>
                <w:szCs w:val="22"/>
              </w:rPr>
              <w:t xml:space="preserve">Zásadní připomínka č. </w:t>
            </w:r>
            <w:r>
              <w:rPr>
                <w:b/>
                <w:sz w:val="22"/>
                <w:szCs w:val="22"/>
              </w:rPr>
              <w:t>5</w:t>
            </w:r>
            <w:r w:rsidRPr="00E172A8">
              <w:rPr>
                <w:b/>
                <w:sz w:val="22"/>
                <w:szCs w:val="22"/>
              </w:rPr>
              <w:t>:</w:t>
            </w:r>
          </w:p>
          <w:p w:rsidR="00641D5F" w:rsidRDefault="00641D5F" w:rsidP="00BA7B6B">
            <w:pPr>
              <w:jc w:val="both"/>
              <w:rPr>
                <w:iCs/>
                <w:sz w:val="22"/>
                <w:szCs w:val="22"/>
              </w:rPr>
            </w:pPr>
          </w:p>
          <w:p w:rsidR="00641D5F" w:rsidRPr="00641D5F" w:rsidRDefault="00641D5F" w:rsidP="00BA7B6B">
            <w:pPr>
              <w:jc w:val="both"/>
              <w:rPr>
                <w:iCs/>
                <w:sz w:val="22"/>
                <w:szCs w:val="22"/>
              </w:rPr>
            </w:pPr>
            <w:r w:rsidRPr="00641D5F">
              <w:rPr>
                <w:iCs/>
                <w:sz w:val="22"/>
                <w:szCs w:val="22"/>
              </w:rPr>
              <w:t>Obecně – k finančním dopadům:</w:t>
            </w:r>
          </w:p>
          <w:p w:rsidR="00641D5F" w:rsidRPr="00641D5F" w:rsidRDefault="00641D5F" w:rsidP="00571E9C">
            <w:pPr>
              <w:widowControl w:val="0"/>
              <w:autoSpaceDE w:val="0"/>
              <w:autoSpaceDN w:val="0"/>
              <w:adjustRightInd w:val="0"/>
              <w:jc w:val="both"/>
              <w:rPr>
                <w:iCs/>
                <w:sz w:val="22"/>
                <w:szCs w:val="22"/>
              </w:rPr>
            </w:pPr>
            <w:r w:rsidRPr="00641D5F">
              <w:rPr>
                <w:iCs/>
                <w:sz w:val="22"/>
                <w:szCs w:val="22"/>
              </w:rPr>
              <w:t xml:space="preserve">Vzhledem k aktuální rozpočtové situaci a snaze alespoň částečně konsolidovat veřejné finance v souvislosti s dodatečnými výdaji souvisejícími s válečným konfliktem na Ukrajině, nemůžeme souhlasit </w:t>
            </w:r>
          </w:p>
          <w:p w:rsidR="00B42A2B" w:rsidRPr="00E172A8" w:rsidRDefault="00641D5F" w:rsidP="00571E9C">
            <w:pPr>
              <w:widowControl w:val="0"/>
              <w:autoSpaceDE w:val="0"/>
              <w:autoSpaceDN w:val="0"/>
              <w:adjustRightInd w:val="0"/>
              <w:jc w:val="both"/>
              <w:rPr>
                <w:b/>
                <w:sz w:val="22"/>
                <w:szCs w:val="22"/>
              </w:rPr>
            </w:pPr>
            <w:r w:rsidRPr="00641D5F">
              <w:rPr>
                <w:iCs/>
                <w:sz w:val="22"/>
                <w:szCs w:val="22"/>
              </w:rPr>
              <w:t>s příslušným návrhem. Obecně vnímáme investiční aktivity, které by vedly k rozvoji průmyslu s vysokou přidanou hodnotou pozitivně. V současné době však rozpočet čelí výzvám a problémům, které neumožňují poskytnutí dodatečných finančních prostředků. Naopak je třeba hledat úspory v rámci rozpočtů. V neposlední řadě upozorňujeme na míru nezaměstnanosti, která je v okolí Plzně jedna z nejnižších v republice.</w:t>
            </w:r>
          </w:p>
        </w:tc>
        <w:tc>
          <w:tcPr>
            <w:tcW w:w="6393" w:type="dxa"/>
            <w:tcBorders>
              <w:left w:val="single" w:sz="4" w:space="0" w:color="auto"/>
              <w:right w:val="single" w:sz="4" w:space="0" w:color="auto"/>
            </w:tcBorders>
            <w:shd w:val="clear" w:color="auto" w:fill="auto"/>
          </w:tcPr>
          <w:p w:rsidR="0095311F" w:rsidRDefault="0095311F" w:rsidP="00D24678">
            <w:pPr>
              <w:jc w:val="both"/>
              <w:rPr>
                <w:bCs/>
                <w:sz w:val="22"/>
                <w:szCs w:val="22"/>
              </w:rPr>
            </w:pPr>
            <w:r>
              <w:rPr>
                <w:bCs/>
                <w:sz w:val="22"/>
                <w:szCs w:val="22"/>
              </w:rPr>
              <w:t>Rozumíme připomínce. Domníváme se, že je nutné především uvažovat investičně, nikoliv pouze čistě „účetně“. Jinými slovy dočasné zvýšení výdajů státního rozpočtu sice přispěje k vyššímu schodku, nicméně v dlouhodobém horizontu přinese investice a kladné saldo do veřejných rozpočtů, rovněž lze očekávat výrazný propad soukromých investic, které je vhodné právě v tomto budoucím období doplnit investicemi veřejnými.</w:t>
            </w:r>
          </w:p>
          <w:p w:rsidR="00A7257B" w:rsidRDefault="00A7257B" w:rsidP="00D24678">
            <w:pPr>
              <w:jc w:val="both"/>
              <w:rPr>
                <w:bCs/>
                <w:sz w:val="22"/>
                <w:szCs w:val="22"/>
              </w:rPr>
            </w:pPr>
          </w:p>
          <w:p w:rsidR="00A7257B" w:rsidRDefault="00460413" w:rsidP="00D24678">
            <w:pPr>
              <w:jc w:val="both"/>
              <w:rPr>
                <w:rStyle w:val="StylIChar"/>
              </w:rPr>
            </w:pPr>
            <w:r>
              <w:rPr>
                <w:rStyle w:val="StylIChar"/>
              </w:rPr>
              <w:t>Financování projektu bude probíhat v několikaletém období. Státní prostředky na úhradu p</w:t>
            </w:r>
            <w:r w:rsidRPr="00E77E82">
              <w:rPr>
                <w:rStyle w:val="StylIChar"/>
              </w:rPr>
              <w:t>ředpokládan</w:t>
            </w:r>
            <w:r>
              <w:rPr>
                <w:rStyle w:val="StylIChar"/>
              </w:rPr>
              <w:t>ých</w:t>
            </w:r>
            <w:r w:rsidR="00A7257B" w:rsidRPr="00E77E82">
              <w:rPr>
                <w:rStyle w:val="StylIChar"/>
              </w:rPr>
              <w:t xml:space="preserve"> náklad</w:t>
            </w:r>
            <w:r>
              <w:rPr>
                <w:rStyle w:val="StylIChar"/>
              </w:rPr>
              <w:t>ů</w:t>
            </w:r>
            <w:r w:rsidR="00A7257B">
              <w:rPr>
                <w:rStyle w:val="StylIChar"/>
              </w:rPr>
              <w:t xml:space="preserve"> </w:t>
            </w:r>
            <w:r w:rsidR="00A7257B" w:rsidRPr="00E77E82">
              <w:rPr>
                <w:rStyle w:val="StylIChar"/>
              </w:rPr>
              <w:t xml:space="preserve">na </w:t>
            </w:r>
            <w:r w:rsidR="00A7257B">
              <w:rPr>
                <w:rStyle w:val="StylIChar"/>
              </w:rPr>
              <w:t>r</w:t>
            </w:r>
            <w:r w:rsidR="00A7257B" w:rsidRPr="00E77E82">
              <w:rPr>
                <w:rStyle w:val="StylIChar"/>
              </w:rPr>
              <w:t>evitalizaci brownfieldu a přípravu a výstavbu strategického podnikatelského parku Plzeň – Líně</w:t>
            </w:r>
            <w:r w:rsidR="00A7257B">
              <w:rPr>
                <w:rStyle w:val="StylIChar"/>
              </w:rPr>
              <w:t xml:space="preserve"> budou </w:t>
            </w:r>
            <w:r>
              <w:rPr>
                <w:rStyle w:val="StylIChar"/>
              </w:rPr>
              <w:t xml:space="preserve">poskytovány Plzeňskému kraji v souladu s pravidly nového dotačního programu. </w:t>
            </w:r>
          </w:p>
          <w:p w:rsidR="00BA7B6B" w:rsidRDefault="00BA7B6B" w:rsidP="00D24678">
            <w:pPr>
              <w:jc w:val="both"/>
              <w:rPr>
                <w:bCs/>
                <w:sz w:val="22"/>
                <w:szCs w:val="22"/>
              </w:rPr>
            </w:pPr>
          </w:p>
          <w:p w:rsidR="00BA7B6B" w:rsidRPr="00213C54" w:rsidRDefault="00BA7B6B" w:rsidP="00BA7B6B">
            <w:pPr>
              <w:jc w:val="both"/>
              <w:rPr>
                <w:b/>
                <w:bCs/>
                <w:sz w:val="22"/>
                <w:szCs w:val="22"/>
              </w:rPr>
            </w:pPr>
            <w:r w:rsidRPr="00213C54">
              <w:rPr>
                <w:b/>
                <w:bCs/>
                <w:sz w:val="22"/>
                <w:szCs w:val="22"/>
              </w:rPr>
              <w:t xml:space="preserve">Vyjádření </w:t>
            </w:r>
            <w:r>
              <w:rPr>
                <w:b/>
                <w:bCs/>
                <w:sz w:val="22"/>
                <w:szCs w:val="22"/>
              </w:rPr>
              <w:t>MF</w:t>
            </w:r>
            <w:r w:rsidRPr="00213C54">
              <w:rPr>
                <w:b/>
                <w:bCs/>
                <w:sz w:val="22"/>
                <w:szCs w:val="22"/>
              </w:rPr>
              <w:t xml:space="preserve"> k vypořádání:</w:t>
            </w:r>
          </w:p>
          <w:p w:rsidR="00BA7B6B" w:rsidRDefault="00BA7B6B" w:rsidP="00BA7B6B">
            <w:pPr>
              <w:jc w:val="both"/>
              <w:rPr>
                <w:bCs/>
                <w:sz w:val="22"/>
                <w:szCs w:val="22"/>
              </w:rPr>
            </w:pPr>
            <w:r>
              <w:rPr>
                <w:bCs/>
                <w:sz w:val="22"/>
                <w:szCs w:val="22"/>
              </w:rPr>
              <w:t>Souhlas s vypořádáním.</w:t>
            </w:r>
          </w:p>
          <w:p w:rsidR="00BA7B6B" w:rsidRPr="00561A71" w:rsidRDefault="00BA7B6B" w:rsidP="00D24678">
            <w:pPr>
              <w:jc w:val="both"/>
              <w:rPr>
                <w:bCs/>
                <w:sz w:val="22"/>
                <w:szCs w:val="22"/>
              </w:rPr>
            </w:pPr>
          </w:p>
        </w:tc>
      </w:tr>
      <w:tr w:rsidR="00B42A2B" w:rsidRPr="00E172A8" w:rsidTr="00E1562D">
        <w:trPr>
          <w:trHeight w:val="340"/>
        </w:trPr>
        <w:tc>
          <w:tcPr>
            <w:tcW w:w="2191" w:type="dxa"/>
            <w:tcBorders>
              <w:left w:val="single" w:sz="4" w:space="0" w:color="auto"/>
              <w:right w:val="single" w:sz="4" w:space="0" w:color="auto"/>
            </w:tcBorders>
            <w:shd w:val="clear" w:color="auto" w:fill="auto"/>
          </w:tcPr>
          <w:p w:rsidR="00B42A2B" w:rsidRPr="00555320" w:rsidRDefault="00B42A2B" w:rsidP="00326115">
            <w:pPr>
              <w:rPr>
                <w:b/>
                <w:sz w:val="22"/>
                <w:szCs w:val="22"/>
              </w:rPr>
            </w:pP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641D5F" w:rsidRPr="00E172A8" w:rsidRDefault="00641D5F" w:rsidP="00571E9C">
            <w:pPr>
              <w:widowControl w:val="0"/>
              <w:autoSpaceDE w:val="0"/>
              <w:autoSpaceDN w:val="0"/>
              <w:adjustRightInd w:val="0"/>
              <w:jc w:val="both"/>
              <w:rPr>
                <w:b/>
                <w:sz w:val="22"/>
                <w:szCs w:val="22"/>
              </w:rPr>
            </w:pPr>
            <w:r w:rsidRPr="00E172A8">
              <w:rPr>
                <w:b/>
                <w:sz w:val="22"/>
                <w:szCs w:val="22"/>
              </w:rPr>
              <w:t xml:space="preserve">Zásadní připomínka č. </w:t>
            </w:r>
            <w:r>
              <w:rPr>
                <w:b/>
                <w:sz w:val="22"/>
                <w:szCs w:val="22"/>
              </w:rPr>
              <w:t>6</w:t>
            </w:r>
            <w:r w:rsidRPr="00E172A8">
              <w:rPr>
                <w:b/>
                <w:sz w:val="22"/>
                <w:szCs w:val="22"/>
              </w:rPr>
              <w:t>:</w:t>
            </w:r>
          </w:p>
          <w:p w:rsidR="00641D5F" w:rsidRDefault="00641D5F" w:rsidP="00571E9C">
            <w:pPr>
              <w:jc w:val="both"/>
              <w:rPr>
                <w:sz w:val="22"/>
                <w:szCs w:val="22"/>
              </w:rPr>
            </w:pPr>
          </w:p>
          <w:p w:rsidR="00641D5F" w:rsidRPr="00641D5F" w:rsidRDefault="00641D5F" w:rsidP="00571E9C">
            <w:pPr>
              <w:jc w:val="both"/>
              <w:rPr>
                <w:sz w:val="22"/>
                <w:szCs w:val="22"/>
              </w:rPr>
            </w:pPr>
            <w:r w:rsidRPr="00641D5F">
              <w:rPr>
                <w:sz w:val="22"/>
                <w:szCs w:val="22"/>
              </w:rPr>
              <w:t>K předkládací zprávě:</w:t>
            </w:r>
          </w:p>
          <w:p w:rsidR="00B42A2B" w:rsidRPr="00E172A8" w:rsidRDefault="00641D5F" w:rsidP="00571E9C">
            <w:pPr>
              <w:widowControl w:val="0"/>
              <w:autoSpaceDE w:val="0"/>
              <w:autoSpaceDN w:val="0"/>
              <w:adjustRightInd w:val="0"/>
              <w:jc w:val="both"/>
              <w:rPr>
                <w:b/>
                <w:sz w:val="22"/>
                <w:szCs w:val="22"/>
              </w:rPr>
            </w:pPr>
            <w:r w:rsidRPr="00641D5F">
              <w:rPr>
                <w:sz w:val="22"/>
                <w:szCs w:val="22"/>
              </w:rPr>
              <w:t>Upozorňujeme, že předkládací zpráva počítá v zásadě se 2 variantami možného využití lokality. Jednou variantou je získání strategického velkého investora typu gigafactory se značnými vedlejšími příjmy do státního rozpočtu a druhou variantou je prodej pozemků jednotlivým investorům. Nesouhlasíme s tím, aby se pokračovalo v přípravě této lokality v případě, že by se nejednalo o strategického investora.</w:t>
            </w:r>
          </w:p>
        </w:tc>
        <w:tc>
          <w:tcPr>
            <w:tcW w:w="6393" w:type="dxa"/>
            <w:tcBorders>
              <w:left w:val="single" w:sz="4" w:space="0" w:color="auto"/>
              <w:right w:val="single" w:sz="4" w:space="0" w:color="auto"/>
            </w:tcBorders>
            <w:shd w:val="clear" w:color="auto" w:fill="auto"/>
          </w:tcPr>
          <w:p w:rsidR="00DE2516" w:rsidRDefault="00460413" w:rsidP="00D24678">
            <w:pPr>
              <w:jc w:val="both"/>
              <w:rPr>
                <w:rStyle w:val="StylIChar"/>
              </w:rPr>
            </w:pPr>
            <w:r w:rsidRPr="00460413">
              <w:rPr>
                <w:rStyle w:val="StylIChar"/>
              </w:rPr>
              <w:t>Předpokládané využití pozemků podnikatelského parku pro stavby nebo soubory staveb pro výrobu a skladování, výrobků nebo technologií, které přispějí k naplňování cílů na snížení emisí skleníkových plynů, dosažení klimatické neutrality, zvyšování energetické nezávislosti nebo k naplňování klimaticko-energetických cílů České republiky.</w:t>
            </w:r>
          </w:p>
          <w:p w:rsidR="00BA7B6B" w:rsidRDefault="00BA7B6B" w:rsidP="00D24678">
            <w:pPr>
              <w:jc w:val="both"/>
              <w:rPr>
                <w:bCs/>
                <w:sz w:val="32"/>
                <w:szCs w:val="22"/>
              </w:rPr>
            </w:pPr>
          </w:p>
          <w:p w:rsidR="00BA7B6B" w:rsidRPr="00213C54" w:rsidRDefault="00BA7B6B" w:rsidP="00BA7B6B">
            <w:pPr>
              <w:jc w:val="both"/>
              <w:rPr>
                <w:b/>
                <w:bCs/>
                <w:sz w:val="22"/>
                <w:szCs w:val="22"/>
              </w:rPr>
            </w:pPr>
            <w:r w:rsidRPr="00213C54">
              <w:rPr>
                <w:b/>
                <w:bCs/>
                <w:sz w:val="22"/>
                <w:szCs w:val="22"/>
              </w:rPr>
              <w:t xml:space="preserve">Vyjádření </w:t>
            </w:r>
            <w:r>
              <w:rPr>
                <w:b/>
                <w:bCs/>
                <w:sz w:val="22"/>
                <w:szCs w:val="22"/>
              </w:rPr>
              <w:t>MF</w:t>
            </w:r>
            <w:r w:rsidRPr="00213C54">
              <w:rPr>
                <w:b/>
                <w:bCs/>
                <w:sz w:val="22"/>
                <w:szCs w:val="22"/>
              </w:rPr>
              <w:t xml:space="preserve"> k vypořádání:</w:t>
            </w:r>
          </w:p>
          <w:p w:rsidR="00BA7B6B" w:rsidRDefault="00BA7B6B" w:rsidP="00BA7B6B">
            <w:pPr>
              <w:jc w:val="both"/>
              <w:rPr>
                <w:bCs/>
                <w:sz w:val="22"/>
                <w:szCs w:val="22"/>
              </w:rPr>
            </w:pPr>
            <w:r>
              <w:rPr>
                <w:bCs/>
                <w:sz w:val="22"/>
                <w:szCs w:val="22"/>
              </w:rPr>
              <w:t>Souhlas s vypořádáním.</w:t>
            </w:r>
          </w:p>
          <w:p w:rsidR="00BA7B6B" w:rsidRPr="00B36E14" w:rsidRDefault="00BA7B6B" w:rsidP="00D24678">
            <w:pPr>
              <w:jc w:val="both"/>
              <w:rPr>
                <w:bCs/>
                <w:sz w:val="22"/>
                <w:szCs w:val="22"/>
              </w:rPr>
            </w:pPr>
          </w:p>
        </w:tc>
      </w:tr>
      <w:tr w:rsidR="00B42A2B" w:rsidRPr="00E172A8" w:rsidTr="00E1562D">
        <w:trPr>
          <w:trHeight w:val="340"/>
        </w:trPr>
        <w:tc>
          <w:tcPr>
            <w:tcW w:w="2191" w:type="dxa"/>
            <w:tcBorders>
              <w:left w:val="single" w:sz="4" w:space="0" w:color="auto"/>
              <w:right w:val="single" w:sz="4" w:space="0" w:color="auto"/>
            </w:tcBorders>
            <w:shd w:val="clear" w:color="auto" w:fill="auto"/>
          </w:tcPr>
          <w:p w:rsidR="00B42A2B" w:rsidRPr="00555320" w:rsidRDefault="00B42A2B" w:rsidP="00326115">
            <w:pPr>
              <w:rPr>
                <w:b/>
                <w:sz w:val="22"/>
                <w:szCs w:val="22"/>
              </w:rPr>
            </w:pP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641D5F" w:rsidRPr="00E172A8" w:rsidRDefault="00641D5F" w:rsidP="00571E9C">
            <w:pPr>
              <w:widowControl w:val="0"/>
              <w:autoSpaceDE w:val="0"/>
              <w:autoSpaceDN w:val="0"/>
              <w:adjustRightInd w:val="0"/>
              <w:jc w:val="both"/>
              <w:rPr>
                <w:b/>
                <w:sz w:val="22"/>
                <w:szCs w:val="22"/>
              </w:rPr>
            </w:pPr>
            <w:r w:rsidRPr="00E172A8">
              <w:rPr>
                <w:b/>
                <w:sz w:val="22"/>
                <w:szCs w:val="22"/>
              </w:rPr>
              <w:t xml:space="preserve">Zásadní připomínka č. </w:t>
            </w:r>
            <w:r>
              <w:rPr>
                <w:b/>
                <w:sz w:val="22"/>
                <w:szCs w:val="22"/>
              </w:rPr>
              <w:t>7</w:t>
            </w:r>
            <w:r w:rsidRPr="00E172A8">
              <w:rPr>
                <w:b/>
                <w:sz w:val="22"/>
                <w:szCs w:val="22"/>
              </w:rPr>
              <w:t>:</w:t>
            </w:r>
          </w:p>
          <w:p w:rsidR="00641D5F" w:rsidRDefault="00641D5F" w:rsidP="00571E9C">
            <w:pPr>
              <w:widowControl w:val="0"/>
              <w:autoSpaceDE w:val="0"/>
              <w:autoSpaceDN w:val="0"/>
              <w:adjustRightInd w:val="0"/>
              <w:jc w:val="both"/>
              <w:rPr>
                <w:sz w:val="22"/>
                <w:szCs w:val="22"/>
              </w:rPr>
            </w:pPr>
          </w:p>
          <w:p w:rsidR="00641D5F" w:rsidRPr="00641D5F" w:rsidRDefault="00641D5F" w:rsidP="00571E9C">
            <w:pPr>
              <w:widowControl w:val="0"/>
              <w:autoSpaceDE w:val="0"/>
              <w:autoSpaceDN w:val="0"/>
              <w:adjustRightInd w:val="0"/>
              <w:jc w:val="both"/>
              <w:rPr>
                <w:sz w:val="22"/>
                <w:szCs w:val="22"/>
              </w:rPr>
            </w:pPr>
            <w:r w:rsidRPr="00641D5F">
              <w:rPr>
                <w:sz w:val="22"/>
                <w:szCs w:val="22"/>
              </w:rPr>
              <w:t>K předkládací zprávě:</w:t>
            </w:r>
          </w:p>
          <w:p w:rsidR="00B42A2B" w:rsidRPr="00E172A8" w:rsidRDefault="00641D5F" w:rsidP="00571E9C">
            <w:pPr>
              <w:widowControl w:val="0"/>
              <w:autoSpaceDE w:val="0"/>
              <w:autoSpaceDN w:val="0"/>
              <w:adjustRightInd w:val="0"/>
              <w:jc w:val="both"/>
              <w:rPr>
                <w:b/>
                <w:sz w:val="22"/>
                <w:szCs w:val="22"/>
              </w:rPr>
            </w:pPr>
            <w:r w:rsidRPr="00641D5F">
              <w:rPr>
                <w:sz w:val="22"/>
                <w:szCs w:val="22"/>
              </w:rPr>
              <w:t>V předkládací zprávě je uvedeno, že důvodem předložení materiálu je nedostatečná nabídka volných investičně připravených ploch pro nově příchozí investory. Požadujeme toto tvrzení podložit analýzou volných ploch ve stávajících průmyslových zónách.</w:t>
            </w:r>
          </w:p>
        </w:tc>
        <w:tc>
          <w:tcPr>
            <w:tcW w:w="6393" w:type="dxa"/>
            <w:tcBorders>
              <w:left w:val="single" w:sz="4" w:space="0" w:color="auto"/>
              <w:right w:val="single" w:sz="4" w:space="0" w:color="auto"/>
            </w:tcBorders>
            <w:shd w:val="clear" w:color="auto" w:fill="auto"/>
          </w:tcPr>
          <w:p w:rsidR="00B225EF" w:rsidRDefault="00AA229E" w:rsidP="00D24678">
            <w:pPr>
              <w:jc w:val="both"/>
              <w:rPr>
                <w:bCs/>
                <w:sz w:val="22"/>
                <w:szCs w:val="22"/>
              </w:rPr>
            </w:pPr>
            <w:r>
              <w:rPr>
                <w:bCs/>
                <w:sz w:val="22"/>
                <w:szCs w:val="22"/>
              </w:rPr>
              <w:t>Předkládací zpráva rozšířena o tyto informace.</w:t>
            </w:r>
          </w:p>
          <w:p w:rsidR="00BA7B6B" w:rsidRDefault="00BA7B6B" w:rsidP="00D24678">
            <w:pPr>
              <w:jc w:val="both"/>
              <w:rPr>
                <w:bCs/>
                <w:sz w:val="22"/>
                <w:szCs w:val="22"/>
              </w:rPr>
            </w:pPr>
          </w:p>
          <w:p w:rsidR="00BA7B6B" w:rsidRDefault="00BA7B6B" w:rsidP="00D24678">
            <w:pPr>
              <w:jc w:val="both"/>
              <w:rPr>
                <w:bCs/>
                <w:sz w:val="22"/>
                <w:szCs w:val="22"/>
              </w:rPr>
            </w:pPr>
          </w:p>
          <w:p w:rsidR="00BA7B6B" w:rsidRPr="00213C54" w:rsidRDefault="00BA7B6B" w:rsidP="00BA7B6B">
            <w:pPr>
              <w:jc w:val="both"/>
              <w:rPr>
                <w:b/>
                <w:bCs/>
                <w:sz w:val="22"/>
                <w:szCs w:val="22"/>
              </w:rPr>
            </w:pPr>
            <w:r w:rsidRPr="00213C54">
              <w:rPr>
                <w:b/>
                <w:bCs/>
                <w:sz w:val="22"/>
                <w:szCs w:val="22"/>
              </w:rPr>
              <w:t xml:space="preserve">Vyjádření </w:t>
            </w:r>
            <w:r>
              <w:rPr>
                <w:b/>
                <w:bCs/>
                <w:sz w:val="22"/>
                <w:szCs w:val="22"/>
              </w:rPr>
              <w:t>MF</w:t>
            </w:r>
            <w:r w:rsidRPr="00213C54">
              <w:rPr>
                <w:b/>
                <w:bCs/>
                <w:sz w:val="22"/>
                <w:szCs w:val="22"/>
              </w:rPr>
              <w:t xml:space="preserve"> k vypořádání:</w:t>
            </w:r>
          </w:p>
          <w:p w:rsidR="00BA7B6B" w:rsidRDefault="00BA7B6B" w:rsidP="00BA7B6B">
            <w:pPr>
              <w:jc w:val="both"/>
              <w:rPr>
                <w:bCs/>
                <w:sz w:val="22"/>
                <w:szCs w:val="22"/>
              </w:rPr>
            </w:pPr>
            <w:r>
              <w:rPr>
                <w:bCs/>
                <w:sz w:val="22"/>
                <w:szCs w:val="22"/>
              </w:rPr>
              <w:t>Souhlas s vypořádáním.</w:t>
            </w:r>
          </w:p>
          <w:p w:rsidR="00BA7B6B" w:rsidRPr="00E172A8" w:rsidRDefault="00BA7B6B" w:rsidP="00D24678">
            <w:pPr>
              <w:jc w:val="both"/>
              <w:rPr>
                <w:bCs/>
                <w:sz w:val="22"/>
                <w:szCs w:val="22"/>
              </w:rPr>
            </w:pPr>
          </w:p>
        </w:tc>
      </w:tr>
      <w:tr w:rsidR="00B42A2B" w:rsidRPr="00E172A8" w:rsidTr="00E1562D">
        <w:trPr>
          <w:trHeight w:val="340"/>
        </w:trPr>
        <w:tc>
          <w:tcPr>
            <w:tcW w:w="2191" w:type="dxa"/>
            <w:tcBorders>
              <w:left w:val="single" w:sz="4" w:space="0" w:color="auto"/>
              <w:right w:val="single" w:sz="4" w:space="0" w:color="auto"/>
            </w:tcBorders>
            <w:shd w:val="clear" w:color="auto" w:fill="auto"/>
          </w:tcPr>
          <w:p w:rsidR="00B42A2B" w:rsidRPr="00555320" w:rsidRDefault="00B42A2B" w:rsidP="00326115">
            <w:pPr>
              <w:rPr>
                <w:b/>
                <w:sz w:val="22"/>
                <w:szCs w:val="22"/>
              </w:rPr>
            </w:pP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42A2B" w:rsidRPr="00E172A8" w:rsidRDefault="00B42A2B" w:rsidP="00571E9C">
            <w:pPr>
              <w:widowControl w:val="0"/>
              <w:autoSpaceDE w:val="0"/>
              <w:autoSpaceDN w:val="0"/>
              <w:adjustRightInd w:val="0"/>
              <w:jc w:val="both"/>
              <w:rPr>
                <w:b/>
                <w:sz w:val="22"/>
                <w:szCs w:val="22"/>
              </w:rPr>
            </w:pPr>
            <w:r w:rsidRPr="00E172A8">
              <w:rPr>
                <w:b/>
                <w:sz w:val="22"/>
                <w:szCs w:val="22"/>
              </w:rPr>
              <w:t xml:space="preserve">Doporučující připomínka č. </w:t>
            </w:r>
            <w:r w:rsidR="00641D5F">
              <w:rPr>
                <w:b/>
                <w:sz w:val="22"/>
                <w:szCs w:val="22"/>
              </w:rPr>
              <w:t>1</w:t>
            </w:r>
            <w:r w:rsidRPr="00E172A8">
              <w:rPr>
                <w:b/>
                <w:sz w:val="22"/>
                <w:szCs w:val="22"/>
              </w:rPr>
              <w:t>:</w:t>
            </w:r>
          </w:p>
          <w:p w:rsidR="00DE018C" w:rsidRPr="00E172A8" w:rsidRDefault="00DE018C" w:rsidP="00571E9C">
            <w:pPr>
              <w:jc w:val="both"/>
              <w:rPr>
                <w:sz w:val="22"/>
                <w:szCs w:val="22"/>
              </w:rPr>
            </w:pPr>
          </w:p>
          <w:p w:rsidR="00641D5F" w:rsidRPr="00641D5F" w:rsidRDefault="00641D5F" w:rsidP="00571E9C">
            <w:pPr>
              <w:jc w:val="both"/>
              <w:rPr>
                <w:sz w:val="22"/>
                <w:szCs w:val="22"/>
              </w:rPr>
            </w:pPr>
            <w:r w:rsidRPr="00641D5F">
              <w:rPr>
                <w:sz w:val="22"/>
                <w:szCs w:val="22"/>
              </w:rPr>
              <w:t>Obecně:</w:t>
            </w:r>
          </w:p>
          <w:p w:rsidR="00DE018C" w:rsidRPr="00E172A8" w:rsidRDefault="00641D5F" w:rsidP="00571E9C">
            <w:pPr>
              <w:jc w:val="both"/>
              <w:rPr>
                <w:sz w:val="22"/>
                <w:szCs w:val="22"/>
              </w:rPr>
            </w:pPr>
            <w:r w:rsidRPr="00641D5F">
              <w:rPr>
                <w:sz w:val="22"/>
                <w:szCs w:val="22"/>
              </w:rPr>
              <w:t>Vzhledem k velkému množství rizik, které mohou zpozdit časový harmonogram, či dokonce realizaci projektu úplně zastavit, považujeme za vhodné vytipovat také alternativní lokality, které by mohly být strategickému investorovi typu gigafactory nabídnuty.</w:t>
            </w:r>
          </w:p>
          <w:p w:rsidR="00B42A2B" w:rsidRPr="00E172A8" w:rsidRDefault="00B42A2B" w:rsidP="00571E9C">
            <w:pPr>
              <w:widowControl w:val="0"/>
              <w:autoSpaceDE w:val="0"/>
              <w:autoSpaceDN w:val="0"/>
              <w:adjustRightInd w:val="0"/>
              <w:jc w:val="both"/>
              <w:rPr>
                <w:b/>
                <w:sz w:val="22"/>
                <w:szCs w:val="22"/>
              </w:rPr>
            </w:pPr>
          </w:p>
        </w:tc>
        <w:tc>
          <w:tcPr>
            <w:tcW w:w="6393" w:type="dxa"/>
            <w:tcBorders>
              <w:left w:val="single" w:sz="4" w:space="0" w:color="auto"/>
              <w:right w:val="single" w:sz="4" w:space="0" w:color="auto"/>
            </w:tcBorders>
            <w:shd w:val="clear" w:color="auto" w:fill="auto"/>
          </w:tcPr>
          <w:p w:rsidR="00DE018C" w:rsidRDefault="00561A71" w:rsidP="00D24678">
            <w:pPr>
              <w:jc w:val="both"/>
              <w:rPr>
                <w:bCs/>
                <w:sz w:val="22"/>
                <w:szCs w:val="22"/>
              </w:rPr>
            </w:pPr>
            <w:r>
              <w:rPr>
                <w:bCs/>
                <w:sz w:val="22"/>
                <w:szCs w:val="22"/>
              </w:rPr>
              <w:t xml:space="preserve">Před rozhodnutím MPO realizovat Podnikatelský park Plzeň Líně </w:t>
            </w:r>
            <w:r w:rsidR="0040573A">
              <w:rPr>
                <w:bCs/>
                <w:sz w:val="22"/>
                <w:szCs w:val="22"/>
              </w:rPr>
              <w:t xml:space="preserve">byly prověřeny potencionálně </w:t>
            </w:r>
            <w:r>
              <w:rPr>
                <w:bCs/>
                <w:sz w:val="22"/>
                <w:szCs w:val="22"/>
              </w:rPr>
              <w:t>vhodn</w:t>
            </w:r>
            <w:r w:rsidR="0040573A">
              <w:rPr>
                <w:bCs/>
                <w:sz w:val="22"/>
                <w:szCs w:val="22"/>
              </w:rPr>
              <w:t>é</w:t>
            </w:r>
            <w:r>
              <w:rPr>
                <w:bCs/>
                <w:sz w:val="22"/>
                <w:szCs w:val="22"/>
              </w:rPr>
              <w:t xml:space="preserve"> lokalit</w:t>
            </w:r>
            <w:r w:rsidR="0040573A">
              <w:rPr>
                <w:bCs/>
                <w:sz w:val="22"/>
                <w:szCs w:val="22"/>
              </w:rPr>
              <w:t>y</w:t>
            </w:r>
            <w:r>
              <w:rPr>
                <w:bCs/>
                <w:sz w:val="22"/>
                <w:szCs w:val="22"/>
              </w:rPr>
              <w:t xml:space="preserve"> v celé České republice. V rámci posuzovaných lokalit byly prově</w:t>
            </w:r>
            <w:r w:rsidR="0040573A">
              <w:rPr>
                <w:bCs/>
                <w:sz w:val="22"/>
                <w:szCs w:val="22"/>
              </w:rPr>
              <w:t>řovány</w:t>
            </w:r>
            <w:r>
              <w:rPr>
                <w:bCs/>
                <w:sz w:val="22"/>
                <w:szCs w:val="22"/>
              </w:rPr>
              <w:t xml:space="preserve"> lokality v Chebu, Sokolov</w:t>
            </w:r>
            <w:r w:rsidR="0040573A">
              <w:rPr>
                <w:bCs/>
                <w:sz w:val="22"/>
                <w:szCs w:val="22"/>
              </w:rPr>
              <w:t>ě</w:t>
            </w:r>
            <w:r>
              <w:rPr>
                <w:bCs/>
                <w:sz w:val="22"/>
                <w:szCs w:val="22"/>
              </w:rPr>
              <w:t>, Prunéřov</w:t>
            </w:r>
            <w:r w:rsidR="0040573A">
              <w:rPr>
                <w:bCs/>
                <w:sz w:val="22"/>
                <w:szCs w:val="22"/>
              </w:rPr>
              <w:t>ě</w:t>
            </w:r>
            <w:r>
              <w:rPr>
                <w:bCs/>
                <w:sz w:val="22"/>
                <w:szCs w:val="22"/>
              </w:rPr>
              <w:t>, Přerov</w:t>
            </w:r>
            <w:r w:rsidR="0040573A">
              <w:rPr>
                <w:bCs/>
                <w:sz w:val="22"/>
                <w:szCs w:val="22"/>
              </w:rPr>
              <w:t>ě</w:t>
            </w:r>
            <w:r>
              <w:rPr>
                <w:bCs/>
                <w:sz w:val="22"/>
                <w:szCs w:val="22"/>
              </w:rPr>
              <w:t xml:space="preserve"> – Bochoř</w:t>
            </w:r>
            <w:r w:rsidR="0040573A">
              <w:rPr>
                <w:bCs/>
                <w:sz w:val="22"/>
                <w:szCs w:val="22"/>
              </w:rPr>
              <w:t>i</w:t>
            </w:r>
            <w:r>
              <w:rPr>
                <w:bCs/>
                <w:sz w:val="22"/>
                <w:szCs w:val="22"/>
              </w:rPr>
              <w:t>, Žat</w:t>
            </w:r>
            <w:r w:rsidR="0040573A">
              <w:rPr>
                <w:bCs/>
                <w:sz w:val="22"/>
                <w:szCs w:val="22"/>
              </w:rPr>
              <w:t xml:space="preserve">ci </w:t>
            </w:r>
            <w:r>
              <w:rPr>
                <w:bCs/>
                <w:sz w:val="22"/>
                <w:szCs w:val="22"/>
              </w:rPr>
              <w:t>Triangle, Milovic</w:t>
            </w:r>
            <w:r w:rsidR="0040573A">
              <w:rPr>
                <w:bCs/>
                <w:sz w:val="22"/>
                <w:szCs w:val="22"/>
              </w:rPr>
              <w:t>ích</w:t>
            </w:r>
            <w:r>
              <w:rPr>
                <w:bCs/>
                <w:sz w:val="22"/>
                <w:szCs w:val="22"/>
              </w:rPr>
              <w:t>, Ralsk</w:t>
            </w:r>
            <w:r w:rsidR="0040573A">
              <w:rPr>
                <w:bCs/>
                <w:sz w:val="22"/>
                <w:szCs w:val="22"/>
              </w:rPr>
              <w:t>u, Českých Budějovicích - Hůry</w:t>
            </w:r>
            <w:r>
              <w:rPr>
                <w:bCs/>
                <w:sz w:val="22"/>
                <w:szCs w:val="22"/>
              </w:rPr>
              <w:t xml:space="preserve">. Tyto lokality však nejsou vhodné z hlediska </w:t>
            </w:r>
            <w:r w:rsidR="0040573A">
              <w:rPr>
                <w:bCs/>
                <w:sz w:val="22"/>
                <w:szCs w:val="22"/>
              </w:rPr>
              <w:t xml:space="preserve">jejich velikosti, možným vlivům z hlubinné těžby nerostných surovin, velkých terénních nerovností, uvažovaným využitím armádou ČR, složitými majetkoprávními vztahy, tj. velký počet soukromých majitelů. </w:t>
            </w:r>
            <w:r w:rsidR="0095311F">
              <w:rPr>
                <w:bCs/>
                <w:sz w:val="22"/>
                <w:szCs w:val="22"/>
              </w:rPr>
              <w:t>Prověřování probíhalo cca 1 rok.</w:t>
            </w:r>
          </w:p>
          <w:p w:rsidR="00BA7B6B" w:rsidRDefault="00BA7B6B" w:rsidP="00D24678">
            <w:pPr>
              <w:jc w:val="both"/>
              <w:rPr>
                <w:bCs/>
                <w:sz w:val="22"/>
                <w:szCs w:val="22"/>
              </w:rPr>
            </w:pPr>
          </w:p>
          <w:p w:rsidR="00BA7B6B" w:rsidRPr="00213C54" w:rsidRDefault="00BA7B6B" w:rsidP="00BA7B6B">
            <w:pPr>
              <w:jc w:val="both"/>
              <w:rPr>
                <w:b/>
                <w:bCs/>
                <w:sz w:val="22"/>
                <w:szCs w:val="22"/>
              </w:rPr>
            </w:pPr>
            <w:r w:rsidRPr="00213C54">
              <w:rPr>
                <w:b/>
                <w:bCs/>
                <w:sz w:val="22"/>
                <w:szCs w:val="22"/>
              </w:rPr>
              <w:t xml:space="preserve">Vyjádření </w:t>
            </w:r>
            <w:r>
              <w:rPr>
                <w:b/>
                <w:bCs/>
                <w:sz w:val="22"/>
                <w:szCs w:val="22"/>
              </w:rPr>
              <w:t>MF</w:t>
            </w:r>
            <w:r w:rsidRPr="00213C54">
              <w:rPr>
                <w:b/>
                <w:bCs/>
                <w:sz w:val="22"/>
                <w:szCs w:val="22"/>
              </w:rPr>
              <w:t xml:space="preserve"> k vypořádání:</w:t>
            </w:r>
          </w:p>
          <w:p w:rsidR="00BA7B6B" w:rsidRDefault="00BA7B6B" w:rsidP="00BA7B6B">
            <w:pPr>
              <w:jc w:val="both"/>
              <w:rPr>
                <w:bCs/>
                <w:sz w:val="22"/>
                <w:szCs w:val="22"/>
              </w:rPr>
            </w:pPr>
            <w:r>
              <w:rPr>
                <w:bCs/>
                <w:sz w:val="22"/>
                <w:szCs w:val="22"/>
              </w:rPr>
              <w:t>Souhlas s vypořádáním.</w:t>
            </w:r>
          </w:p>
          <w:p w:rsidR="00BA7B6B" w:rsidRPr="00E172A8" w:rsidRDefault="00BA7B6B" w:rsidP="00D24678">
            <w:pPr>
              <w:jc w:val="both"/>
              <w:rPr>
                <w:bCs/>
                <w:sz w:val="22"/>
                <w:szCs w:val="22"/>
              </w:rPr>
            </w:pPr>
          </w:p>
        </w:tc>
      </w:tr>
      <w:tr w:rsidR="00326115" w:rsidRPr="00E172A8" w:rsidTr="00E1562D">
        <w:trPr>
          <w:trHeight w:val="340"/>
        </w:trPr>
        <w:tc>
          <w:tcPr>
            <w:tcW w:w="2191" w:type="dxa"/>
            <w:tcBorders>
              <w:left w:val="single" w:sz="4" w:space="0" w:color="auto"/>
              <w:right w:val="single" w:sz="4" w:space="0" w:color="auto"/>
            </w:tcBorders>
            <w:shd w:val="clear" w:color="auto" w:fill="auto"/>
          </w:tcPr>
          <w:p w:rsidR="00326115" w:rsidRPr="00555320" w:rsidRDefault="00326115" w:rsidP="00326115">
            <w:pPr>
              <w:rPr>
                <w:b/>
                <w:sz w:val="22"/>
                <w:szCs w:val="22"/>
              </w:rPr>
            </w:pPr>
            <w:r w:rsidRPr="00555320">
              <w:rPr>
                <w:b/>
                <w:sz w:val="22"/>
                <w:szCs w:val="22"/>
              </w:rPr>
              <w:t>Plzeňský kraj</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641D5F" w:rsidRPr="00E172A8" w:rsidRDefault="00641D5F" w:rsidP="00571E9C">
            <w:pPr>
              <w:widowControl w:val="0"/>
              <w:autoSpaceDE w:val="0"/>
              <w:autoSpaceDN w:val="0"/>
              <w:adjustRightInd w:val="0"/>
              <w:jc w:val="both"/>
              <w:rPr>
                <w:b/>
                <w:sz w:val="22"/>
                <w:szCs w:val="22"/>
              </w:rPr>
            </w:pPr>
            <w:r w:rsidRPr="00E172A8">
              <w:rPr>
                <w:b/>
                <w:sz w:val="22"/>
                <w:szCs w:val="22"/>
              </w:rPr>
              <w:t xml:space="preserve">Doporučující připomínka č. </w:t>
            </w:r>
            <w:r>
              <w:rPr>
                <w:b/>
                <w:sz w:val="22"/>
                <w:szCs w:val="22"/>
              </w:rPr>
              <w:t>1</w:t>
            </w:r>
            <w:r w:rsidRPr="00E172A8">
              <w:rPr>
                <w:b/>
                <w:sz w:val="22"/>
                <w:szCs w:val="22"/>
              </w:rPr>
              <w:t>:</w:t>
            </w:r>
          </w:p>
          <w:p w:rsidR="00641D5F" w:rsidRPr="00641D5F" w:rsidRDefault="00641D5F" w:rsidP="00571E9C">
            <w:pPr>
              <w:spacing w:before="200"/>
              <w:jc w:val="both"/>
              <w:rPr>
                <w:sz w:val="22"/>
                <w:szCs w:val="22"/>
              </w:rPr>
            </w:pPr>
            <w:r>
              <w:rPr>
                <w:sz w:val="22"/>
                <w:szCs w:val="22"/>
              </w:rPr>
              <w:t>D</w:t>
            </w:r>
            <w:r w:rsidRPr="00641D5F">
              <w:rPr>
                <w:sz w:val="22"/>
                <w:szCs w:val="22"/>
              </w:rPr>
              <w:t>oplnění předkládací zprávy</w:t>
            </w:r>
            <w:r>
              <w:rPr>
                <w:sz w:val="22"/>
                <w:szCs w:val="22"/>
              </w:rPr>
              <w:t>:</w:t>
            </w:r>
          </w:p>
          <w:p w:rsidR="00641D5F" w:rsidRPr="00641D5F" w:rsidRDefault="00641D5F" w:rsidP="00571E9C">
            <w:pPr>
              <w:spacing w:before="200"/>
              <w:jc w:val="both"/>
              <w:rPr>
                <w:sz w:val="22"/>
                <w:szCs w:val="22"/>
              </w:rPr>
            </w:pPr>
            <w:r w:rsidRPr="00641D5F">
              <w:rPr>
                <w:sz w:val="22"/>
                <w:szCs w:val="22"/>
              </w:rPr>
              <w:t>Ke znění pátého odstavce navrhujeme upravit první větu:</w:t>
            </w:r>
          </w:p>
          <w:p w:rsidR="00641D5F" w:rsidRPr="00641D5F" w:rsidRDefault="00641D5F" w:rsidP="00571E9C">
            <w:pPr>
              <w:spacing w:before="200"/>
              <w:jc w:val="both"/>
              <w:rPr>
                <w:sz w:val="22"/>
                <w:szCs w:val="22"/>
              </w:rPr>
            </w:pPr>
            <w:r w:rsidRPr="00641D5F">
              <w:rPr>
                <w:sz w:val="22"/>
                <w:szCs w:val="22"/>
              </w:rPr>
              <w:t>Původní znění:</w:t>
            </w:r>
          </w:p>
          <w:p w:rsidR="00641D5F" w:rsidRPr="00641D5F" w:rsidRDefault="00641D5F" w:rsidP="00571E9C">
            <w:pPr>
              <w:spacing w:before="200"/>
              <w:jc w:val="both"/>
              <w:rPr>
                <w:sz w:val="22"/>
                <w:szCs w:val="22"/>
              </w:rPr>
            </w:pPr>
            <w:r w:rsidRPr="00641D5F">
              <w:rPr>
                <w:sz w:val="22"/>
                <w:szCs w:val="22"/>
              </w:rPr>
              <w:t>Zájmové území se nachází mezi obcí Líně a obcí Dobřany v Plzeňském kraji, 10 km jihozápadně od statutárního města Plzně.</w:t>
            </w:r>
          </w:p>
          <w:p w:rsidR="00641D5F" w:rsidRPr="00641D5F" w:rsidRDefault="00641D5F" w:rsidP="00571E9C">
            <w:pPr>
              <w:spacing w:before="200"/>
              <w:jc w:val="both"/>
              <w:rPr>
                <w:sz w:val="22"/>
                <w:szCs w:val="22"/>
              </w:rPr>
            </w:pPr>
            <w:r w:rsidRPr="00641D5F">
              <w:rPr>
                <w:sz w:val="22"/>
                <w:szCs w:val="22"/>
              </w:rPr>
              <w:t>Nové znění:</w:t>
            </w:r>
          </w:p>
          <w:p w:rsidR="00641D5F" w:rsidRPr="00641D5F" w:rsidRDefault="00641D5F" w:rsidP="00571E9C">
            <w:pPr>
              <w:spacing w:before="200"/>
              <w:jc w:val="both"/>
              <w:rPr>
                <w:sz w:val="22"/>
                <w:szCs w:val="22"/>
              </w:rPr>
            </w:pPr>
            <w:r w:rsidRPr="00641D5F">
              <w:rPr>
                <w:sz w:val="22"/>
                <w:szCs w:val="22"/>
              </w:rPr>
              <w:t xml:space="preserve">Zájmové území se nachází mezi obcí Lhota (Plzeň 10), obcí Líně a obcí Dobřany v Plzeňském </w:t>
            </w:r>
            <w:r w:rsidR="0040573A" w:rsidRPr="00641D5F">
              <w:rPr>
                <w:sz w:val="22"/>
                <w:szCs w:val="22"/>
              </w:rPr>
              <w:t>kraji 10</w:t>
            </w:r>
            <w:r w:rsidRPr="00641D5F">
              <w:rPr>
                <w:sz w:val="22"/>
                <w:szCs w:val="22"/>
              </w:rPr>
              <w:t xml:space="preserve"> km jihozápadně od statutárního města Plzně.</w:t>
            </w:r>
          </w:p>
          <w:p w:rsidR="00326115" w:rsidRPr="00E172A8" w:rsidRDefault="00641D5F" w:rsidP="00571E9C">
            <w:pPr>
              <w:spacing w:before="200"/>
              <w:jc w:val="both"/>
              <w:rPr>
                <w:b/>
                <w:sz w:val="22"/>
                <w:szCs w:val="22"/>
              </w:rPr>
            </w:pPr>
            <w:r w:rsidRPr="00641D5F">
              <w:rPr>
                <w:sz w:val="22"/>
                <w:szCs w:val="22"/>
              </w:rPr>
              <w:t xml:space="preserve">Poznámka: </w:t>
            </w:r>
            <w:r w:rsidR="00B1751C">
              <w:rPr>
                <w:sz w:val="22"/>
                <w:szCs w:val="22"/>
              </w:rPr>
              <w:t>U</w:t>
            </w:r>
            <w:r w:rsidRPr="00641D5F">
              <w:rPr>
                <w:sz w:val="22"/>
                <w:szCs w:val="22"/>
              </w:rPr>
              <w:t xml:space="preserve"> obce Lhota se nachází tzv záložní dráha s krytými hangáry, tato plocha by byla využita Plzeňským krajem pro vybudování ubytovací kapacity potřebné pro podnikatelský park, tím se řeší zásadní připomínka okolních obcí na nedostatek ubytovacích kapacit na jejich území.</w:t>
            </w:r>
          </w:p>
        </w:tc>
        <w:tc>
          <w:tcPr>
            <w:tcW w:w="6393" w:type="dxa"/>
            <w:tcBorders>
              <w:left w:val="single" w:sz="4" w:space="0" w:color="auto"/>
              <w:right w:val="single" w:sz="4" w:space="0" w:color="auto"/>
            </w:tcBorders>
            <w:shd w:val="clear" w:color="auto" w:fill="auto"/>
          </w:tcPr>
          <w:p w:rsidR="00326115" w:rsidRDefault="0095311F" w:rsidP="00326115">
            <w:pPr>
              <w:jc w:val="both"/>
              <w:rPr>
                <w:bCs/>
                <w:sz w:val="22"/>
                <w:szCs w:val="22"/>
              </w:rPr>
            </w:pPr>
            <w:r>
              <w:rPr>
                <w:bCs/>
                <w:sz w:val="22"/>
                <w:szCs w:val="22"/>
              </w:rPr>
              <w:t xml:space="preserve">Rozumíme požadavku, nicméně toto nebylo předmětem jednání s MO a nelze v takto rychlém čase projednat. </w:t>
            </w:r>
            <w:r w:rsidR="006C6B59">
              <w:rPr>
                <w:bCs/>
                <w:sz w:val="22"/>
                <w:szCs w:val="22"/>
              </w:rPr>
              <w:t>Společně projednáme s MO a zařadíme případně do další aktualizace usnesení vlády s již pokročilejšími parametry projektu.</w:t>
            </w:r>
          </w:p>
          <w:p w:rsidR="00482E7B" w:rsidRDefault="00482E7B" w:rsidP="00326115">
            <w:pPr>
              <w:jc w:val="both"/>
              <w:rPr>
                <w:bCs/>
                <w:sz w:val="22"/>
                <w:szCs w:val="22"/>
              </w:rPr>
            </w:pPr>
          </w:p>
          <w:p w:rsidR="00482E7B" w:rsidRPr="00213C54" w:rsidRDefault="00482E7B" w:rsidP="00482E7B">
            <w:pPr>
              <w:jc w:val="both"/>
              <w:rPr>
                <w:b/>
                <w:bCs/>
                <w:sz w:val="22"/>
                <w:szCs w:val="22"/>
              </w:rPr>
            </w:pPr>
            <w:r w:rsidRPr="00213C54">
              <w:rPr>
                <w:b/>
                <w:bCs/>
                <w:sz w:val="22"/>
                <w:szCs w:val="22"/>
              </w:rPr>
              <w:t xml:space="preserve">Vyjádření </w:t>
            </w:r>
            <w:r>
              <w:rPr>
                <w:b/>
                <w:bCs/>
                <w:sz w:val="22"/>
                <w:szCs w:val="22"/>
              </w:rPr>
              <w:t>PLK</w:t>
            </w:r>
            <w:r w:rsidRPr="00213C54">
              <w:rPr>
                <w:b/>
                <w:bCs/>
                <w:sz w:val="22"/>
                <w:szCs w:val="22"/>
              </w:rPr>
              <w:t xml:space="preserve"> k vypořádání:</w:t>
            </w:r>
          </w:p>
          <w:p w:rsidR="00482E7B" w:rsidRDefault="00482E7B" w:rsidP="00326115">
            <w:pPr>
              <w:jc w:val="both"/>
              <w:rPr>
                <w:bCs/>
                <w:sz w:val="22"/>
                <w:szCs w:val="22"/>
              </w:rPr>
            </w:pPr>
            <w:r>
              <w:rPr>
                <w:bCs/>
                <w:sz w:val="22"/>
                <w:szCs w:val="22"/>
              </w:rPr>
              <w:t>Souhlas s</w:t>
            </w:r>
            <w:r w:rsidR="00B9676E">
              <w:rPr>
                <w:bCs/>
                <w:sz w:val="22"/>
                <w:szCs w:val="22"/>
              </w:rPr>
              <w:t> </w:t>
            </w:r>
            <w:r>
              <w:rPr>
                <w:bCs/>
                <w:sz w:val="22"/>
                <w:szCs w:val="22"/>
              </w:rPr>
              <w:t>vypořádáním</w:t>
            </w:r>
            <w:r w:rsidR="00B9676E">
              <w:rPr>
                <w:bCs/>
                <w:sz w:val="22"/>
                <w:szCs w:val="22"/>
              </w:rPr>
              <w:t>.</w:t>
            </w:r>
          </w:p>
          <w:p w:rsidR="00482E7B" w:rsidRPr="00E172A8" w:rsidRDefault="00482E7B" w:rsidP="00326115">
            <w:pPr>
              <w:jc w:val="both"/>
              <w:rPr>
                <w:bCs/>
                <w:sz w:val="22"/>
                <w:szCs w:val="22"/>
              </w:rPr>
            </w:pPr>
          </w:p>
        </w:tc>
      </w:tr>
      <w:tr w:rsidR="00641D5F" w:rsidRPr="00E172A8" w:rsidTr="00E1562D">
        <w:trPr>
          <w:trHeight w:val="340"/>
        </w:trPr>
        <w:tc>
          <w:tcPr>
            <w:tcW w:w="2191" w:type="dxa"/>
            <w:tcBorders>
              <w:left w:val="single" w:sz="4" w:space="0" w:color="auto"/>
              <w:right w:val="single" w:sz="4" w:space="0" w:color="auto"/>
            </w:tcBorders>
            <w:shd w:val="clear" w:color="auto" w:fill="auto"/>
          </w:tcPr>
          <w:p w:rsidR="00641D5F" w:rsidRPr="00555320" w:rsidRDefault="00641D5F" w:rsidP="00326115">
            <w:pPr>
              <w:rPr>
                <w:b/>
                <w:sz w:val="22"/>
                <w:szCs w:val="22"/>
              </w:rPr>
            </w:pP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641D5F" w:rsidRDefault="00641D5F" w:rsidP="00571E9C">
            <w:pPr>
              <w:widowControl w:val="0"/>
              <w:autoSpaceDE w:val="0"/>
              <w:autoSpaceDN w:val="0"/>
              <w:adjustRightInd w:val="0"/>
              <w:jc w:val="both"/>
              <w:rPr>
                <w:b/>
                <w:sz w:val="22"/>
                <w:szCs w:val="22"/>
              </w:rPr>
            </w:pPr>
            <w:r w:rsidRPr="00E172A8">
              <w:rPr>
                <w:b/>
                <w:sz w:val="22"/>
                <w:szCs w:val="22"/>
              </w:rPr>
              <w:t xml:space="preserve">Doporučující připomínka č. </w:t>
            </w:r>
            <w:r>
              <w:rPr>
                <w:b/>
                <w:sz w:val="22"/>
                <w:szCs w:val="22"/>
              </w:rPr>
              <w:t>2</w:t>
            </w:r>
            <w:r w:rsidRPr="00E172A8">
              <w:rPr>
                <w:b/>
                <w:sz w:val="22"/>
                <w:szCs w:val="22"/>
              </w:rPr>
              <w:t>:</w:t>
            </w:r>
          </w:p>
          <w:p w:rsidR="00B1751C" w:rsidRDefault="00B1751C" w:rsidP="00571E9C">
            <w:pPr>
              <w:widowControl w:val="0"/>
              <w:autoSpaceDE w:val="0"/>
              <w:autoSpaceDN w:val="0"/>
              <w:adjustRightInd w:val="0"/>
              <w:jc w:val="both"/>
              <w:rPr>
                <w:sz w:val="22"/>
                <w:szCs w:val="22"/>
              </w:rPr>
            </w:pPr>
          </w:p>
          <w:p w:rsidR="00B1751C" w:rsidRPr="00B1751C" w:rsidRDefault="00B1751C" w:rsidP="00571E9C">
            <w:pPr>
              <w:widowControl w:val="0"/>
              <w:autoSpaceDE w:val="0"/>
              <w:autoSpaceDN w:val="0"/>
              <w:adjustRightInd w:val="0"/>
              <w:jc w:val="both"/>
              <w:rPr>
                <w:sz w:val="22"/>
                <w:szCs w:val="22"/>
              </w:rPr>
            </w:pPr>
            <w:r>
              <w:rPr>
                <w:sz w:val="22"/>
                <w:szCs w:val="22"/>
              </w:rPr>
              <w:t>D</w:t>
            </w:r>
            <w:r w:rsidRPr="00B1751C">
              <w:rPr>
                <w:sz w:val="22"/>
                <w:szCs w:val="22"/>
              </w:rPr>
              <w:t>oplnění předkládací zprávy šestý odstavec</w:t>
            </w:r>
            <w:r>
              <w:rPr>
                <w:sz w:val="22"/>
                <w:szCs w:val="22"/>
              </w:rPr>
              <w:t>:</w:t>
            </w:r>
          </w:p>
          <w:p w:rsidR="00B1751C" w:rsidRPr="00B1751C" w:rsidRDefault="00B1751C" w:rsidP="00571E9C">
            <w:pPr>
              <w:widowControl w:val="0"/>
              <w:autoSpaceDE w:val="0"/>
              <w:autoSpaceDN w:val="0"/>
              <w:adjustRightInd w:val="0"/>
              <w:jc w:val="both"/>
              <w:rPr>
                <w:sz w:val="22"/>
                <w:szCs w:val="22"/>
              </w:rPr>
            </w:pPr>
          </w:p>
          <w:p w:rsidR="00B1751C" w:rsidRPr="00B1751C" w:rsidRDefault="00B1751C" w:rsidP="00571E9C">
            <w:pPr>
              <w:widowControl w:val="0"/>
              <w:autoSpaceDE w:val="0"/>
              <w:autoSpaceDN w:val="0"/>
              <w:adjustRightInd w:val="0"/>
              <w:jc w:val="both"/>
              <w:rPr>
                <w:sz w:val="22"/>
                <w:szCs w:val="22"/>
              </w:rPr>
            </w:pPr>
            <w:r w:rsidRPr="00B1751C">
              <w:rPr>
                <w:sz w:val="22"/>
                <w:szCs w:val="22"/>
              </w:rPr>
              <w:t>Navrhujeme vložit za první větu šestého odstavce následující větu:</w:t>
            </w:r>
          </w:p>
          <w:p w:rsidR="00B1751C" w:rsidRPr="00B1751C" w:rsidRDefault="00B1751C" w:rsidP="00571E9C">
            <w:pPr>
              <w:widowControl w:val="0"/>
              <w:autoSpaceDE w:val="0"/>
              <w:autoSpaceDN w:val="0"/>
              <w:adjustRightInd w:val="0"/>
              <w:jc w:val="both"/>
              <w:rPr>
                <w:sz w:val="22"/>
                <w:szCs w:val="22"/>
              </w:rPr>
            </w:pPr>
          </w:p>
          <w:p w:rsidR="00641D5F" w:rsidRPr="00E172A8" w:rsidRDefault="00B1751C" w:rsidP="00571E9C">
            <w:pPr>
              <w:widowControl w:val="0"/>
              <w:autoSpaceDE w:val="0"/>
              <w:autoSpaceDN w:val="0"/>
              <w:adjustRightInd w:val="0"/>
              <w:jc w:val="both"/>
              <w:rPr>
                <w:b/>
                <w:sz w:val="22"/>
                <w:szCs w:val="22"/>
              </w:rPr>
            </w:pPr>
            <w:r w:rsidRPr="00B1751C">
              <w:rPr>
                <w:sz w:val="22"/>
                <w:szCs w:val="22"/>
              </w:rPr>
              <w:t>Technická a dopravní infrastruktura lokality bude naddimenzována tak, aby umožnila lokalizaci provozů z odborů digitalizace (uzlová datacentra) a/nebo snižování uhlíkové stopy (OZE, elektromobilita apod.). Mimo jiné bude zajištěn nový kapacitní sjezd z D5, příkon 650MW elektřiny a vodovodní přivaděč o kapacitě 150l/s. Požadavky na udržitelnost lokality, zejména využívání zelené či modré energie z OZE bude řešen v rámci podpory budování OZE v ČR včetně akumulace energie pomocí regulačních prvků úložišť velkého výkonu (až 1000 MW), včetně PVE.</w:t>
            </w:r>
          </w:p>
        </w:tc>
        <w:tc>
          <w:tcPr>
            <w:tcW w:w="6393" w:type="dxa"/>
            <w:tcBorders>
              <w:left w:val="single" w:sz="4" w:space="0" w:color="auto"/>
              <w:right w:val="single" w:sz="4" w:space="0" w:color="auto"/>
            </w:tcBorders>
            <w:shd w:val="clear" w:color="auto" w:fill="auto"/>
          </w:tcPr>
          <w:p w:rsidR="00641D5F" w:rsidRDefault="006C6B59" w:rsidP="00326115">
            <w:pPr>
              <w:jc w:val="both"/>
              <w:rPr>
                <w:sz w:val="22"/>
                <w:szCs w:val="22"/>
              </w:rPr>
            </w:pPr>
            <w:r>
              <w:rPr>
                <w:bCs/>
                <w:sz w:val="22"/>
                <w:szCs w:val="22"/>
              </w:rPr>
              <w:t>Nedoporučujeme formulovat takto detailně, neboť se tím zužuje prostor na případná jiná řešení. Obecně souhlasíme s návrhem. Předkládací zpráva upravena.</w:t>
            </w:r>
            <w:r w:rsidR="0040573A">
              <w:rPr>
                <w:bCs/>
                <w:sz w:val="22"/>
                <w:szCs w:val="22"/>
              </w:rPr>
              <w:t xml:space="preserve"> </w:t>
            </w:r>
            <w:r>
              <w:rPr>
                <w:bCs/>
                <w:sz w:val="22"/>
                <w:szCs w:val="22"/>
              </w:rPr>
              <w:t>„</w:t>
            </w:r>
            <w:r w:rsidRPr="00B1751C">
              <w:rPr>
                <w:sz w:val="22"/>
                <w:szCs w:val="22"/>
              </w:rPr>
              <w:t>Technická a dopravní infrastruktura lokality bude dimenzována tak, aby umožnila lokalizaci provozů z odborů digitalizace</w:t>
            </w:r>
            <w:r>
              <w:rPr>
                <w:sz w:val="22"/>
                <w:szCs w:val="22"/>
              </w:rPr>
              <w:t xml:space="preserve"> nebo snižování uhlíkové stopy, tj. kapacitní sjezd, patřičné příkony elektřiny, vodní přivaděč a další požadavky na udržiteln</w:t>
            </w:r>
            <w:r w:rsidR="00497C75">
              <w:rPr>
                <w:sz w:val="22"/>
                <w:szCs w:val="22"/>
              </w:rPr>
              <w:t>é</w:t>
            </w:r>
            <w:r>
              <w:rPr>
                <w:sz w:val="22"/>
                <w:szCs w:val="22"/>
              </w:rPr>
              <w:t xml:space="preserve"> investic</w:t>
            </w:r>
            <w:r w:rsidR="00497C75">
              <w:rPr>
                <w:sz w:val="22"/>
                <w:szCs w:val="22"/>
              </w:rPr>
              <w:t>e</w:t>
            </w:r>
            <w:r>
              <w:rPr>
                <w:sz w:val="22"/>
                <w:szCs w:val="22"/>
              </w:rPr>
              <w:t>.“</w:t>
            </w:r>
          </w:p>
          <w:p w:rsidR="00B9676E" w:rsidRDefault="00B9676E" w:rsidP="00326115">
            <w:pPr>
              <w:jc w:val="both"/>
              <w:rPr>
                <w:bCs/>
                <w:sz w:val="22"/>
                <w:szCs w:val="22"/>
              </w:rPr>
            </w:pPr>
          </w:p>
          <w:p w:rsidR="00B9676E" w:rsidRPr="00213C54" w:rsidRDefault="00B9676E" w:rsidP="00B9676E">
            <w:pPr>
              <w:jc w:val="both"/>
              <w:rPr>
                <w:b/>
                <w:bCs/>
                <w:sz w:val="22"/>
                <w:szCs w:val="22"/>
              </w:rPr>
            </w:pPr>
            <w:r w:rsidRPr="00213C54">
              <w:rPr>
                <w:b/>
                <w:bCs/>
                <w:sz w:val="22"/>
                <w:szCs w:val="22"/>
              </w:rPr>
              <w:t xml:space="preserve">Vyjádření </w:t>
            </w:r>
            <w:r>
              <w:rPr>
                <w:b/>
                <w:bCs/>
                <w:sz w:val="22"/>
                <w:szCs w:val="22"/>
              </w:rPr>
              <w:t>PLK</w:t>
            </w:r>
            <w:r w:rsidRPr="00213C54">
              <w:rPr>
                <w:b/>
                <w:bCs/>
                <w:sz w:val="22"/>
                <w:szCs w:val="22"/>
              </w:rPr>
              <w:t xml:space="preserve"> k vypořádání:</w:t>
            </w:r>
          </w:p>
          <w:p w:rsidR="00B9676E" w:rsidRPr="00E172A8" w:rsidRDefault="00B9676E" w:rsidP="00326115">
            <w:pPr>
              <w:jc w:val="both"/>
              <w:rPr>
                <w:bCs/>
                <w:sz w:val="22"/>
                <w:szCs w:val="22"/>
              </w:rPr>
            </w:pPr>
            <w:r>
              <w:rPr>
                <w:bCs/>
                <w:sz w:val="22"/>
                <w:szCs w:val="22"/>
              </w:rPr>
              <w:t>Souhlas s vypořádáním.</w:t>
            </w:r>
          </w:p>
        </w:tc>
      </w:tr>
      <w:tr w:rsidR="00641D5F" w:rsidRPr="00E172A8" w:rsidTr="00E1562D">
        <w:trPr>
          <w:trHeight w:val="340"/>
        </w:trPr>
        <w:tc>
          <w:tcPr>
            <w:tcW w:w="2191" w:type="dxa"/>
            <w:tcBorders>
              <w:left w:val="single" w:sz="4" w:space="0" w:color="auto"/>
              <w:right w:val="single" w:sz="4" w:space="0" w:color="auto"/>
            </w:tcBorders>
            <w:shd w:val="clear" w:color="auto" w:fill="auto"/>
          </w:tcPr>
          <w:p w:rsidR="00641D5F" w:rsidRPr="00555320" w:rsidRDefault="00641D5F" w:rsidP="00326115">
            <w:pPr>
              <w:rPr>
                <w:b/>
                <w:sz w:val="22"/>
                <w:szCs w:val="22"/>
              </w:rPr>
            </w:pP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641D5F" w:rsidRDefault="00641D5F" w:rsidP="00571E9C">
            <w:pPr>
              <w:widowControl w:val="0"/>
              <w:autoSpaceDE w:val="0"/>
              <w:autoSpaceDN w:val="0"/>
              <w:adjustRightInd w:val="0"/>
              <w:jc w:val="both"/>
              <w:rPr>
                <w:b/>
                <w:sz w:val="22"/>
                <w:szCs w:val="22"/>
              </w:rPr>
            </w:pPr>
            <w:r w:rsidRPr="00E172A8">
              <w:rPr>
                <w:b/>
                <w:sz w:val="22"/>
                <w:szCs w:val="22"/>
              </w:rPr>
              <w:t xml:space="preserve">Doporučující připomínka č. </w:t>
            </w:r>
            <w:r>
              <w:rPr>
                <w:b/>
                <w:sz w:val="22"/>
                <w:szCs w:val="22"/>
              </w:rPr>
              <w:t>3</w:t>
            </w:r>
            <w:r w:rsidRPr="00E172A8">
              <w:rPr>
                <w:b/>
                <w:sz w:val="22"/>
                <w:szCs w:val="22"/>
              </w:rPr>
              <w:t>:</w:t>
            </w:r>
          </w:p>
          <w:p w:rsidR="00B1751C" w:rsidRDefault="00B1751C" w:rsidP="00571E9C">
            <w:pPr>
              <w:widowControl w:val="0"/>
              <w:autoSpaceDE w:val="0"/>
              <w:autoSpaceDN w:val="0"/>
              <w:adjustRightInd w:val="0"/>
              <w:jc w:val="both"/>
              <w:rPr>
                <w:b/>
                <w:sz w:val="22"/>
                <w:szCs w:val="22"/>
              </w:rPr>
            </w:pPr>
          </w:p>
          <w:p w:rsidR="00B1751C" w:rsidRPr="00B1751C" w:rsidRDefault="00B1751C" w:rsidP="00571E9C">
            <w:pPr>
              <w:widowControl w:val="0"/>
              <w:autoSpaceDE w:val="0"/>
              <w:autoSpaceDN w:val="0"/>
              <w:adjustRightInd w:val="0"/>
              <w:jc w:val="both"/>
              <w:rPr>
                <w:sz w:val="22"/>
                <w:szCs w:val="22"/>
              </w:rPr>
            </w:pPr>
            <w:r>
              <w:rPr>
                <w:sz w:val="22"/>
                <w:szCs w:val="22"/>
              </w:rPr>
              <w:t>D</w:t>
            </w:r>
            <w:r w:rsidRPr="00B1751C">
              <w:rPr>
                <w:sz w:val="22"/>
                <w:szCs w:val="22"/>
              </w:rPr>
              <w:t>oplnění předkládací zprávy část harmonogram</w:t>
            </w:r>
            <w:r>
              <w:rPr>
                <w:sz w:val="22"/>
                <w:szCs w:val="22"/>
              </w:rPr>
              <w:t>:</w:t>
            </w:r>
          </w:p>
          <w:p w:rsidR="00B1751C" w:rsidRPr="00B1751C" w:rsidRDefault="00B1751C" w:rsidP="00571E9C">
            <w:pPr>
              <w:widowControl w:val="0"/>
              <w:autoSpaceDE w:val="0"/>
              <w:autoSpaceDN w:val="0"/>
              <w:adjustRightInd w:val="0"/>
              <w:jc w:val="both"/>
              <w:rPr>
                <w:sz w:val="22"/>
                <w:szCs w:val="22"/>
              </w:rPr>
            </w:pPr>
          </w:p>
          <w:p w:rsidR="00B1751C" w:rsidRPr="00B1751C" w:rsidRDefault="00B1751C" w:rsidP="00571E9C">
            <w:pPr>
              <w:widowControl w:val="0"/>
              <w:autoSpaceDE w:val="0"/>
              <w:autoSpaceDN w:val="0"/>
              <w:adjustRightInd w:val="0"/>
              <w:jc w:val="both"/>
              <w:rPr>
                <w:sz w:val="22"/>
                <w:szCs w:val="22"/>
              </w:rPr>
            </w:pPr>
            <w:r w:rsidRPr="00B1751C">
              <w:rPr>
                <w:sz w:val="22"/>
                <w:szCs w:val="22"/>
              </w:rPr>
              <w:t xml:space="preserve">Navrhujeme upravit druhou větu prvního odstavce: </w:t>
            </w:r>
          </w:p>
          <w:p w:rsidR="00B1751C" w:rsidRPr="00B1751C" w:rsidRDefault="00B1751C" w:rsidP="00571E9C">
            <w:pPr>
              <w:widowControl w:val="0"/>
              <w:autoSpaceDE w:val="0"/>
              <w:autoSpaceDN w:val="0"/>
              <w:adjustRightInd w:val="0"/>
              <w:jc w:val="both"/>
              <w:rPr>
                <w:sz w:val="22"/>
                <w:szCs w:val="22"/>
              </w:rPr>
            </w:pPr>
          </w:p>
          <w:p w:rsidR="00B1751C" w:rsidRPr="00B1751C" w:rsidRDefault="00B1751C" w:rsidP="00571E9C">
            <w:pPr>
              <w:widowControl w:val="0"/>
              <w:autoSpaceDE w:val="0"/>
              <w:autoSpaceDN w:val="0"/>
              <w:adjustRightInd w:val="0"/>
              <w:jc w:val="both"/>
              <w:rPr>
                <w:sz w:val="22"/>
                <w:szCs w:val="22"/>
              </w:rPr>
            </w:pPr>
            <w:r w:rsidRPr="00B1751C">
              <w:rPr>
                <w:sz w:val="22"/>
                <w:szCs w:val="22"/>
              </w:rPr>
              <w:t xml:space="preserve">Původní znění: </w:t>
            </w:r>
          </w:p>
          <w:p w:rsidR="00B1751C" w:rsidRPr="00B1751C" w:rsidRDefault="00B1751C" w:rsidP="00571E9C">
            <w:pPr>
              <w:widowControl w:val="0"/>
              <w:autoSpaceDE w:val="0"/>
              <w:autoSpaceDN w:val="0"/>
              <w:adjustRightInd w:val="0"/>
              <w:jc w:val="both"/>
              <w:rPr>
                <w:sz w:val="22"/>
                <w:szCs w:val="22"/>
              </w:rPr>
            </w:pPr>
            <w:r w:rsidRPr="00B1751C">
              <w:rPr>
                <w:sz w:val="22"/>
                <w:szCs w:val="22"/>
              </w:rPr>
              <w:t>Rizika pro zpoždění časového plánu jsou zejména: nutnost pořízení změny Zásad územního rozvoje Plzeňského kraje; vyřešení právních sporů; ukončení provozu letiště; délka povolovacích procesů; složitost staveb technické a dopravní infrastruktury; lhůty pro výběr zhotovitelů podle příslušného zákona, rizika projektového řízení a menší zkušenosti kraje s obdobnými projekty.</w:t>
            </w:r>
          </w:p>
          <w:p w:rsidR="00B1751C" w:rsidRPr="00B1751C" w:rsidRDefault="00B1751C" w:rsidP="00571E9C">
            <w:pPr>
              <w:widowControl w:val="0"/>
              <w:autoSpaceDE w:val="0"/>
              <w:autoSpaceDN w:val="0"/>
              <w:adjustRightInd w:val="0"/>
              <w:jc w:val="both"/>
              <w:rPr>
                <w:sz w:val="22"/>
                <w:szCs w:val="22"/>
              </w:rPr>
            </w:pPr>
          </w:p>
          <w:p w:rsidR="00B1751C" w:rsidRPr="00B1751C" w:rsidRDefault="00B1751C" w:rsidP="00571E9C">
            <w:pPr>
              <w:widowControl w:val="0"/>
              <w:autoSpaceDE w:val="0"/>
              <w:autoSpaceDN w:val="0"/>
              <w:adjustRightInd w:val="0"/>
              <w:jc w:val="both"/>
              <w:rPr>
                <w:sz w:val="22"/>
                <w:szCs w:val="22"/>
              </w:rPr>
            </w:pPr>
            <w:r w:rsidRPr="00B1751C">
              <w:rPr>
                <w:sz w:val="22"/>
                <w:szCs w:val="22"/>
              </w:rPr>
              <w:t>Nové znění:</w:t>
            </w:r>
          </w:p>
          <w:p w:rsidR="00B1751C" w:rsidRPr="00B1751C" w:rsidRDefault="00B1751C" w:rsidP="00571E9C">
            <w:pPr>
              <w:widowControl w:val="0"/>
              <w:autoSpaceDE w:val="0"/>
              <w:autoSpaceDN w:val="0"/>
              <w:adjustRightInd w:val="0"/>
              <w:jc w:val="both"/>
              <w:rPr>
                <w:sz w:val="22"/>
                <w:szCs w:val="22"/>
              </w:rPr>
            </w:pPr>
            <w:r w:rsidRPr="00B1751C">
              <w:rPr>
                <w:sz w:val="22"/>
                <w:szCs w:val="22"/>
              </w:rPr>
              <w:t>Rizika pro zpoždění časového plánu jsou zejména: nutnost pořízení změny Zásad územního rozvoje Plzeňského kraje; vyřešení právních sporů soudní a/nebo mimosoudní cestou; ukončení provozu letiště; délka povolovacích procesů; složitost staveb technické a dopravní infrastruktury; lhůty pro výběr zhotovitelů podle příslušného zákona, rizika projektového řízení a menší zkušenosti kraje s obdobnými projekty.</w:t>
            </w:r>
          </w:p>
          <w:p w:rsidR="00B1751C" w:rsidRPr="00B1751C" w:rsidRDefault="00B1751C" w:rsidP="00571E9C">
            <w:pPr>
              <w:widowControl w:val="0"/>
              <w:autoSpaceDE w:val="0"/>
              <w:autoSpaceDN w:val="0"/>
              <w:adjustRightInd w:val="0"/>
              <w:jc w:val="both"/>
              <w:rPr>
                <w:sz w:val="22"/>
                <w:szCs w:val="22"/>
              </w:rPr>
            </w:pPr>
          </w:p>
          <w:p w:rsidR="00641D5F" w:rsidRPr="00E172A8" w:rsidRDefault="00B1751C" w:rsidP="00571E9C">
            <w:pPr>
              <w:widowControl w:val="0"/>
              <w:autoSpaceDE w:val="0"/>
              <w:autoSpaceDN w:val="0"/>
              <w:adjustRightInd w:val="0"/>
              <w:jc w:val="both"/>
              <w:rPr>
                <w:b/>
                <w:sz w:val="22"/>
                <w:szCs w:val="22"/>
              </w:rPr>
            </w:pPr>
            <w:r w:rsidRPr="00B1751C">
              <w:rPr>
                <w:sz w:val="22"/>
                <w:szCs w:val="22"/>
              </w:rPr>
              <w:t>Poznámka: vzhledem k délce soudu přesahující 9 let a důležitosti vybudování strategického podnikatelského parku v reálném (krátkém) čase se jeví mimosoudní cesta jako obhajitelná.</w:t>
            </w:r>
          </w:p>
        </w:tc>
        <w:tc>
          <w:tcPr>
            <w:tcW w:w="6393" w:type="dxa"/>
            <w:tcBorders>
              <w:left w:val="single" w:sz="4" w:space="0" w:color="auto"/>
              <w:right w:val="single" w:sz="4" w:space="0" w:color="auto"/>
            </w:tcBorders>
            <w:shd w:val="clear" w:color="auto" w:fill="auto"/>
          </w:tcPr>
          <w:p w:rsidR="00641D5F" w:rsidRDefault="006C6B59" w:rsidP="00326115">
            <w:pPr>
              <w:jc w:val="both"/>
              <w:rPr>
                <w:bCs/>
                <w:sz w:val="22"/>
                <w:szCs w:val="22"/>
              </w:rPr>
            </w:pPr>
            <w:r>
              <w:rPr>
                <w:bCs/>
                <w:sz w:val="22"/>
                <w:szCs w:val="22"/>
              </w:rPr>
              <w:t xml:space="preserve">Ze strany státu je obtížné akceptovat možnost </w:t>
            </w:r>
            <w:r w:rsidR="00C512C0">
              <w:rPr>
                <w:bCs/>
                <w:sz w:val="22"/>
                <w:szCs w:val="22"/>
              </w:rPr>
              <w:t>mimosoudní</w:t>
            </w:r>
            <w:r>
              <w:rPr>
                <w:bCs/>
                <w:sz w:val="22"/>
                <w:szCs w:val="22"/>
              </w:rPr>
              <w:t>ho řešení sporu, kdy na jedné straně stát žaluje účastníka sporu pro porušení smlouvy a na druhé straně by se s ním měl stát vypořádávat mimosoudně a tím spor relativizovat. Podle informací MO je stát v právu a svého práva se domůže. Případné mimosoudní řešení by muselo být vedeno bez účasti prostředků státu.</w:t>
            </w:r>
          </w:p>
          <w:p w:rsidR="00B9676E" w:rsidRDefault="00B9676E" w:rsidP="00326115">
            <w:pPr>
              <w:jc w:val="both"/>
              <w:rPr>
                <w:bCs/>
                <w:sz w:val="22"/>
                <w:szCs w:val="22"/>
              </w:rPr>
            </w:pPr>
          </w:p>
          <w:p w:rsidR="00B9676E" w:rsidRPr="00213C54" w:rsidRDefault="00B9676E" w:rsidP="00B9676E">
            <w:pPr>
              <w:jc w:val="both"/>
              <w:rPr>
                <w:b/>
                <w:bCs/>
                <w:sz w:val="22"/>
                <w:szCs w:val="22"/>
              </w:rPr>
            </w:pPr>
            <w:r w:rsidRPr="00213C54">
              <w:rPr>
                <w:b/>
                <w:bCs/>
                <w:sz w:val="22"/>
                <w:szCs w:val="22"/>
              </w:rPr>
              <w:t xml:space="preserve">Vyjádření </w:t>
            </w:r>
            <w:r>
              <w:rPr>
                <w:b/>
                <w:bCs/>
                <w:sz w:val="22"/>
                <w:szCs w:val="22"/>
              </w:rPr>
              <w:t>PLK</w:t>
            </w:r>
            <w:r w:rsidRPr="00213C54">
              <w:rPr>
                <w:b/>
                <w:bCs/>
                <w:sz w:val="22"/>
                <w:szCs w:val="22"/>
              </w:rPr>
              <w:t xml:space="preserve"> k vypořádání:</w:t>
            </w:r>
          </w:p>
          <w:p w:rsidR="00B9676E" w:rsidRPr="00E172A8" w:rsidRDefault="00B9676E" w:rsidP="00571E9C">
            <w:pPr>
              <w:jc w:val="both"/>
              <w:rPr>
                <w:bCs/>
                <w:sz w:val="22"/>
                <w:szCs w:val="22"/>
              </w:rPr>
            </w:pPr>
            <w:r>
              <w:rPr>
                <w:bCs/>
                <w:sz w:val="22"/>
                <w:szCs w:val="22"/>
              </w:rPr>
              <w:t>Souhlas s vypořádáním.</w:t>
            </w:r>
          </w:p>
        </w:tc>
      </w:tr>
      <w:tr w:rsidR="00326115" w:rsidRPr="00E172A8" w:rsidTr="00E1562D">
        <w:trPr>
          <w:trHeight w:val="340"/>
        </w:trPr>
        <w:tc>
          <w:tcPr>
            <w:tcW w:w="2191" w:type="dxa"/>
            <w:tcBorders>
              <w:left w:val="single" w:sz="4" w:space="0" w:color="auto"/>
              <w:right w:val="single" w:sz="4" w:space="0" w:color="auto"/>
            </w:tcBorders>
            <w:shd w:val="clear" w:color="auto" w:fill="auto"/>
          </w:tcPr>
          <w:p w:rsidR="00326115" w:rsidRPr="00555320" w:rsidRDefault="00213689" w:rsidP="00326115">
            <w:pPr>
              <w:rPr>
                <w:b/>
                <w:sz w:val="22"/>
                <w:szCs w:val="22"/>
              </w:rPr>
            </w:pPr>
            <w:r w:rsidRPr="00555320">
              <w:rPr>
                <w:b/>
                <w:sz w:val="22"/>
                <w:szCs w:val="22"/>
              </w:rPr>
              <w:t>Úřad vlády ČR</w:t>
            </w:r>
            <w:r w:rsidR="00326115" w:rsidRPr="00555320">
              <w:rPr>
                <w:b/>
                <w:sz w:val="22"/>
                <w:szCs w:val="22"/>
              </w:rPr>
              <w:t xml:space="preserve"> – Odbor kompatibility </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641D5F" w:rsidRPr="00641D5F" w:rsidRDefault="00641D5F" w:rsidP="00571E9C">
            <w:pPr>
              <w:spacing w:after="240"/>
              <w:jc w:val="both"/>
              <w:rPr>
                <w:bCs/>
                <w:sz w:val="22"/>
                <w:szCs w:val="22"/>
              </w:rPr>
            </w:pPr>
            <w:r w:rsidRPr="00641D5F">
              <w:rPr>
                <w:bCs/>
                <w:sz w:val="22"/>
                <w:szCs w:val="22"/>
              </w:rPr>
              <w:t>Předmět návrhu se týká tématu veřejné podpory. V pramenech práva EU je relevantní úpravu třeba hledat na úrovni primárního práva v čl. 107 a 108 Smlouvy o fungování Evropské unie („SFEU“), ze sekundárních předpisů je pak důležité především nařízením Komise (EU) č. 651/2014, kterým se v souladu s články 107 a 108 Smlouvy prohlašují určité kategorie podpory za slučitelné s vnitřním trhem (obecné nařízení o blokových výjimkách), v platném znění (dále jen „Nařízení“), konkrétně v kategorii investiční podpory na místní infrastrukturu, případně v kategorii sanace kontaminovaných území.</w:t>
            </w:r>
          </w:p>
          <w:p w:rsidR="00BB7D1B" w:rsidRPr="00BB7D1B" w:rsidRDefault="00555320" w:rsidP="00571E9C">
            <w:pPr>
              <w:spacing w:before="200" w:after="240"/>
              <w:jc w:val="both"/>
              <w:rPr>
                <w:b/>
                <w:sz w:val="22"/>
                <w:szCs w:val="22"/>
              </w:rPr>
            </w:pPr>
            <w:r w:rsidRPr="00BB7D1B">
              <w:rPr>
                <w:b/>
                <w:sz w:val="22"/>
                <w:szCs w:val="22"/>
              </w:rPr>
              <w:t>Doporučující připomínka:</w:t>
            </w:r>
          </w:p>
          <w:p w:rsidR="00326115" w:rsidRPr="00BB7D1B" w:rsidRDefault="00326115" w:rsidP="00571E9C">
            <w:pPr>
              <w:spacing w:after="240"/>
              <w:jc w:val="both"/>
              <w:rPr>
                <w:bCs/>
                <w:sz w:val="22"/>
                <w:szCs w:val="22"/>
              </w:rPr>
            </w:pPr>
            <w:r w:rsidRPr="00BB7D1B">
              <w:rPr>
                <w:bCs/>
                <w:sz w:val="22"/>
                <w:szCs w:val="22"/>
              </w:rPr>
              <w:t>Předkladatel se v materiálu nijak nevypořádává se vztahem návrhu k právu EU. Přitom ale jako hlavní zdroj financování chce využít financování prostřednictvím dotace z Programu Smart Parks for the Future (dále jen „Program“), což je dotační program, jehož podmínky jsou úzce navázané právě na Nařízení, konkrétně na jeho článek 56 – investiční podpora na místní infrastrukturu. Tedy dotace na projekt z tohoto Programu může být poskytnuta jen za dodržení podmínek uvedených v tomto článku, jako například, že infrastruktura musí být k dispozici uživatelům, kteří o to projeví zájem, za otevřených, transparentních a nediskriminačních podmínek, přičemž cena účtovaná za užívání infrastruktury musí odpovídat ceně tržní; či že jakékoli koncese nebo jiná pověření třetí strany k provozu infrastruktury se musí řídit otevřenými, transparentními a nediskriminačními podmínkami s náležitým zohledněním platných pravidel pro zadávání veřejných zakázek. Způsobilými náklady jsou náklady na investice do hmotného a nehmotného majetku</w:t>
            </w:r>
            <w:r w:rsidRPr="00641D5F">
              <w:rPr>
                <w:bCs/>
                <w:sz w:val="22"/>
                <w:szCs w:val="22"/>
              </w:rPr>
              <w:t xml:space="preserve"> a výše podpory nesmí přesáhnout výši rozdílu mezi způsobilými náklady a provozním ziskem z investice.</w:t>
            </w:r>
          </w:p>
          <w:p w:rsidR="00326115" w:rsidRPr="00BB7D1B" w:rsidRDefault="00326115" w:rsidP="00571E9C">
            <w:pPr>
              <w:spacing w:after="240"/>
              <w:jc w:val="both"/>
              <w:rPr>
                <w:bCs/>
                <w:sz w:val="22"/>
                <w:szCs w:val="22"/>
              </w:rPr>
            </w:pPr>
            <w:r w:rsidRPr="00BB7D1B">
              <w:rPr>
                <w:bCs/>
                <w:sz w:val="22"/>
                <w:szCs w:val="22"/>
              </w:rPr>
              <w:t xml:space="preserve">Předkladatel chce změnit pravidla Programu, aniž je z materiálu zjevné, zda i tato nová pravidla vyhoví podmínkám obsaženým v Nařízení. </w:t>
            </w:r>
          </w:p>
          <w:p w:rsidR="00326115" w:rsidRPr="00BB7D1B" w:rsidRDefault="00326115" w:rsidP="00571E9C">
            <w:pPr>
              <w:spacing w:after="240"/>
              <w:jc w:val="both"/>
              <w:rPr>
                <w:bCs/>
                <w:sz w:val="22"/>
                <w:szCs w:val="22"/>
              </w:rPr>
            </w:pPr>
            <w:r w:rsidRPr="00BB7D1B">
              <w:rPr>
                <w:bCs/>
                <w:sz w:val="22"/>
                <w:szCs w:val="22"/>
              </w:rPr>
              <w:t>Zároveň Nařízení obsahuje prahové hodnoty pro oznamovací povinnost, jinými slovy, od jaké výše podpory nelze Nařízení a tedy ani výjimku z notifikační povinnosti dle čl. 108 odst. 3 SFEU na projekt vůbec použít. V případě investiční podpory na místní infrastrukturu je to 10 milionů EUR nebo část celkových nákladů přesahující 20 milionů EUR na tutéž infrastrukturu (viz čl. 4. 1. písm. cc) Nařízení).</w:t>
            </w:r>
          </w:p>
          <w:p w:rsidR="00326115" w:rsidRPr="00BB7D1B" w:rsidRDefault="00326115" w:rsidP="00571E9C">
            <w:pPr>
              <w:spacing w:after="240"/>
              <w:jc w:val="both"/>
              <w:rPr>
                <w:bCs/>
                <w:sz w:val="22"/>
                <w:szCs w:val="22"/>
              </w:rPr>
            </w:pPr>
            <w:r w:rsidRPr="00BB7D1B">
              <w:rPr>
                <w:bCs/>
                <w:sz w:val="22"/>
                <w:szCs w:val="22"/>
              </w:rPr>
              <w:t>V případě podpory na sanaci kontaminovaných území, neboť předkladatel jako součást zamýšlené revitalizace okrajově zmiňuje i odstranění starých ekologických zátěží z dřívějšího provozu vojenského letiště, jsou pravidla pro případné užití blokové výjimky upravena v čl. 45 Nařízení v kombinaci s jeho kapitolou I. Prahová hodnota oznamovací povinnosti je zde 20 mil. EUR (čl. 4. 1. písm. u) Nařízení).</w:t>
            </w:r>
          </w:p>
          <w:p w:rsidR="00326115" w:rsidRPr="00BB7D1B" w:rsidRDefault="00326115" w:rsidP="00571E9C">
            <w:pPr>
              <w:spacing w:after="240"/>
              <w:jc w:val="both"/>
              <w:rPr>
                <w:bCs/>
                <w:sz w:val="22"/>
                <w:szCs w:val="22"/>
              </w:rPr>
            </w:pPr>
            <w:r w:rsidRPr="00BB7D1B">
              <w:rPr>
                <w:bCs/>
                <w:sz w:val="22"/>
                <w:szCs w:val="22"/>
              </w:rPr>
              <w:t>Vzhledem k předkladatelem odhadovaným nákladům na celkovou realizaci ve výši 9 mld. korun však máme za to, že blokovou výjimku nebude možno použít vůbec, resp. ne v té výši, jaká by pokryla zamýšlenou část nákladů na projekt.</w:t>
            </w:r>
          </w:p>
          <w:p w:rsidR="00326115" w:rsidRPr="00BB7D1B" w:rsidRDefault="00326115" w:rsidP="00571E9C">
            <w:pPr>
              <w:spacing w:after="240"/>
              <w:jc w:val="both"/>
              <w:rPr>
                <w:bCs/>
                <w:sz w:val="22"/>
                <w:szCs w:val="22"/>
              </w:rPr>
            </w:pPr>
            <w:r w:rsidRPr="00BB7D1B">
              <w:rPr>
                <w:bCs/>
                <w:sz w:val="22"/>
                <w:szCs w:val="22"/>
              </w:rPr>
              <w:t>Požadujeme doplnit materiál o vysvětlení vztahu k veřejné podpoře a prokázání, že i případná změněná pravidla Programu budou nadále vyhovovat podmínkám Nařízení.</w:t>
            </w:r>
          </w:p>
          <w:p w:rsidR="00326115" w:rsidRPr="00BB7D1B" w:rsidRDefault="00326115" w:rsidP="00571E9C">
            <w:pPr>
              <w:spacing w:after="240"/>
              <w:jc w:val="both"/>
              <w:rPr>
                <w:bCs/>
                <w:sz w:val="22"/>
                <w:szCs w:val="22"/>
              </w:rPr>
            </w:pPr>
            <w:r w:rsidRPr="00BB7D1B">
              <w:rPr>
                <w:bCs/>
                <w:sz w:val="22"/>
                <w:szCs w:val="22"/>
              </w:rPr>
              <w:t>V případě, že by výše podpory překročila práh 10, resp. 20 mil EUR, nelze blokovou výjimku (potažmo Program) využít, a bylo by nutno provést klasickou notifikaci Evropské komisi tohoto projektu jako jednotlivého režimu podpory dle č. 108 odst. 3 SFEU.</w:t>
            </w:r>
          </w:p>
          <w:p w:rsidR="00326115" w:rsidRPr="00641D5F" w:rsidRDefault="00326115" w:rsidP="00571E9C">
            <w:pPr>
              <w:spacing w:after="240"/>
              <w:jc w:val="both"/>
              <w:rPr>
                <w:bCs/>
                <w:sz w:val="22"/>
                <w:szCs w:val="22"/>
              </w:rPr>
            </w:pPr>
            <w:r w:rsidRPr="00641D5F">
              <w:rPr>
                <w:bCs/>
                <w:sz w:val="22"/>
                <w:szCs w:val="22"/>
              </w:rPr>
              <w:t>Z předloženého materiálu není zřejmé, zda financování projektu obstojí v rámci pravidel veřejné podpory dle práva EU. Nutno v tomto smyslu materiál dopracovat.</w:t>
            </w:r>
          </w:p>
        </w:tc>
        <w:tc>
          <w:tcPr>
            <w:tcW w:w="6393" w:type="dxa"/>
            <w:tcBorders>
              <w:left w:val="single" w:sz="4" w:space="0" w:color="auto"/>
              <w:right w:val="single" w:sz="4" w:space="0" w:color="auto"/>
            </w:tcBorders>
            <w:shd w:val="clear" w:color="auto" w:fill="auto"/>
          </w:tcPr>
          <w:p w:rsidR="00326115" w:rsidRDefault="006C6B59" w:rsidP="00326115">
            <w:pPr>
              <w:jc w:val="both"/>
              <w:rPr>
                <w:bCs/>
                <w:sz w:val="22"/>
                <w:szCs w:val="22"/>
              </w:rPr>
            </w:pPr>
            <w:r>
              <w:rPr>
                <w:bCs/>
                <w:sz w:val="22"/>
                <w:szCs w:val="22"/>
              </w:rPr>
              <w:t>Nepovažovali jsme za nutné v této fázi projektu tyto inform</w:t>
            </w:r>
            <w:r w:rsidR="00730071">
              <w:rPr>
                <w:bCs/>
                <w:sz w:val="22"/>
                <w:szCs w:val="22"/>
              </w:rPr>
              <w:t>a</w:t>
            </w:r>
            <w:r>
              <w:rPr>
                <w:bCs/>
                <w:sz w:val="22"/>
                <w:szCs w:val="22"/>
              </w:rPr>
              <w:t>c</w:t>
            </w:r>
            <w:r w:rsidR="00730071">
              <w:rPr>
                <w:bCs/>
                <w:sz w:val="22"/>
                <w:szCs w:val="22"/>
              </w:rPr>
              <w:t>e</w:t>
            </w:r>
            <w:r>
              <w:rPr>
                <w:bCs/>
                <w:sz w:val="22"/>
                <w:szCs w:val="22"/>
              </w:rPr>
              <w:t xml:space="preserve"> uvádět.</w:t>
            </w:r>
            <w:r w:rsidR="00730071">
              <w:rPr>
                <w:bCs/>
                <w:sz w:val="22"/>
                <w:szCs w:val="22"/>
              </w:rPr>
              <w:t xml:space="preserve"> Souhlasíme.</w:t>
            </w:r>
            <w:r>
              <w:rPr>
                <w:bCs/>
                <w:sz w:val="22"/>
                <w:szCs w:val="22"/>
              </w:rPr>
              <w:t xml:space="preserve"> Předkládací zpráva doplněna. </w:t>
            </w:r>
            <w:r w:rsidR="00730071">
              <w:rPr>
                <w:bCs/>
                <w:sz w:val="22"/>
                <w:szCs w:val="22"/>
              </w:rPr>
              <w:t>„</w:t>
            </w:r>
            <w:r>
              <w:rPr>
                <w:bCs/>
                <w:sz w:val="22"/>
                <w:szCs w:val="22"/>
              </w:rPr>
              <w:t>Podpora bude poskytována</w:t>
            </w:r>
            <w:r w:rsidR="00730071">
              <w:rPr>
                <w:bCs/>
                <w:sz w:val="22"/>
                <w:szCs w:val="22"/>
              </w:rPr>
              <w:t xml:space="preserve"> v souladu </w:t>
            </w:r>
            <w:r w:rsidR="00730071" w:rsidRPr="00641D5F">
              <w:rPr>
                <w:bCs/>
                <w:sz w:val="22"/>
                <w:szCs w:val="22"/>
              </w:rPr>
              <w:t>nařízením Komise (EU) č. 651/2014, kterým se v souladu s články 107 a 108 Smlouvy prohlašují určité kategorie podpory za slučitelné s vnitřním trhem (obecné nařízení o blokových výjimkách)</w:t>
            </w:r>
            <w:r w:rsidR="00730071">
              <w:rPr>
                <w:bCs/>
                <w:sz w:val="22"/>
                <w:szCs w:val="22"/>
              </w:rPr>
              <w:t xml:space="preserve">, článkem 56 a v souladu s </w:t>
            </w:r>
            <w:r w:rsidR="00730071" w:rsidRPr="00BB7D1B">
              <w:rPr>
                <w:bCs/>
                <w:sz w:val="22"/>
                <w:szCs w:val="22"/>
              </w:rPr>
              <w:t>prahov</w:t>
            </w:r>
            <w:r w:rsidR="00730071">
              <w:rPr>
                <w:bCs/>
                <w:sz w:val="22"/>
                <w:szCs w:val="22"/>
              </w:rPr>
              <w:t>ou</w:t>
            </w:r>
            <w:r w:rsidR="00730071" w:rsidRPr="00BB7D1B">
              <w:rPr>
                <w:bCs/>
                <w:sz w:val="22"/>
                <w:szCs w:val="22"/>
              </w:rPr>
              <w:t xml:space="preserve"> hodnot</w:t>
            </w:r>
            <w:r w:rsidR="00730071">
              <w:rPr>
                <w:bCs/>
                <w:sz w:val="22"/>
                <w:szCs w:val="22"/>
              </w:rPr>
              <w:t>ou</w:t>
            </w:r>
            <w:r w:rsidR="00730071" w:rsidRPr="00BB7D1B">
              <w:rPr>
                <w:bCs/>
                <w:sz w:val="22"/>
                <w:szCs w:val="22"/>
              </w:rPr>
              <w:t xml:space="preserve"> pro oznamovací povinnost</w:t>
            </w:r>
            <w:r w:rsidR="00730071">
              <w:rPr>
                <w:bCs/>
                <w:sz w:val="22"/>
                <w:szCs w:val="22"/>
              </w:rPr>
              <w:t xml:space="preserve"> </w:t>
            </w:r>
            <w:r w:rsidR="00730071" w:rsidRPr="00BB7D1B">
              <w:rPr>
                <w:bCs/>
                <w:sz w:val="22"/>
                <w:szCs w:val="22"/>
              </w:rPr>
              <w:t>podpory na místní infrastrukturu</w:t>
            </w:r>
            <w:r w:rsidR="00730071">
              <w:rPr>
                <w:bCs/>
                <w:sz w:val="22"/>
                <w:szCs w:val="22"/>
              </w:rPr>
              <w:t xml:space="preserve"> tohoto n</w:t>
            </w:r>
            <w:r w:rsidR="00730071" w:rsidRPr="00BB7D1B">
              <w:rPr>
                <w:bCs/>
                <w:sz w:val="22"/>
                <w:szCs w:val="22"/>
              </w:rPr>
              <w:t>ařízení</w:t>
            </w:r>
            <w:r w:rsidR="00730071">
              <w:rPr>
                <w:bCs/>
                <w:sz w:val="22"/>
                <w:szCs w:val="22"/>
              </w:rPr>
              <w:t>“</w:t>
            </w:r>
          </w:p>
          <w:p w:rsidR="00213C54" w:rsidRDefault="00213C54" w:rsidP="00326115">
            <w:pPr>
              <w:jc w:val="both"/>
              <w:rPr>
                <w:bCs/>
                <w:sz w:val="22"/>
                <w:szCs w:val="22"/>
              </w:rPr>
            </w:pPr>
          </w:p>
          <w:p w:rsidR="00213C54" w:rsidRDefault="00213C54" w:rsidP="00326115">
            <w:pPr>
              <w:jc w:val="both"/>
              <w:rPr>
                <w:bCs/>
                <w:sz w:val="22"/>
                <w:szCs w:val="22"/>
              </w:rPr>
            </w:pPr>
          </w:p>
          <w:p w:rsidR="00213C54" w:rsidRDefault="00213C54" w:rsidP="00326115">
            <w:pPr>
              <w:jc w:val="both"/>
              <w:rPr>
                <w:bCs/>
                <w:sz w:val="22"/>
                <w:szCs w:val="22"/>
              </w:rPr>
            </w:pPr>
          </w:p>
          <w:p w:rsidR="00213C54" w:rsidRPr="00213C54" w:rsidRDefault="00213C54" w:rsidP="00326115">
            <w:pPr>
              <w:jc w:val="both"/>
              <w:rPr>
                <w:b/>
                <w:bCs/>
                <w:sz w:val="22"/>
                <w:szCs w:val="22"/>
              </w:rPr>
            </w:pPr>
            <w:r w:rsidRPr="00213C54">
              <w:rPr>
                <w:b/>
                <w:bCs/>
                <w:sz w:val="22"/>
                <w:szCs w:val="22"/>
              </w:rPr>
              <w:t>Vyjádření ÚV – KOM k vypořádání:</w:t>
            </w:r>
          </w:p>
          <w:p w:rsidR="00213C54" w:rsidRPr="00E172A8" w:rsidRDefault="00213C54" w:rsidP="00326115">
            <w:pPr>
              <w:jc w:val="both"/>
              <w:rPr>
                <w:bCs/>
                <w:sz w:val="22"/>
                <w:szCs w:val="22"/>
              </w:rPr>
            </w:pPr>
            <w:r w:rsidRPr="00213C54">
              <w:rPr>
                <w:bCs/>
                <w:sz w:val="22"/>
                <w:szCs w:val="22"/>
              </w:rPr>
              <w:t>Zapracování vztahu k právu EU a GBER do předkládací zprávy návrhu v této formě nyní akceptujeme, nicméně v další fázi projektu bude potřeba doplnit podrobněji zdroje jeho financování, neboť vzhledem ke svým prahovým hodnotám nebude jen bloková výjimka dle čl. 56 stačit na ufinancování celého projektu.</w:t>
            </w:r>
          </w:p>
        </w:tc>
      </w:tr>
      <w:tr w:rsidR="00213689" w:rsidRPr="00E172A8" w:rsidTr="00BB7D1B">
        <w:trPr>
          <w:trHeight w:val="340"/>
        </w:trPr>
        <w:tc>
          <w:tcPr>
            <w:tcW w:w="2191" w:type="dxa"/>
            <w:tcBorders>
              <w:left w:val="single" w:sz="4" w:space="0" w:color="auto"/>
              <w:right w:val="single" w:sz="4" w:space="0" w:color="auto"/>
            </w:tcBorders>
            <w:shd w:val="clear" w:color="auto" w:fill="auto"/>
          </w:tcPr>
          <w:p w:rsidR="00213689" w:rsidRPr="00555320" w:rsidRDefault="00213689" w:rsidP="00213689">
            <w:pPr>
              <w:rPr>
                <w:b/>
                <w:sz w:val="22"/>
                <w:szCs w:val="22"/>
              </w:rPr>
            </w:pPr>
            <w:r w:rsidRPr="00555320">
              <w:rPr>
                <w:b/>
                <w:sz w:val="22"/>
                <w:szCs w:val="22"/>
              </w:rPr>
              <w:t xml:space="preserve">Úřad vlády ČR – </w:t>
            </w:r>
            <w:r>
              <w:rPr>
                <w:b/>
                <w:sz w:val="22"/>
                <w:szCs w:val="22"/>
              </w:rPr>
              <w:t>Vedoucí úřadu vlády</w:t>
            </w: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213689" w:rsidRDefault="00213689" w:rsidP="00571E9C">
            <w:pPr>
              <w:widowControl w:val="0"/>
              <w:autoSpaceDE w:val="0"/>
              <w:autoSpaceDN w:val="0"/>
              <w:adjustRightInd w:val="0"/>
              <w:jc w:val="both"/>
              <w:rPr>
                <w:b/>
                <w:sz w:val="22"/>
                <w:szCs w:val="22"/>
              </w:rPr>
            </w:pPr>
            <w:r w:rsidRPr="00E172A8">
              <w:rPr>
                <w:b/>
                <w:sz w:val="22"/>
                <w:szCs w:val="22"/>
              </w:rPr>
              <w:t>Zásadní připomínka:</w:t>
            </w:r>
          </w:p>
          <w:p w:rsidR="00213689" w:rsidRDefault="00213689" w:rsidP="00571E9C">
            <w:pPr>
              <w:widowControl w:val="0"/>
              <w:autoSpaceDE w:val="0"/>
              <w:autoSpaceDN w:val="0"/>
              <w:adjustRightInd w:val="0"/>
              <w:jc w:val="both"/>
              <w:rPr>
                <w:sz w:val="22"/>
                <w:szCs w:val="22"/>
              </w:rPr>
            </w:pPr>
          </w:p>
          <w:p w:rsidR="00213689" w:rsidRPr="00213689" w:rsidRDefault="00213689" w:rsidP="00571E9C">
            <w:pPr>
              <w:widowControl w:val="0"/>
              <w:autoSpaceDE w:val="0"/>
              <w:autoSpaceDN w:val="0"/>
              <w:adjustRightInd w:val="0"/>
              <w:jc w:val="both"/>
              <w:rPr>
                <w:sz w:val="22"/>
                <w:szCs w:val="22"/>
              </w:rPr>
            </w:pPr>
            <w:r w:rsidRPr="00213689">
              <w:rPr>
                <w:sz w:val="22"/>
                <w:szCs w:val="22"/>
              </w:rPr>
              <w:t>K čl. III bodu 3 písm. a) Návrhu usnesení vlády České republiky</w:t>
            </w:r>
            <w:r>
              <w:rPr>
                <w:sz w:val="22"/>
                <w:szCs w:val="22"/>
              </w:rPr>
              <w:t>:</w:t>
            </w:r>
            <w:r w:rsidRPr="00213689">
              <w:rPr>
                <w:sz w:val="22"/>
                <w:szCs w:val="22"/>
              </w:rPr>
              <w:t xml:space="preserve"> </w:t>
            </w:r>
          </w:p>
          <w:p w:rsidR="00213689" w:rsidRPr="00213689" w:rsidRDefault="00213689" w:rsidP="00571E9C">
            <w:pPr>
              <w:widowControl w:val="0"/>
              <w:autoSpaceDE w:val="0"/>
              <w:autoSpaceDN w:val="0"/>
              <w:adjustRightInd w:val="0"/>
              <w:jc w:val="both"/>
              <w:rPr>
                <w:sz w:val="22"/>
                <w:szCs w:val="22"/>
              </w:rPr>
            </w:pPr>
          </w:p>
          <w:p w:rsidR="00213689" w:rsidRPr="00213689" w:rsidRDefault="00213689" w:rsidP="00571E9C">
            <w:pPr>
              <w:widowControl w:val="0"/>
              <w:autoSpaceDE w:val="0"/>
              <w:autoSpaceDN w:val="0"/>
              <w:adjustRightInd w:val="0"/>
              <w:jc w:val="both"/>
              <w:rPr>
                <w:sz w:val="22"/>
                <w:szCs w:val="22"/>
              </w:rPr>
            </w:pPr>
            <w:r w:rsidRPr="00213689">
              <w:rPr>
                <w:sz w:val="22"/>
                <w:szCs w:val="22"/>
              </w:rPr>
              <w:t xml:space="preserve">Máme za to, že navržený čl. III bodu 3 písm. a) by měl být doplněn o lhůtu pro provedení povinnosti prověření možnosti prohlášení majetku Ministerstva obrany za nepotřebný uloženého ministryni obrany ze strany vlády. Pro splnění povinnosti navrhujeme nejzazší termín do 31. 8. 2022. </w:t>
            </w:r>
          </w:p>
          <w:p w:rsidR="00213689" w:rsidRPr="00213689" w:rsidRDefault="00213689" w:rsidP="00571E9C">
            <w:pPr>
              <w:widowControl w:val="0"/>
              <w:autoSpaceDE w:val="0"/>
              <w:autoSpaceDN w:val="0"/>
              <w:adjustRightInd w:val="0"/>
              <w:jc w:val="both"/>
              <w:rPr>
                <w:sz w:val="22"/>
                <w:szCs w:val="22"/>
              </w:rPr>
            </w:pPr>
          </w:p>
          <w:p w:rsidR="00213689" w:rsidRPr="00213689" w:rsidRDefault="00213689" w:rsidP="00571E9C">
            <w:pPr>
              <w:widowControl w:val="0"/>
              <w:autoSpaceDE w:val="0"/>
              <w:autoSpaceDN w:val="0"/>
              <w:adjustRightInd w:val="0"/>
              <w:jc w:val="both"/>
              <w:rPr>
                <w:sz w:val="22"/>
                <w:szCs w:val="22"/>
              </w:rPr>
            </w:pPr>
            <w:r w:rsidRPr="00213689">
              <w:rPr>
                <w:sz w:val="22"/>
                <w:szCs w:val="22"/>
              </w:rPr>
              <w:t xml:space="preserve">Navrhujeme tak nové znění čl. III bodu 3 písm. a), a to: </w:t>
            </w:r>
          </w:p>
          <w:p w:rsidR="00213689" w:rsidRPr="00213689" w:rsidRDefault="00213689" w:rsidP="00571E9C">
            <w:pPr>
              <w:widowControl w:val="0"/>
              <w:autoSpaceDE w:val="0"/>
              <w:autoSpaceDN w:val="0"/>
              <w:adjustRightInd w:val="0"/>
              <w:jc w:val="both"/>
              <w:rPr>
                <w:sz w:val="22"/>
                <w:szCs w:val="22"/>
              </w:rPr>
            </w:pPr>
          </w:p>
          <w:p w:rsidR="00213689" w:rsidRPr="00213689" w:rsidRDefault="00213689" w:rsidP="00571E9C">
            <w:pPr>
              <w:widowControl w:val="0"/>
              <w:autoSpaceDE w:val="0"/>
              <w:autoSpaceDN w:val="0"/>
              <w:adjustRightInd w:val="0"/>
              <w:jc w:val="both"/>
              <w:rPr>
                <w:sz w:val="22"/>
                <w:szCs w:val="22"/>
              </w:rPr>
            </w:pPr>
            <w:r w:rsidRPr="00213689">
              <w:rPr>
                <w:sz w:val="22"/>
                <w:szCs w:val="22"/>
              </w:rPr>
              <w:t>„a) prověřit ve spolupráci s Armádou České republiky možnost prohlášení lokality letiště Plzeň – Líně za nepotřebnou nejpozději do 31. 8. 2022,“</w:t>
            </w:r>
          </w:p>
          <w:p w:rsidR="00213689" w:rsidRPr="00213689" w:rsidRDefault="00213689" w:rsidP="00571E9C">
            <w:pPr>
              <w:widowControl w:val="0"/>
              <w:autoSpaceDE w:val="0"/>
              <w:autoSpaceDN w:val="0"/>
              <w:adjustRightInd w:val="0"/>
              <w:jc w:val="both"/>
              <w:rPr>
                <w:sz w:val="22"/>
                <w:szCs w:val="22"/>
              </w:rPr>
            </w:pPr>
          </w:p>
          <w:p w:rsidR="00213689" w:rsidRPr="000D3789" w:rsidRDefault="00213689" w:rsidP="00571E9C">
            <w:pPr>
              <w:widowControl w:val="0"/>
              <w:autoSpaceDE w:val="0"/>
              <w:autoSpaceDN w:val="0"/>
              <w:adjustRightInd w:val="0"/>
              <w:jc w:val="both"/>
              <w:rPr>
                <w:sz w:val="22"/>
                <w:szCs w:val="22"/>
              </w:rPr>
            </w:pPr>
            <w:r w:rsidRPr="00213689">
              <w:rPr>
                <w:sz w:val="22"/>
                <w:szCs w:val="22"/>
              </w:rPr>
              <w:t>Důvodem této zásadní připomínky jsou zejména ekonomické a technologické dopady. Cílem návrhu usnesení vlády České republiky je podpořit realizaci nového strategického podnikatelského parku, a tím řešit situaci nedostatečné nabídky připravených pozemků pro nově příchozí investory anebo expanzi stávajících investorů, a tím zabránit pokračujícímu záboru převážně zemědělské půdy. Pro splnění tohoto cíle je nezbytně nutné postupovat co možná nejefektivněji a nejrychleji.</w:t>
            </w:r>
          </w:p>
        </w:tc>
        <w:tc>
          <w:tcPr>
            <w:tcW w:w="6393" w:type="dxa"/>
            <w:tcBorders>
              <w:left w:val="single" w:sz="4" w:space="0" w:color="auto"/>
              <w:right w:val="single" w:sz="4" w:space="0" w:color="auto"/>
            </w:tcBorders>
            <w:shd w:val="clear" w:color="auto" w:fill="auto"/>
          </w:tcPr>
          <w:p w:rsidR="00145F88" w:rsidRDefault="00730071" w:rsidP="00145F88">
            <w:pPr>
              <w:tabs>
                <w:tab w:val="left" w:pos="1413"/>
              </w:tabs>
              <w:jc w:val="both"/>
              <w:rPr>
                <w:bCs/>
                <w:sz w:val="22"/>
                <w:szCs w:val="22"/>
              </w:rPr>
            </w:pPr>
            <w:r>
              <w:rPr>
                <w:bCs/>
                <w:sz w:val="22"/>
                <w:szCs w:val="22"/>
              </w:rPr>
              <w:t>Souhlasím</w:t>
            </w:r>
            <w:r w:rsidR="006A166B">
              <w:rPr>
                <w:bCs/>
                <w:sz w:val="22"/>
                <w:szCs w:val="22"/>
              </w:rPr>
              <w:t>e</w:t>
            </w:r>
            <w:r w:rsidR="00145F88">
              <w:rPr>
                <w:bCs/>
                <w:sz w:val="22"/>
                <w:szCs w:val="22"/>
              </w:rPr>
              <w:t>.</w:t>
            </w:r>
            <w:r>
              <w:rPr>
                <w:bCs/>
                <w:sz w:val="22"/>
                <w:szCs w:val="22"/>
              </w:rPr>
              <w:t xml:space="preserve"> </w:t>
            </w:r>
            <w:r w:rsidR="00145F88">
              <w:rPr>
                <w:bCs/>
                <w:sz w:val="22"/>
                <w:szCs w:val="22"/>
              </w:rPr>
              <w:t xml:space="preserve">Text přeformulován. </w:t>
            </w:r>
          </w:p>
          <w:p w:rsidR="00145F88" w:rsidRDefault="00145F88" w:rsidP="00145F88">
            <w:pPr>
              <w:tabs>
                <w:tab w:val="left" w:pos="1413"/>
              </w:tabs>
              <w:jc w:val="both"/>
              <w:rPr>
                <w:bCs/>
                <w:sz w:val="22"/>
                <w:szCs w:val="22"/>
              </w:rPr>
            </w:pPr>
          </w:p>
          <w:p w:rsidR="00145F88" w:rsidRDefault="00145F88" w:rsidP="00145F88">
            <w:pPr>
              <w:tabs>
                <w:tab w:val="left" w:pos="1413"/>
              </w:tabs>
              <w:jc w:val="both"/>
              <w:rPr>
                <w:sz w:val="22"/>
                <w:szCs w:val="22"/>
              </w:rPr>
            </w:pPr>
            <w:r>
              <w:rPr>
                <w:bCs/>
                <w:sz w:val="22"/>
                <w:szCs w:val="22"/>
              </w:rPr>
              <w:t xml:space="preserve">Nové znění textu v bodě </w:t>
            </w:r>
            <w:r w:rsidRPr="00213689">
              <w:rPr>
                <w:sz w:val="22"/>
                <w:szCs w:val="22"/>
              </w:rPr>
              <w:t xml:space="preserve">III. odst. 3 písm. </w:t>
            </w:r>
            <w:r>
              <w:rPr>
                <w:sz w:val="22"/>
                <w:szCs w:val="22"/>
              </w:rPr>
              <w:t>a</w:t>
            </w:r>
            <w:r w:rsidRPr="00213689">
              <w:rPr>
                <w:sz w:val="22"/>
                <w:szCs w:val="22"/>
              </w:rPr>
              <w:t>) návrhu usnesení</w:t>
            </w:r>
          </w:p>
          <w:p w:rsidR="00145F88" w:rsidRDefault="00145F88" w:rsidP="00145F88">
            <w:pPr>
              <w:tabs>
                <w:tab w:val="left" w:pos="1413"/>
              </w:tabs>
              <w:jc w:val="both"/>
              <w:rPr>
                <w:bCs/>
                <w:sz w:val="22"/>
                <w:szCs w:val="22"/>
              </w:rPr>
            </w:pPr>
          </w:p>
          <w:p w:rsidR="00213689" w:rsidRDefault="00145F88" w:rsidP="00145F88">
            <w:pPr>
              <w:tabs>
                <w:tab w:val="left" w:pos="1413"/>
              </w:tabs>
              <w:jc w:val="both"/>
              <w:rPr>
                <w:bCs/>
                <w:sz w:val="22"/>
                <w:szCs w:val="22"/>
              </w:rPr>
            </w:pPr>
            <w:r>
              <w:rPr>
                <w:bCs/>
                <w:sz w:val="22"/>
                <w:szCs w:val="22"/>
              </w:rPr>
              <w:t>P</w:t>
            </w:r>
            <w:r w:rsidRPr="00091CB5">
              <w:rPr>
                <w:bCs/>
                <w:sz w:val="22"/>
                <w:szCs w:val="22"/>
              </w:rPr>
              <w:t>rověřit ve spolupráci s Armádou České republiky akceptovatelnost prohlášení lokality letiště Plzeň – Líně za nepotřebnou, z pohledu obrany státu, nejpozději do 31. 8. 2022</w:t>
            </w:r>
            <w:r>
              <w:rPr>
                <w:bCs/>
                <w:sz w:val="22"/>
                <w:szCs w:val="22"/>
              </w:rPr>
              <w:t>.</w:t>
            </w:r>
            <w:r w:rsidR="00730071">
              <w:rPr>
                <w:bCs/>
                <w:sz w:val="22"/>
                <w:szCs w:val="22"/>
              </w:rPr>
              <w:t xml:space="preserve"> </w:t>
            </w:r>
          </w:p>
          <w:p w:rsidR="00145F88" w:rsidRDefault="00145F88" w:rsidP="00213689">
            <w:pPr>
              <w:tabs>
                <w:tab w:val="left" w:pos="1413"/>
              </w:tabs>
              <w:jc w:val="both"/>
              <w:rPr>
                <w:bCs/>
                <w:sz w:val="22"/>
                <w:szCs w:val="22"/>
              </w:rPr>
            </w:pPr>
          </w:p>
          <w:p w:rsidR="00145F88" w:rsidRPr="00213C54" w:rsidRDefault="00145F88" w:rsidP="00145F88">
            <w:pPr>
              <w:jc w:val="both"/>
              <w:rPr>
                <w:b/>
                <w:bCs/>
                <w:sz w:val="22"/>
                <w:szCs w:val="22"/>
              </w:rPr>
            </w:pPr>
            <w:r w:rsidRPr="00213C54">
              <w:rPr>
                <w:b/>
                <w:bCs/>
                <w:sz w:val="22"/>
                <w:szCs w:val="22"/>
              </w:rPr>
              <w:t xml:space="preserve">Vyjádření ÚV – </w:t>
            </w:r>
            <w:r>
              <w:rPr>
                <w:b/>
                <w:bCs/>
                <w:sz w:val="22"/>
                <w:szCs w:val="22"/>
              </w:rPr>
              <w:t>VUV</w:t>
            </w:r>
            <w:r w:rsidRPr="00213C54">
              <w:rPr>
                <w:b/>
                <w:bCs/>
                <w:sz w:val="22"/>
                <w:szCs w:val="22"/>
              </w:rPr>
              <w:t xml:space="preserve"> k vypořádání:</w:t>
            </w:r>
          </w:p>
          <w:p w:rsidR="00145F88" w:rsidRPr="00E172A8" w:rsidRDefault="00145F88" w:rsidP="00213689">
            <w:pPr>
              <w:tabs>
                <w:tab w:val="left" w:pos="1413"/>
              </w:tabs>
              <w:jc w:val="both"/>
              <w:rPr>
                <w:bCs/>
                <w:sz w:val="22"/>
                <w:szCs w:val="22"/>
              </w:rPr>
            </w:pPr>
            <w:r w:rsidRPr="00213C54">
              <w:rPr>
                <w:bCs/>
                <w:sz w:val="22"/>
                <w:szCs w:val="22"/>
              </w:rPr>
              <w:t>Souhlas s vypořádáním.</w:t>
            </w:r>
          </w:p>
        </w:tc>
      </w:tr>
      <w:tr w:rsidR="00927873" w:rsidRPr="00E172A8" w:rsidTr="00BB7D1B">
        <w:trPr>
          <w:trHeight w:val="340"/>
        </w:trPr>
        <w:tc>
          <w:tcPr>
            <w:tcW w:w="2191" w:type="dxa"/>
            <w:tcBorders>
              <w:left w:val="single" w:sz="4" w:space="0" w:color="auto"/>
              <w:right w:val="single" w:sz="4" w:space="0" w:color="auto"/>
            </w:tcBorders>
            <w:shd w:val="clear" w:color="auto" w:fill="auto"/>
          </w:tcPr>
          <w:p w:rsidR="00927873" w:rsidRPr="00555320" w:rsidRDefault="00927873" w:rsidP="00927873">
            <w:pPr>
              <w:rPr>
                <w:b/>
                <w:sz w:val="22"/>
                <w:szCs w:val="22"/>
              </w:rPr>
            </w:pPr>
            <w:r w:rsidRPr="00555320">
              <w:rPr>
                <w:b/>
                <w:sz w:val="22"/>
                <w:szCs w:val="22"/>
              </w:rPr>
              <w:t>Ministerstvo obrany</w:t>
            </w: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927873" w:rsidRDefault="00927873" w:rsidP="00571E9C">
            <w:pPr>
              <w:widowControl w:val="0"/>
              <w:autoSpaceDE w:val="0"/>
              <w:autoSpaceDN w:val="0"/>
              <w:adjustRightInd w:val="0"/>
              <w:jc w:val="both"/>
              <w:rPr>
                <w:b/>
                <w:sz w:val="22"/>
                <w:szCs w:val="22"/>
              </w:rPr>
            </w:pPr>
            <w:r w:rsidRPr="00E172A8">
              <w:rPr>
                <w:b/>
                <w:sz w:val="22"/>
                <w:szCs w:val="22"/>
              </w:rPr>
              <w:t>Zásadní připomínka</w:t>
            </w:r>
            <w:r>
              <w:rPr>
                <w:b/>
                <w:sz w:val="22"/>
                <w:szCs w:val="22"/>
              </w:rPr>
              <w:t xml:space="preserve"> č. 1</w:t>
            </w:r>
            <w:r w:rsidRPr="00E172A8">
              <w:rPr>
                <w:b/>
                <w:sz w:val="22"/>
                <w:szCs w:val="22"/>
              </w:rPr>
              <w:t>:</w:t>
            </w:r>
          </w:p>
          <w:p w:rsidR="00927873" w:rsidRDefault="00927873" w:rsidP="00571E9C">
            <w:pPr>
              <w:widowControl w:val="0"/>
              <w:autoSpaceDE w:val="0"/>
              <w:autoSpaceDN w:val="0"/>
              <w:adjustRightInd w:val="0"/>
              <w:jc w:val="both"/>
              <w:rPr>
                <w:sz w:val="22"/>
                <w:szCs w:val="22"/>
              </w:rPr>
            </w:pPr>
          </w:p>
          <w:p w:rsidR="00927873" w:rsidRPr="00213689" w:rsidRDefault="00927873" w:rsidP="00571E9C">
            <w:pPr>
              <w:widowControl w:val="0"/>
              <w:autoSpaceDE w:val="0"/>
              <w:autoSpaceDN w:val="0"/>
              <w:adjustRightInd w:val="0"/>
              <w:jc w:val="both"/>
              <w:rPr>
                <w:sz w:val="22"/>
                <w:szCs w:val="22"/>
              </w:rPr>
            </w:pPr>
            <w:r w:rsidRPr="00213689">
              <w:rPr>
                <w:sz w:val="22"/>
                <w:szCs w:val="22"/>
              </w:rPr>
              <w:t>K bodu III. odst. 3 písm. a) návrhu usnesení:</w:t>
            </w:r>
          </w:p>
          <w:p w:rsidR="00927873" w:rsidRPr="00E172A8" w:rsidRDefault="00927873" w:rsidP="00571E9C">
            <w:pPr>
              <w:widowControl w:val="0"/>
              <w:autoSpaceDE w:val="0"/>
              <w:autoSpaceDN w:val="0"/>
              <w:adjustRightInd w:val="0"/>
              <w:jc w:val="both"/>
              <w:rPr>
                <w:sz w:val="22"/>
                <w:szCs w:val="22"/>
              </w:rPr>
            </w:pPr>
            <w:r w:rsidRPr="00213689">
              <w:rPr>
                <w:sz w:val="22"/>
                <w:szCs w:val="22"/>
              </w:rPr>
              <w:t>Navrhuji tento bod přeformulovat takto: „prověřit ve spolupráci s Armádou České republiky akceptovatelnost prohlášení lokality letiště Plzeň – Líně za nepotřebnou z pohledu obrany státu“.</w:t>
            </w:r>
          </w:p>
        </w:tc>
        <w:tc>
          <w:tcPr>
            <w:tcW w:w="6393" w:type="dxa"/>
            <w:tcBorders>
              <w:left w:val="single" w:sz="4" w:space="0" w:color="auto"/>
              <w:right w:val="single" w:sz="4" w:space="0" w:color="auto"/>
            </w:tcBorders>
            <w:shd w:val="clear" w:color="auto" w:fill="auto"/>
          </w:tcPr>
          <w:p w:rsidR="00927873" w:rsidRDefault="001F2AE0" w:rsidP="00927873">
            <w:pPr>
              <w:jc w:val="both"/>
              <w:rPr>
                <w:bCs/>
                <w:sz w:val="22"/>
                <w:szCs w:val="22"/>
              </w:rPr>
            </w:pPr>
            <w:r>
              <w:rPr>
                <w:bCs/>
                <w:sz w:val="22"/>
                <w:szCs w:val="22"/>
              </w:rPr>
              <w:t>Souhlasíme</w:t>
            </w:r>
            <w:r w:rsidR="00497C75">
              <w:rPr>
                <w:bCs/>
                <w:sz w:val="22"/>
                <w:szCs w:val="22"/>
              </w:rPr>
              <w:t>.</w:t>
            </w:r>
          </w:p>
          <w:p w:rsidR="00213C54" w:rsidRDefault="00213C54" w:rsidP="00927873">
            <w:pPr>
              <w:jc w:val="both"/>
              <w:rPr>
                <w:bCs/>
                <w:sz w:val="22"/>
                <w:szCs w:val="22"/>
              </w:rPr>
            </w:pPr>
          </w:p>
          <w:p w:rsidR="00213C54" w:rsidRPr="00213C54" w:rsidRDefault="00213C54" w:rsidP="00927873">
            <w:pPr>
              <w:jc w:val="both"/>
              <w:rPr>
                <w:b/>
                <w:bCs/>
                <w:sz w:val="22"/>
                <w:szCs w:val="22"/>
              </w:rPr>
            </w:pPr>
            <w:r w:rsidRPr="00213C54">
              <w:rPr>
                <w:b/>
                <w:bCs/>
                <w:sz w:val="22"/>
                <w:szCs w:val="22"/>
              </w:rPr>
              <w:t>Vyjádření MO k vypořádání:</w:t>
            </w:r>
          </w:p>
          <w:p w:rsidR="00213C54" w:rsidRPr="00213C54" w:rsidRDefault="00213C54" w:rsidP="00927873">
            <w:pPr>
              <w:jc w:val="both"/>
              <w:rPr>
                <w:bCs/>
                <w:sz w:val="22"/>
                <w:szCs w:val="22"/>
              </w:rPr>
            </w:pPr>
            <w:r w:rsidRPr="00213C54">
              <w:rPr>
                <w:bCs/>
                <w:sz w:val="22"/>
                <w:szCs w:val="22"/>
              </w:rPr>
              <w:t xml:space="preserve">Souhlas s vypořádáním. </w:t>
            </w:r>
          </w:p>
        </w:tc>
      </w:tr>
      <w:tr w:rsidR="00927873" w:rsidRPr="00E172A8" w:rsidTr="00BB7D1B">
        <w:trPr>
          <w:trHeight w:val="340"/>
        </w:trPr>
        <w:tc>
          <w:tcPr>
            <w:tcW w:w="2191" w:type="dxa"/>
            <w:tcBorders>
              <w:left w:val="single" w:sz="4" w:space="0" w:color="auto"/>
              <w:right w:val="single" w:sz="4" w:space="0" w:color="auto"/>
            </w:tcBorders>
            <w:shd w:val="clear" w:color="auto" w:fill="auto"/>
          </w:tcPr>
          <w:p w:rsidR="00927873" w:rsidRPr="00555320" w:rsidRDefault="00927873" w:rsidP="00927873">
            <w:pPr>
              <w:rPr>
                <w:b/>
                <w:sz w:val="22"/>
                <w:szCs w:val="22"/>
              </w:rPr>
            </w:pP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927873" w:rsidRDefault="00927873" w:rsidP="00571E9C">
            <w:pPr>
              <w:widowControl w:val="0"/>
              <w:autoSpaceDE w:val="0"/>
              <w:autoSpaceDN w:val="0"/>
              <w:adjustRightInd w:val="0"/>
              <w:jc w:val="both"/>
              <w:rPr>
                <w:b/>
                <w:sz w:val="22"/>
                <w:szCs w:val="22"/>
              </w:rPr>
            </w:pPr>
            <w:r w:rsidRPr="00E172A8">
              <w:rPr>
                <w:b/>
                <w:sz w:val="22"/>
                <w:szCs w:val="22"/>
              </w:rPr>
              <w:t>Zásadní připomínka</w:t>
            </w:r>
            <w:r>
              <w:rPr>
                <w:b/>
                <w:sz w:val="22"/>
                <w:szCs w:val="22"/>
              </w:rPr>
              <w:t xml:space="preserve"> č. 2</w:t>
            </w:r>
            <w:r w:rsidRPr="00E172A8">
              <w:rPr>
                <w:b/>
                <w:sz w:val="22"/>
                <w:szCs w:val="22"/>
              </w:rPr>
              <w:t>:</w:t>
            </w:r>
          </w:p>
          <w:p w:rsidR="00927873" w:rsidRDefault="00927873" w:rsidP="00571E9C">
            <w:pPr>
              <w:widowControl w:val="0"/>
              <w:autoSpaceDE w:val="0"/>
              <w:autoSpaceDN w:val="0"/>
              <w:adjustRightInd w:val="0"/>
              <w:jc w:val="both"/>
              <w:rPr>
                <w:b/>
                <w:sz w:val="22"/>
                <w:szCs w:val="22"/>
              </w:rPr>
            </w:pPr>
          </w:p>
          <w:p w:rsidR="00927873" w:rsidRPr="00213689" w:rsidRDefault="00927873" w:rsidP="00571E9C">
            <w:pPr>
              <w:widowControl w:val="0"/>
              <w:autoSpaceDE w:val="0"/>
              <w:autoSpaceDN w:val="0"/>
              <w:adjustRightInd w:val="0"/>
              <w:jc w:val="both"/>
              <w:rPr>
                <w:sz w:val="22"/>
                <w:szCs w:val="22"/>
              </w:rPr>
            </w:pPr>
            <w:r w:rsidRPr="00213689">
              <w:rPr>
                <w:sz w:val="22"/>
                <w:szCs w:val="22"/>
              </w:rPr>
              <w:t>K bodu III. odst. 3 písm. b) návrhu usnesení:</w:t>
            </w:r>
          </w:p>
          <w:p w:rsidR="00927873" w:rsidRPr="00213689" w:rsidRDefault="00927873" w:rsidP="00571E9C">
            <w:pPr>
              <w:widowControl w:val="0"/>
              <w:autoSpaceDE w:val="0"/>
              <w:autoSpaceDN w:val="0"/>
              <w:adjustRightInd w:val="0"/>
              <w:jc w:val="both"/>
              <w:rPr>
                <w:sz w:val="22"/>
                <w:szCs w:val="22"/>
              </w:rPr>
            </w:pPr>
            <w:r w:rsidRPr="00213689">
              <w:rPr>
                <w:sz w:val="22"/>
                <w:szCs w:val="22"/>
              </w:rPr>
              <w:t>V případě přípustnosti prohlášení lokality letiště Plzeň – Líně za nepotřebnou je nutné postupovat v souladu s ustanovením § 19b zákona č. 219/2000 Sb., o majetku České republiky a jejích vystupování v právních vztazích, ve znění pozdějších předpisů (dále jen „zákon o majetku státu“). Nelze tedy bezúplatně převést majetek přímo na Plzeňský kraj. Je třeba jej nejprve převést na Úřad pro zastupování státu ve věcech majetkových, který bude poté s majetkem nakládat v souladu se zákonem o majetku státu. Bod požaduji přeformulovat nebo vypustit.</w:t>
            </w:r>
          </w:p>
        </w:tc>
        <w:tc>
          <w:tcPr>
            <w:tcW w:w="6393" w:type="dxa"/>
            <w:tcBorders>
              <w:left w:val="single" w:sz="4" w:space="0" w:color="auto"/>
              <w:right w:val="single" w:sz="4" w:space="0" w:color="auto"/>
            </w:tcBorders>
            <w:shd w:val="clear" w:color="auto" w:fill="auto"/>
          </w:tcPr>
          <w:p w:rsidR="00C512C0" w:rsidRDefault="001463DB" w:rsidP="00927873">
            <w:pPr>
              <w:jc w:val="both"/>
              <w:rPr>
                <w:bCs/>
                <w:sz w:val="22"/>
                <w:szCs w:val="22"/>
              </w:rPr>
            </w:pPr>
            <w:r>
              <w:rPr>
                <w:bCs/>
                <w:sz w:val="22"/>
                <w:szCs w:val="22"/>
              </w:rPr>
              <w:t>Souhlasíme</w:t>
            </w:r>
            <w:r w:rsidR="00C512C0">
              <w:rPr>
                <w:bCs/>
                <w:sz w:val="22"/>
                <w:szCs w:val="22"/>
              </w:rPr>
              <w:t>. Text přeformulován.</w:t>
            </w:r>
          </w:p>
          <w:p w:rsidR="00C512C0" w:rsidRDefault="00C512C0" w:rsidP="00927873">
            <w:pPr>
              <w:jc w:val="both"/>
              <w:rPr>
                <w:bCs/>
                <w:sz w:val="22"/>
                <w:szCs w:val="22"/>
              </w:rPr>
            </w:pPr>
          </w:p>
          <w:p w:rsidR="00927873" w:rsidRDefault="00C512C0" w:rsidP="00927873">
            <w:pPr>
              <w:jc w:val="both"/>
              <w:rPr>
                <w:bCs/>
                <w:sz w:val="22"/>
                <w:szCs w:val="22"/>
              </w:rPr>
            </w:pPr>
            <w:r>
              <w:rPr>
                <w:bCs/>
                <w:sz w:val="22"/>
                <w:szCs w:val="22"/>
              </w:rPr>
              <w:t xml:space="preserve">Nové znění textu v bodě </w:t>
            </w:r>
            <w:r w:rsidRPr="00213689">
              <w:rPr>
                <w:sz w:val="22"/>
                <w:szCs w:val="22"/>
              </w:rPr>
              <w:t>III. odst. 3 písm. b) návrhu usnesení</w:t>
            </w:r>
            <w:r>
              <w:rPr>
                <w:bCs/>
                <w:sz w:val="22"/>
                <w:szCs w:val="22"/>
              </w:rPr>
              <w:t xml:space="preserve"> </w:t>
            </w:r>
          </w:p>
          <w:p w:rsidR="00C512C0" w:rsidRDefault="00C512C0" w:rsidP="00927873">
            <w:pPr>
              <w:jc w:val="both"/>
              <w:rPr>
                <w:bCs/>
                <w:sz w:val="22"/>
                <w:szCs w:val="22"/>
              </w:rPr>
            </w:pPr>
          </w:p>
          <w:p w:rsidR="00C512C0" w:rsidRDefault="00C512C0" w:rsidP="00927873">
            <w:pPr>
              <w:jc w:val="both"/>
              <w:rPr>
                <w:sz w:val="22"/>
                <w:szCs w:val="22"/>
              </w:rPr>
            </w:pPr>
            <w:r>
              <w:rPr>
                <w:sz w:val="22"/>
                <w:szCs w:val="22"/>
              </w:rPr>
              <w:t xml:space="preserve">V </w:t>
            </w:r>
            <w:r w:rsidRPr="00213689">
              <w:rPr>
                <w:sz w:val="22"/>
                <w:szCs w:val="22"/>
              </w:rPr>
              <w:t>případě přípustnosti prohlášení lokality letiště Plzeň – Líně za nepotřebnou postupovat v souladu s ustanovením § 19b zákona č. 219/2000 Sb., o majetku České republiky a jejích vystupování v právních vztazích, ve znění pozdějších předpisů</w:t>
            </w:r>
            <w:r>
              <w:rPr>
                <w:sz w:val="22"/>
                <w:szCs w:val="22"/>
              </w:rPr>
              <w:t>.</w:t>
            </w:r>
          </w:p>
          <w:p w:rsidR="00213C54" w:rsidRDefault="00213C54" w:rsidP="00927873">
            <w:pPr>
              <w:jc w:val="both"/>
              <w:rPr>
                <w:bCs/>
                <w:sz w:val="22"/>
                <w:szCs w:val="22"/>
              </w:rPr>
            </w:pPr>
          </w:p>
          <w:p w:rsidR="00213C54" w:rsidRPr="00213C54" w:rsidRDefault="00213C54" w:rsidP="00213C54">
            <w:pPr>
              <w:jc w:val="both"/>
              <w:rPr>
                <w:b/>
                <w:bCs/>
                <w:sz w:val="22"/>
                <w:szCs w:val="22"/>
              </w:rPr>
            </w:pPr>
            <w:r w:rsidRPr="00213C54">
              <w:rPr>
                <w:b/>
                <w:bCs/>
                <w:sz w:val="22"/>
                <w:szCs w:val="22"/>
              </w:rPr>
              <w:t>Vyjádření MO k vypořádání:</w:t>
            </w:r>
          </w:p>
          <w:p w:rsidR="00213C54" w:rsidRPr="00E172A8" w:rsidRDefault="00213C54" w:rsidP="00213C54">
            <w:pPr>
              <w:jc w:val="both"/>
              <w:rPr>
                <w:bCs/>
                <w:sz w:val="22"/>
                <w:szCs w:val="22"/>
              </w:rPr>
            </w:pPr>
            <w:r w:rsidRPr="00213C54">
              <w:rPr>
                <w:bCs/>
                <w:sz w:val="22"/>
                <w:szCs w:val="22"/>
              </w:rPr>
              <w:t>Souhlas s vypořádáním.</w:t>
            </w:r>
          </w:p>
        </w:tc>
      </w:tr>
      <w:tr w:rsidR="00927873" w:rsidRPr="00E172A8" w:rsidTr="00BB7D1B">
        <w:trPr>
          <w:trHeight w:val="340"/>
        </w:trPr>
        <w:tc>
          <w:tcPr>
            <w:tcW w:w="2191" w:type="dxa"/>
            <w:tcBorders>
              <w:left w:val="single" w:sz="4" w:space="0" w:color="auto"/>
              <w:right w:val="single" w:sz="4" w:space="0" w:color="auto"/>
            </w:tcBorders>
            <w:shd w:val="clear" w:color="auto" w:fill="auto"/>
          </w:tcPr>
          <w:p w:rsidR="00927873" w:rsidRPr="00555320" w:rsidRDefault="00927873" w:rsidP="00927873">
            <w:pPr>
              <w:rPr>
                <w:b/>
                <w:sz w:val="22"/>
                <w:szCs w:val="22"/>
              </w:rPr>
            </w:pP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927873" w:rsidRDefault="00927873" w:rsidP="00571E9C">
            <w:pPr>
              <w:widowControl w:val="0"/>
              <w:autoSpaceDE w:val="0"/>
              <w:autoSpaceDN w:val="0"/>
              <w:adjustRightInd w:val="0"/>
              <w:jc w:val="both"/>
              <w:rPr>
                <w:b/>
                <w:sz w:val="22"/>
                <w:szCs w:val="22"/>
              </w:rPr>
            </w:pPr>
            <w:r w:rsidRPr="00E172A8">
              <w:rPr>
                <w:b/>
                <w:sz w:val="22"/>
                <w:szCs w:val="22"/>
              </w:rPr>
              <w:t>Zásadní připomínka</w:t>
            </w:r>
            <w:r>
              <w:rPr>
                <w:b/>
                <w:sz w:val="22"/>
                <w:szCs w:val="22"/>
              </w:rPr>
              <w:t xml:space="preserve"> č. 3</w:t>
            </w:r>
            <w:r w:rsidRPr="00E172A8">
              <w:rPr>
                <w:b/>
                <w:sz w:val="22"/>
                <w:szCs w:val="22"/>
              </w:rPr>
              <w:t>:</w:t>
            </w:r>
          </w:p>
          <w:p w:rsidR="00927873" w:rsidRDefault="00927873" w:rsidP="00571E9C">
            <w:pPr>
              <w:widowControl w:val="0"/>
              <w:autoSpaceDE w:val="0"/>
              <w:autoSpaceDN w:val="0"/>
              <w:adjustRightInd w:val="0"/>
              <w:jc w:val="both"/>
              <w:rPr>
                <w:b/>
                <w:sz w:val="22"/>
                <w:szCs w:val="22"/>
              </w:rPr>
            </w:pPr>
          </w:p>
          <w:p w:rsidR="00927873" w:rsidRPr="00213689" w:rsidRDefault="00927873" w:rsidP="00571E9C">
            <w:pPr>
              <w:widowControl w:val="0"/>
              <w:autoSpaceDE w:val="0"/>
              <w:autoSpaceDN w:val="0"/>
              <w:adjustRightInd w:val="0"/>
              <w:jc w:val="both"/>
              <w:rPr>
                <w:sz w:val="22"/>
                <w:szCs w:val="22"/>
              </w:rPr>
            </w:pPr>
            <w:r w:rsidRPr="00213689">
              <w:rPr>
                <w:sz w:val="22"/>
                <w:szCs w:val="22"/>
              </w:rPr>
              <w:t>K bodu III. odst. 1 písm. d) návrhu usnesení:</w:t>
            </w:r>
          </w:p>
          <w:p w:rsidR="00927873" w:rsidRPr="00213689" w:rsidRDefault="00927873" w:rsidP="00571E9C">
            <w:pPr>
              <w:widowControl w:val="0"/>
              <w:autoSpaceDE w:val="0"/>
              <w:autoSpaceDN w:val="0"/>
              <w:adjustRightInd w:val="0"/>
              <w:jc w:val="both"/>
              <w:rPr>
                <w:sz w:val="22"/>
                <w:szCs w:val="22"/>
              </w:rPr>
            </w:pPr>
            <w:r w:rsidRPr="00213689">
              <w:rPr>
                <w:sz w:val="22"/>
                <w:szCs w:val="22"/>
              </w:rPr>
              <w:t>V návaznosti na bod jedna upravit tento bod, jelikož MO po případném převedení nemovitostí na ÚZSVM již nebude muset za ČR v dané lokalitě vystupovat.</w:t>
            </w:r>
          </w:p>
        </w:tc>
        <w:tc>
          <w:tcPr>
            <w:tcW w:w="6393" w:type="dxa"/>
            <w:tcBorders>
              <w:left w:val="single" w:sz="4" w:space="0" w:color="auto"/>
              <w:right w:val="single" w:sz="4" w:space="0" w:color="auto"/>
            </w:tcBorders>
            <w:shd w:val="clear" w:color="auto" w:fill="auto"/>
          </w:tcPr>
          <w:p w:rsidR="00927873" w:rsidRPr="004B4755" w:rsidRDefault="001463DB" w:rsidP="00927873">
            <w:pPr>
              <w:jc w:val="both"/>
              <w:rPr>
                <w:bCs/>
                <w:sz w:val="22"/>
                <w:szCs w:val="22"/>
              </w:rPr>
            </w:pPr>
            <w:r w:rsidRPr="004B4755">
              <w:rPr>
                <w:bCs/>
                <w:sz w:val="22"/>
                <w:szCs w:val="22"/>
              </w:rPr>
              <w:t>Nesouhlasíme</w:t>
            </w:r>
            <w:r w:rsidR="00C512C0" w:rsidRPr="004B4755">
              <w:rPr>
                <w:bCs/>
                <w:sz w:val="22"/>
                <w:szCs w:val="22"/>
              </w:rPr>
              <w:t xml:space="preserve">. </w:t>
            </w:r>
            <w:r w:rsidR="001F2AE0" w:rsidRPr="004B4755">
              <w:rPr>
                <w:bCs/>
                <w:sz w:val="22"/>
                <w:szCs w:val="22"/>
              </w:rPr>
              <w:t>P</w:t>
            </w:r>
            <w:r w:rsidR="00C512C0" w:rsidRPr="004B4755">
              <w:rPr>
                <w:bCs/>
                <w:sz w:val="22"/>
                <w:szCs w:val="22"/>
              </w:rPr>
              <w:t>otřebujeme, aby součástí týmu v rámci přípravných prací byl někdo z</w:t>
            </w:r>
            <w:r w:rsidR="001F2AE0" w:rsidRPr="004B4755">
              <w:rPr>
                <w:bCs/>
                <w:sz w:val="22"/>
                <w:szCs w:val="22"/>
              </w:rPr>
              <w:t> </w:t>
            </w:r>
            <w:r w:rsidR="00C512C0" w:rsidRPr="004B4755">
              <w:rPr>
                <w:bCs/>
                <w:sz w:val="22"/>
                <w:szCs w:val="22"/>
              </w:rPr>
              <w:t>MO</w:t>
            </w:r>
            <w:r w:rsidR="001F2AE0" w:rsidRPr="004B4755">
              <w:rPr>
                <w:bCs/>
                <w:sz w:val="22"/>
                <w:szCs w:val="22"/>
              </w:rPr>
              <w:t>, resp. Agentury pro hospodaření s</w:t>
            </w:r>
            <w:r w:rsidRPr="004B4755">
              <w:rPr>
                <w:bCs/>
                <w:sz w:val="22"/>
                <w:szCs w:val="22"/>
              </w:rPr>
              <w:t xml:space="preserve"> nemovitým </w:t>
            </w:r>
            <w:r w:rsidR="001F2AE0" w:rsidRPr="004B4755">
              <w:rPr>
                <w:bCs/>
                <w:sz w:val="22"/>
                <w:szCs w:val="22"/>
              </w:rPr>
              <w:t>majetkem kvůli znalosti lokality, existující</w:t>
            </w:r>
            <w:r w:rsidR="00497C75" w:rsidRPr="004B4755">
              <w:rPr>
                <w:bCs/>
                <w:sz w:val="22"/>
                <w:szCs w:val="22"/>
              </w:rPr>
              <w:t>m</w:t>
            </w:r>
            <w:r w:rsidR="001F2AE0" w:rsidRPr="004B4755">
              <w:rPr>
                <w:bCs/>
                <w:sz w:val="22"/>
                <w:szCs w:val="22"/>
              </w:rPr>
              <w:t xml:space="preserve"> dokumentacím ve vlastnictví těchto subjektů. Zapojení těchto subjektů se budeme snažit udržet na nezbytném minimu.</w:t>
            </w:r>
          </w:p>
          <w:p w:rsidR="00213C54" w:rsidRPr="004B4755" w:rsidRDefault="00213C54" w:rsidP="00927873">
            <w:pPr>
              <w:jc w:val="both"/>
              <w:rPr>
                <w:bCs/>
                <w:sz w:val="22"/>
                <w:szCs w:val="22"/>
              </w:rPr>
            </w:pPr>
          </w:p>
          <w:p w:rsidR="00213C54" w:rsidRPr="004B4755" w:rsidRDefault="00213C54" w:rsidP="00213C54">
            <w:pPr>
              <w:jc w:val="both"/>
              <w:rPr>
                <w:b/>
                <w:bCs/>
                <w:sz w:val="22"/>
                <w:szCs w:val="22"/>
              </w:rPr>
            </w:pPr>
            <w:r w:rsidRPr="004B4755">
              <w:rPr>
                <w:b/>
                <w:bCs/>
                <w:sz w:val="22"/>
                <w:szCs w:val="22"/>
              </w:rPr>
              <w:t>Vyjádření MO k vypořádání:</w:t>
            </w:r>
          </w:p>
          <w:p w:rsidR="00213C54" w:rsidRPr="004B4755" w:rsidRDefault="00213C54" w:rsidP="00213C54">
            <w:pPr>
              <w:jc w:val="both"/>
              <w:rPr>
                <w:bCs/>
                <w:sz w:val="22"/>
                <w:szCs w:val="22"/>
              </w:rPr>
            </w:pPr>
            <w:r w:rsidRPr="004B4755">
              <w:rPr>
                <w:bCs/>
                <w:sz w:val="22"/>
                <w:szCs w:val="22"/>
              </w:rPr>
              <w:t>Po případném převedení majetku na ÚZSVM již nebude Ministerstvo obrany v daném právním vztahu za ČR vystupovat (za ČR bude vystupovat ÚZSVM v souladu s akceptovanou připomínkou č. 2). Ministerstvo obrany samozřejmě poskytne součinnost v rámci přípravných prací a nebrání se nominaci svého zástupce pracovní skupiny, která bude vytvořena podle bodu II/2 návrhu usnesení.</w:t>
            </w:r>
          </w:p>
          <w:p w:rsidR="00213C54" w:rsidRPr="004B4755" w:rsidRDefault="00213C54" w:rsidP="00213C54">
            <w:pPr>
              <w:jc w:val="both"/>
              <w:rPr>
                <w:bCs/>
                <w:sz w:val="22"/>
                <w:szCs w:val="22"/>
              </w:rPr>
            </w:pPr>
          </w:p>
          <w:p w:rsidR="00213C54" w:rsidRPr="004B4755" w:rsidRDefault="00213C54" w:rsidP="00213C54">
            <w:pPr>
              <w:jc w:val="both"/>
              <w:rPr>
                <w:bCs/>
                <w:sz w:val="22"/>
                <w:szCs w:val="22"/>
              </w:rPr>
            </w:pPr>
            <w:r w:rsidRPr="004B4755">
              <w:rPr>
                <w:bCs/>
                <w:sz w:val="22"/>
                <w:szCs w:val="22"/>
              </w:rPr>
              <w:t>Vysvětleno. Text přeformulován.</w:t>
            </w:r>
          </w:p>
          <w:p w:rsidR="00213C54" w:rsidRPr="004B4755" w:rsidRDefault="00213C54" w:rsidP="00213C54">
            <w:pPr>
              <w:jc w:val="both"/>
              <w:rPr>
                <w:bCs/>
                <w:sz w:val="22"/>
                <w:szCs w:val="22"/>
              </w:rPr>
            </w:pPr>
          </w:p>
          <w:p w:rsidR="00213C54" w:rsidRPr="004B4755" w:rsidRDefault="00213C54" w:rsidP="00213C54">
            <w:pPr>
              <w:jc w:val="both"/>
              <w:rPr>
                <w:bCs/>
                <w:sz w:val="22"/>
                <w:szCs w:val="22"/>
              </w:rPr>
            </w:pPr>
            <w:r w:rsidRPr="004B4755">
              <w:rPr>
                <w:bCs/>
                <w:sz w:val="22"/>
                <w:szCs w:val="22"/>
              </w:rPr>
              <w:t xml:space="preserve">Nové znění textu v bodě </w:t>
            </w:r>
            <w:r w:rsidRPr="004B4755">
              <w:rPr>
                <w:sz w:val="22"/>
                <w:szCs w:val="22"/>
              </w:rPr>
              <w:t>III. odst. 1 písm. d) návrhu usnesení</w:t>
            </w:r>
            <w:r w:rsidRPr="004B4755">
              <w:rPr>
                <w:bCs/>
                <w:sz w:val="22"/>
                <w:szCs w:val="22"/>
              </w:rPr>
              <w:t xml:space="preserve"> </w:t>
            </w:r>
          </w:p>
          <w:p w:rsidR="00213C54" w:rsidRPr="004B4755" w:rsidRDefault="00213C54" w:rsidP="00213C54">
            <w:pPr>
              <w:jc w:val="both"/>
              <w:rPr>
                <w:bCs/>
                <w:sz w:val="22"/>
                <w:szCs w:val="22"/>
              </w:rPr>
            </w:pPr>
          </w:p>
          <w:p w:rsidR="00213C54" w:rsidRPr="004B4755" w:rsidRDefault="00213C54" w:rsidP="00213C54">
            <w:pPr>
              <w:jc w:val="both"/>
              <w:rPr>
                <w:bCs/>
                <w:sz w:val="22"/>
                <w:szCs w:val="22"/>
              </w:rPr>
            </w:pPr>
            <w:r w:rsidRPr="004B4755">
              <w:rPr>
                <w:bCs/>
                <w:sz w:val="22"/>
                <w:szCs w:val="22"/>
              </w:rPr>
              <w:t>Ve spolupráci s členy společné pracovní skupiny připravit harmonogram přeměny území stávajícího letiště a brownfieldu v lokalitě Plzeň – Líně na strategický podnikatelský park, který bude zahrnovat.</w:t>
            </w:r>
          </w:p>
          <w:p w:rsidR="006A7FC0" w:rsidRPr="004B4755" w:rsidRDefault="006A7FC0" w:rsidP="00213C54">
            <w:pPr>
              <w:jc w:val="both"/>
              <w:rPr>
                <w:bCs/>
                <w:sz w:val="22"/>
                <w:szCs w:val="22"/>
              </w:rPr>
            </w:pPr>
          </w:p>
          <w:p w:rsidR="006A7FC0" w:rsidRPr="004B4755" w:rsidRDefault="006A7FC0" w:rsidP="006A7FC0">
            <w:pPr>
              <w:jc w:val="both"/>
              <w:rPr>
                <w:b/>
                <w:bCs/>
                <w:sz w:val="22"/>
                <w:szCs w:val="22"/>
              </w:rPr>
            </w:pPr>
            <w:r w:rsidRPr="004B4755">
              <w:rPr>
                <w:b/>
                <w:bCs/>
                <w:sz w:val="22"/>
                <w:szCs w:val="22"/>
              </w:rPr>
              <w:t>Vyjádření MO k vypořádání:</w:t>
            </w:r>
          </w:p>
          <w:p w:rsidR="006A7FC0" w:rsidRPr="004B4755" w:rsidRDefault="004B4755" w:rsidP="00213C54">
            <w:pPr>
              <w:jc w:val="both"/>
              <w:rPr>
                <w:bCs/>
                <w:sz w:val="22"/>
                <w:szCs w:val="22"/>
              </w:rPr>
            </w:pPr>
            <w:r w:rsidRPr="004B4755">
              <w:rPr>
                <w:bCs/>
                <w:sz w:val="22"/>
                <w:szCs w:val="22"/>
              </w:rPr>
              <w:t>Souhlas s vypořádáním.</w:t>
            </w:r>
          </w:p>
        </w:tc>
      </w:tr>
      <w:tr w:rsidR="00927873" w:rsidRPr="00E172A8" w:rsidTr="00BB7D1B">
        <w:trPr>
          <w:trHeight w:val="340"/>
        </w:trPr>
        <w:tc>
          <w:tcPr>
            <w:tcW w:w="2191" w:type="dxa"/>
            <w:tcBorders>
              <w:left w:val="single" w:sz="4" w:space="0" w:color="auto"/>
              <w:right w:val="single" w:sz="4" w:space="0" w:color="auto"/>
            </w:tcBorders>
            <w:shd w:val="clear" w:color="auto" w:fill="auto"/>
          </w:tcPr>
          <w:p w:rsidR="00927873" w:rsidRPr="00555320" w:rsidRDefault="00927873" w:rsidP="00927873">
            <w:pPr>
              <w:rPr>
                <w:b/>
                <w:sz w:val="22"/>
                <w:szCs w:val="22"/>
              </w:rPr>
            </w:pPr>
            <w:r w:rsidRPr="00555320">
              <w:rPr>
                <w:b/>
                <w:sz w:val="22"/>
                <w:szCs w:val="22"/>
              </w:rPr>
              <w:t>Ministerstvo životního prostředí</w:t>
            </w: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927873" w:rsidRDefault="00927873" w:rsidP="00571E9C">
            <w:pPr>
              <w:widowControl w:val="0"/>
              <w:autoSpaceDE w:val="0"/>
              <w:autoSpaceDN w:val="0"/>
              <w:adjustRightInd w:val="0"/>
              <w:jc w:val="both"/>
              <w:rPr>
                <w:b/>
                <w:sz w:val="22"/>
                <w:szCs w:val="22"/>
              </w:rPr>
            </w:pPr>
            <w:r w:rsidRPr="00E172A8">
              <w:rPr>
                <w:b/>
                <w:sz w:val="22"/>
                <w:szCs w:val="22"/>
              </w:rPr>
              <w:t>Zásadní připomínka:</w:t>
            </w:r>
          </w:p>
          <w:p w:rsidR="00927873" w:rsidRDefault="00927873" w:rsidP="00571E9C">
            <w:pPr>
              <w:widowControl w:val="0"/>
              <w:autoSpaceDE w:val="0"/>
              <w:autoSpaceDN w:val="0"/>
              <w:adjustRightInd w:val="0"/>
              <w:jc w:val="both"/>
              <w:rPr>
                <w:sz w:val="22"/>
                <w:szCs w:val="22"/>
              </w:rPr>
            </w:pPr>
          </w:p>
          <w:p w:rsidR="00927873" w:rsidRPr="00E172A8" w:rsidRDefault="00927873" w:rsidP="00571E9C">
            <w:pPr>
              <w:widowControl w:val="0"/>
              <w:autoSpaceDE w:val="0"/>
              <w:autoSpaceDN w:val="0"/>
              <w:adjustRightInd w:val="0"/>
              <w:jc w:val="both"/>
              <w:rPr>
                <w:sz w:val="22"/>
                <w:szCs w:val="22"/>
              </w:rPr>
            </w:pPr>
            <w:r w:rsidRPr="00E979EA">
              <w:rPr>
                <w:sz w:val="22"/>
                <w:szCs w:val="22"/>
              </w:rPr>
              <w:t>Vzhledem k možnosti výskytu kontaminace půd, staveb a podzemních vod provozem letiště žádáme, aby členem pracovní skupiny byl zástupce MŽP se zkušenostmi provádění průzkumů a analýz rizika ekologických zátěží.</w:t>
            </w:r>
          </w:p>
        </w:tc>
        <w:tc>
          <w:tcPr>
            <w:tcW w:w="6393" w:type="dxa"/>
            <w:tcBorders>
              <w:left w:val="single" w:sz="4" w:space="0" w:color="auto"/>
              <w:right w:val="single" w:sz="4" w:space="0" w:color="auto"/>
            </w:tcBorders>
            <w:shd w:val="clear" w:color="auto" w:fill="auto"/>
          </w:tcPr>
          <w:p w:rsidR="00927873" w:rsidRDefault="001463DB" w:rsidP="00927873">
            <w:pPr>
              <w:jc w:val="both"/>
              <w:rPr>
                <w:bCs/>
                <w:sz w:val="22"/>
                <w:szCs w:val="22"/>
              </w:rPr>
            </w:pPr>
            <w:r>
              <w:rPr>
                <w:bCs/>
                <w:sz w:val="22"/>
                <w:szCs w:val="22"/>
              </w:rPr>
              <w:t>Souhlasíme</w:t>
            </w:r>
            <w:r w:rsidR="00B225EF">
              <w:rPr>
                <w:bCs/>
                <w:sz w:val="22"/>
                <w:szCs w:val="22"/>
              </w:rPr>
              <w:t>. Doplněno v bodě II, odst. 2.</w:t>
            </w:r>
          </w:p>
          <w:p w:rsidR="00B225EF" w:rsidRDefault="00B225EF" w:rsidP="00927873">
            <w:pPr>
              <w:jc w:val="both"/>
              <w:rPr>
                <w:bCs/>
                <w:sz w:val="22"/>
                <w:szCs w:val="22"/>
              </w:rPr>
            </w:pPr>
          </w:p>
          <w:p w:rsidR="00213C54" w:rsidRPr="00213C54" w:rsidRDefault="00213C54" w:rsidP="00213C54">
            <w:pPr>
              <w:jc w:val="both"/>
              <w:rPr>
                <w:b/>
                <w:bCs/>
                <w:sz w:val="22"/>
                <w:szCs w:val="22"/>
              </w:rPr>
            </w:pPr>
            <w:r w:rsidRPr="00213C54">
              <w:rPr>
                <w:b/>
                <w:bCs/>
                <w:sz w:val="22"/>
                <w:szCs w:val="22"/>
              </w:rPr>
              <w:t>Vyjádření M</w:t>
            </w:r>
            <w:r>
              <w:rPr>
                <w:b/>
                <w:bCs/>
                <w:sz w:val="22"/>
                <w:szCs w:val="22"/>
              </w:rPr>
              <w:t>ŽP</w:t>
            </w:r>
            <w:r w:rsidRPr="00213C54">
              <w:rPr>
                <w:b/>
                <w:bCs/>
                <w:sz w:val="22"/>
                <w:szCs w:val="22"/>
              </w:rPr>
              <w:t xml:space="preserve"> k vypořádání:</w:t>
            </w:r>
          </w:p>
          <w:p w:rsidR="00213C54" w:rsidRDefault="00213C54" w:rsidP="00927873">
            <w:pPr>
              <w:jc w:val="both"/>
              <w:rPr>
                <w:bCs/>
                <w:sz w:val="22"/>
                <w:szCs w:val="22"/>
              </w:rPr>
            </w:pPr>
            <w:r w:rsidRPr="00213C54">
              <w:rPr>
                <w:bCs/>
                <w:sz w:val="22"/>
                <w:szCs w:val="22"/>
              </w:rPr>
              <w:t>Souhlas s vypořádáním.</w:t>
            </w:r>
          </w:p>
          <w:p w:rsidR="00B225EF" w:rsidRDefault="00B225EF" w:rsidP="00927873">
            <w:pPr>
              <w:jc w:val="both"/>
              <w:rPr>
                <w:bCs/>
                <w:sz w:val="22"/>
                <w:szCs w:val="22"/>
              </w:rPr>
            </w:pPr>
          </w:p>
          <w:p w:rsidR="00B225EF" w:rsidRPr="00E172A8" w:rsidRDefault="00B225EF" w:rsidP="00927873">
            <w:pPr>
              <w:jc w:val="both"/>
              <w:rPr>
                <w:bCs/>
                <w:sz w:val="22"/>
                <w:szCs w:val="22"/>
              </w:rPr>
            </w:pPr>
          </w:p>
        </w:tc>
      </w:tr>
      <w:tr w:rsidR="00927873" w:rsidRPr="00E172A8" w:rsidTr="00BB7D1B">
        <w:trPr>
          <w:trHeight w:val="340"/>
        </w:trPr>
        <w:tc>
          <w:tcPr>
            <w:tcW w:w="2191" w:type="dxa"/>
            <w:tcBorders>
              <w:left w:val="single" w:sz="4" w:space="0" w:color="auto"/>
              <w:right w:val="single" w:sz="4" w:space="0" w:color="auto"/>
            </w:tcBorders>
            <w:shd w:val="clear" w:color="auto" w:fill="auto"/>
          </w:tcPr>
          <w:p w:rsidR="00927873" w:rsidRPr="00555320" w:rsidRDefault="00927873" w:rsidP="00927873">
            <w:pPr>
              <w:rPr>
                <w:b/>
                <w:sz w:val="22"/>
                <w:szCs w:val="22"/>
              </w:rPr>
            </w:pPr>
            <w:r w:rsidRPr="00555320">
              <w:rPr>
                <w:b/>
                <w:sz w:val="22"/>
                <w:szCs w:val="22"/>
              </w:rPr>
              <w:t>Ministerstvo dopravy</w:t>
            </w: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927873" w:rsidRDefault="00927873" w:rsidP="00571E9C">
            <w:pPr>
              <w:pStyle w:val="Hlavikajnadpis"/>
              <w:spacing w:before="120" w:after="120"/>
              <w:rPr>
                <w:rFonts w:cs="Arial"/>
                <w:b/>
                <w:sz w:val="22"/>
                <w:szCs w:val="22"/>
              </w:rPr>
            </w:pPr>
            <w:r>
              <w:rPr>
                <w:rFonts w:cs="Arial"/>
                <w:b/>
                <w:sz w:val="22"/>
                <w:szCs w:val="22"/>
              </w:rPr>
              <w:t>Doporučující připomínky:</w:t>
            </w:r>
          </w:p>
          <w:p w:rsidR="00927873" w:rsidRPr="00E979EA" w:rsidRDefault="00927873" w:rsidP="00571E9C">
            <w:pPr>
              <w:spacing w:before="200"/>
              <w:jc w:val="both"/>
              <w:rPr>
                <w:sz w:val="22"/>
                <w:szCs w:val="22"/>
              </w:rPr>
            </w:pPr>
            <w:r w:rsidRPr="00E979EA">
              <w:rPr>
                <w:sz w:val="22"/>
                <w:szCs w:val="22"/>
              </w:rPr>
              <w:t xml:space="preserve">Zaslaný podklad k připomínkám neobsahuje konkrétní materiál, ale pouze průvodní dopis, obálku, usnesení a předkládací zprávu. </w:t>
            </w:r>
          </w:p>
          <w:p w:rsidR="00927873" w:rsidRPr="00E979EA" w:rsidRDefault="00927873" w:rsidP="00571E9C">
            <w:pPr>
              <w:spacing w:before="200"/>
              <w:jc w:val="both"/>
              <w:rPr>
                <w:sz w:val="22"/>
                <w:szCs w:val="22"/>
              </w:rPr>
            </w:pPr>
            <w:r w:rsidRPr="00E979EA">
              <w:rPr>
                <w:sz w:val="22"/>
                <w:szCs w:val="22"/>
              </w:rPr>
              <w:t xml:space="preserve">V předkládací zprávě jsou informace o nutnosti zajistit dopravní infrastrukturu (silniční, železniční) na vzniklý podnikatelský park, ale dále není konkretizován její rozsah. </w:t>
            </w:r>
          </w:p>
          <w:p w:rsidR="00927873" w:rsidRPr="00E172A8" w:rsidRDefault="00927873" w:rsidP="00571E9C">
            <w:pPr>
              <w:spacing w:before="200"/>
              <w:jc w:val="both"/>
              <w:rPr>
                <w:sz w:val="22"/>
                <w:szCs w:val="22"/>
              </w:rPr>
            </w:pPr>
            <w:r w:rsidRPr="00E979EA">
              <w:rPr>
                <w:sz w:val="22"/>
                <w:szCs w:val="22"/>
              </w:rPr>
              <w:t>Ministerstvo dopravy ČR se ze záměrem uvedeným v předkládací zprávě ztotožňuje, nicméně v tuto chvíli nemůžeme k materiálu vzhledem k jeho neúplnosti zaujmout kvalifikované stanovisko a předpokládáme, že s konkrétním materiálem budeme v nejbližší době seznámeni. Následně bude Ministerstvo dopravy ČR připraveno poskytnout veškerou součinnost v rámci své agendy, která bude v dané věci potřebná.</w:t>
            </w:r>
          </w:p>
        </w:tc>
        <w:tc>
          <w:tcPr>
            <w:tcW w:w="6393" w:type="dxa"/>
            <w:tcBorders>
              <w:left w:val="single" w:sz="4" w:space="0" w:color="auto"/>
              <w:right w:val="single" w:sz="4" w:space="0" w:color="auto"/>
            </w:tcBorders>
            <w:shd w:val="clear" w:color="auto" w:fill="auto"/>
          </w:tcPr>
          <w:p w:rsidR="00927873" w:rsidRPr="00E172A8" w:rsidRDefault="00B225EF" w:rsidP="00927873">
            <w:pPr>
              <w:jc w:val="both"/>
              <w:rPr>
                <w:bCs/>
                <w:sz w:val="22"/>
                <w:szCs w:val="22"/>
              </w:rPr>
            </w:pPr>
            <w:r>
              <w:rPr>
                <w:bCs/>
                <w:sz w:val="22"/>
                <w:szCs w:val="22"/>
              </w:rPr>
              <w:t xml:space="preserve">Bereme na vědomí. Přesný rozsah bude stanoven až na základě vyhotovených studií. </w:t>
            </w:r>
            <w:r w:rsidR="001F2AE0">
              <w:rPr>
                <w:bCs/>
                <w:sz w:val="22"/>
                <w:szCs w:val="22"/>
              </w:rPr>
              <w:t>MD bude zapojeno v rámci širší pracovní skupiny.</w:t>
            </w:r>
          </w:p>
        </w:tc>
      </w:tr>
      <w:tr w:rsidR="00E41D3B" w:rsidRPr="00E172A8" w:rsidTr="004F7C11">
        <w:trPr>
          <w:trHeight w:val="340"/>
        </w:trPr>
        <w:tc>
          <w:tcPr>
            <w:tcW w:w="2191" w:type="dxa"/>
            <w:tcBorders>
              <w:left w:val="single" w:sz="4" w:space="0" w:color="auto"/>
              <w:right w:val="single" w:sz="4" w:space="0" w:color="auto"/>
            </w:tcBorders>
            <w:shd w:val="clear" w:color="auto" w:fill="auto"/>
          </w:tcPr>
          <w:p w:rsidR="00E41D3B" w:rsidRPr="0057196C" w:rsidRDefault="0057196C" w:rsidP="00E41D3B">
            <w:pPr>
              <w:rPr>
                <w:sz w:val="22"/>
              </w:rPr>
            </w:pPr>
            <w:r w:rsidRPr="0057196C">
              <w:rPr>
                <w:b/>
                <w:bCs/>
                <w:sz w:val="22"/>
              </w:rPr>
              <w:t>Úřad vlády ČR – Ministr</w:t>
            </w:r>
            <w:r>
              <w:rPr>
                <w:b/>
                <w:bCs/>
                <w:sz w:val="22"/>
              </w:rPr>
              <w:t xml:space="preserve"> pro legislativu</w:t>
            </w:r>
            <w:r w:rsidRPr="0057196C">
              <w:rPr>
                <w:b/>
                <w:bCs/>
                <w:sz w:val="22"/>
              </w:rPr>
              <w:t xml:space="preserve"> a předseda Legislativní rady vlády</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E41D3B" w:rsidRDefault="00E41D3B" w:rsidP="0057196C">
            <w:pPr>
              <w:widowControl w:val="0"/>
              <w:autoSpaceDE w:val="0"/>
              <w:autoSpaceDN w:val="0"/>
              <w:adjustRightInd w:val="0"/>
              <w:jc w:val="both"/>
              <w:rPr>
                <w:b/>
                <w:sz w:val="22"/>
                <w:szCs w:val="22"/>
              </w:rPr>
            </w:pPr>
            <w:r w:rsidRPr="00E41D3B">
              <w:rPr>
                <w:b/>
                <w:sz w:val="22"/>
                <w:szCs w:val="22"/>
              </w:rPr>
              <w:t>Zásadní připomínka č. 1:</w:t>
            </w:r>
          </w:p>
          <w:p w:rsidR="0057196C" w:rsidRPr="00E41D3B" w:rsidRDefault="0057196C" w:rsidP="0057196C">
            <w:pPr>
              <w:widowControl w:val="0"/>
              <w:autoSpaceDE w:val="0"/>
              <w:autoSpaceDN w:val="0"/>
              <w:adjustRightInd w:val="0"/>
              <w:jc w:val="both"/>
              <w:rPr>
                <w:b/>
                <w:sz w:val="22"/>
                <w:szCs w:val="22"/>
              </w:rPr>
            </w:pPr>
          </w:p>
          <w:p w:rsidR="00E41D3B" w:rsidRPr="00E41D3B" w:rsidRDefault="00E41D3B" w:rsidP="0057196C">
            <w:pPr>
              <w:jc w:val="both"/>
              <w:rPr>
                <w:sz w:val="22"/>
                <w:szCs w:val="22"/>
              </w:rPr>
            </w:pPr>
            <w:r w:rsidRPr="00E41D3B">
              <w:rPr>
                <w:color w:val="000000"/>
                <w:sz w:val="22"/>
                <w:szCs w:val="22"/>
              </w:rPr>
              <w:t>V tabulce Předpokládaných nákladů zahrnuté do předkládací zprávy je položka “Nezbytné investice do zdravotní, vzdělávací a sociální infrastruktury”, ale chybí náznak plánu, jak negativním dopadům předcházet, jak je omezovat, nebo případně kompenzovat. Podcenění těchto faktorů by však v konečném důsledku mohlo vést ke zdržení záměru, dramatickému navýšení nákladů, nebo i zastavení realizace. </w:t>
            </w:r>
          </w:p>
          <w:p w:rsidR="00E41D3B" w:rsidRPr="00E41D3B" w:rsidRDefault="00E41D3B" w:rsidP="0057196C">
            <w:pPr>
              <w:jc w:val="both"/>
              <w:rPr>
                <w:sz w:val="22"/>
                <w:szCs w:val="22"/>
              </w:rPr>
            </w:pPr>
            <w:r w:rsidRPr="00E41D3B">
              <w:rPr>
                <w:color w:val="000000"/>
                <w:sz w:val="22"/>
                <w:szCs w:val="22"/>
              </w:rPr>
              <w:t>Návrh by měl proto obsahovat jasný závazek, že vláda a kraj vyvinou maximální úsilí k předcházení a kompenzaci negativních dopadů. Budou-li k dispozici varianty řešení, zvolí tu, která způsobí nejmenší újmu, i kdyby měla být nákladnější.</w:t>
            </w:r>
          </w:p>
          <w:p w:rsidR="00E41D3B" w:rsidRPr="00E41D3B" w:rsidRDefault="00E41D3B" w:rsidP="0057196C">
            <w:pPr>
              <w:widowControl w:val="0"/>
              <w:autoSpaceDE w:val="0"/>
              <w:autoSpaceDN w:val="0"/>
              <w:adjustRightInd w:val="0"/>
              <w:jc w:val="both"/>
              <w:rPr>
                <w:sz w:val="22"/>
                <w:szCs w:val="22"/>
              </w:rPr>
            </w:pPr>
          </w:p>
          <w:p w:rsidR="00E41D3B" w:rsidRDefault="0057196C" w:rsidP="0057196C">
            <w:pPr>
              <w:jc w:val="both"/>
              <w:rPr>
                <w:b/>
                <w:bCs/>
                <w:color w:val="000000"/>
                <w:sz w:val="22"/>
                <w:szCs w:val="22"/>
              </w:rPr>
            </w:pPr>
            <w:r w:rsidRPr="00E41D3B">
              <w:rPr>
                <w:b/>
                <w:sz w:val="22"/>
                <w:szCs w:val="22"/>
              </w:rPr>
              <w:t>Zásadní při</w:t>
            </w:r>
            <w:r w:rsidRPr="0057196C">
              <w:rPr>
                <w:b/>
                <w:sz w:val="22"/>
                <w:szCs w:val="22"/>
              </w:rPr>
              <w:t>pomínka</w:t>
            </w:r>
            <w:r w:rsidRPr="0057196C">
              <w:rPr>
                <w:b/>
                <w:bCs/>
                <w:color w:val="000000"/>
                <w:sz w:val="22"/>
                <w:szCs w:val="22"/>
              </w:rPr>
              <w:t xml:space="preserve"> </w:t>
            </w:r>
            <w:r w:rsidR="00E41D3B" w:rsidRPr="0057196C">
              <w:rPr>
                <w:b/>
                <w:bCs/>
                <w:color w:val="000000"/>
                <w:sz w:val="22"/>
                <w:szCs w:val="22"/>
              </w:rPr>
              <w:t>č. 2</w:t>
            </w:r>
            <w:r>
              <w:rPr>
                <w:b/>
                <w:bCs/>
                <w:color w:val="000000"/>
                <w:sz w:val="22"/>
                <w:szCs w:val="22"/>
              </w:rPr>
              <w:t>:</w:t>
            </w:r>
          </w:p>
          <w:p w:rsidR="0057196C" w:rsidRPr="00E41D3B" w:rsidRDefault="0057196C" w:rsidP="0057196C">
            <w:pPr>
              <w:jc w:val="both"/>
              <w:rPr>
                <w:sz w:val="22"/>
                <w:szCs w:val="22"/>
              </w:rPr>
            </w:pPr>
          </w:p>
          <w:p w:rsidR="00E41D3B" w:rsidRPr="00E41D3B" w:rsidRDefault="00E41D3B" w:rsidP="0057196C">
            <w:pPr>
              <w:jc w:val="both"/>
              <w:rPr>
                <w:sz w:val="22"/>
                <w:szCs w:val="22"/>
              </w:rPr>
            </w:pPr>
            <w:r w:rsidRPr="00E41D3B">
              <w:rPr>
                <w:color w:val="000000"/>
                <w:sz w:val="22"/>
                <w:szCs w:val="22"/>
              </w:rPr>
              <w:t>Závazek by se měl vztahovat i na rychlé vybudování chybějící infrastruktury v okolních obcích, jako školy, školky, komunikace, sítě, služby, a v neposlední řadě i adekvátního bydlení pro budoucí zaměstnance. To by stát mohl požadovat i po budoucích investorech jako podmínku spolupráce.</w:t>
            </w:r>
          </w:p>
          <w:p w:rsidR="00E41D3B" w:rsidRPr="00E41D3B" w:rsidRDefault="00E41D3B" w:rsidP="0057196C">
            <w:pPr>
              <w:jc w:val="both"/>
              <w:rPr>
                <w:sz w:val="22"/>
                <w:szCs w:val="22"/>
              </w:rPr>
            </w:pPr>
          </w:p>
          <w:p w:rsidR="00E41D3B" w:rsidRDefault="0057196C" w:rsidP="0057196C">
            <w:pPr>
              <w:jc w:val="both"/>
              <w:rPr>
                <w:b/>
                <w:bCs/>
                <w:color w:val="000000"/>
                <w:sz w:val="22"/>
                <w:szCs w:val="22"/>
                <w:u w:val="single"/>
              </w:rPr>
            </w:pPr>
            <w:r w:rsidRPr="00E41D3B">
              <w:rPr>
                <w:b/>
                <w:sz w:val="22"/>
                <w:szCs w:val="22"/>
              </w:rPr>
              <w:t>Zásadní připom</w:t>
            </w:r>
            <w:r w:rsidRPr="0057196C">
              <w:rPr>
                <w:b/>
                <w:sz w:val="22"/>
                <w:szCs w:val="22"/>
              </w:rPr>
              <w:t>ínka</w:t>
            </w:r>
            <w:r w:rsidRPr="0057196C">
              <w:rPr>
                <w:b/>
                <w:bCs/>
                <w:color w:val="000000"/>
                <w:sz w:val="22"/>
                <w:szCs w:val="22"/>
              </w:rPr>
              <w:t xml:space="preserve"> </w:t>
            </w:r>
            <w:r w:rsidR="00E41D3B" w:rsidRPr="0057196C">
              <w:rPr>
                <w:b/>
                <w:bCs/>
                <w:color w:val="000000"/>
                <w:sz w:val="22"/>
                <w:szCs w:val="22"/>
              </w:rPr>
              <w:t>č. 3</w:t>
            </w:r>
          </w:p>
          <w:p w:rsidR="0057196C" w:rsidRPr="00E41D3B" w:rsidRDefault="0057196C" w:rsidP="0057196C">
            <w:pPr>
              <w:jc w:val="both"/>
              <w:rPr>
                <w:sz w:val="22"/>
                <w:szCs w:val="22"/>
              </w:rPr>
            </w:pPr>
          </w:p>
          <w:p w:rsidR="00E41D3B" w:rsidRPr="00E41D3B" w:rsidRDefault="00E41D3B" w:rsidP="0057196C">
            <w:pPr>
              <w:jc w:val="both"/>
              <w:rPr>
                <w:sz w:val="22"/>
                <w:szCs w:val="22"/>
              </w:rPr>
            </w:pPr>
            <w:r w:rsidRPr="00E41D3B">
              <w:rPr>
                <w:color w:val="000000"/>
                <w:sz w:val="22"/>
                <w:szCs w:val="22"/>
              </w:rPr>
              <w:t>Návrh by měl též přislíbit, že rozvoj lokality bude probíhat s důrazem na ochranu životního prostředí, zachování biotopů a přírodních hodnot v maximální míře a s využitím moderních postupů přátelských k přírodě, jako např. vsakování dešťových vod, zelené střechy, pasivní technologie, atd.</w:t>
            </w:r>
          </w:p>
          <w:p w:rsidR="00E41D3B" w:rsidRPr="00E41D3B" w:rsidRDefault="00E41D3B" w:rsidP="0057196C">
            <w:pPr>
              <w:jc w:val="both"/>
              <w:rPr>
                <w:sz w:val="22"/>
                <w:szCs w:val="22"/>
              </w:rPr>
            </w:pPr>
          </w:p>
          <w:p w:rsidR="00E41D3B" w:rsidRDefault="0057196C" w:rsidP="0057196C">
            <w:pPr>
              <w:jc w:val="both"/>
              <w:rPr>
                <w:b/>
                <w:bCs/>
                <w:color w:val="000000"/>
                <w:sz w:val="22"/>
                <w:szCs w:val="22"/>
              </w:rPr>
            </w:pPr>
            <w:r w:rsidRPr="0057196C">
              <w:rPr>
                <w:b/>
                <w:sz w:val="22"/>
                <w:szCs w:val="22"/>
              </w:rPr>
              <w:t>Zásadní připomínka</w:t>
            </w:r>
            <w:r w:rsidRPr="0057196C">
              <w:rPr>
                <w:b/>
                <w:bCs/>
                <w:color w:val="000000"/>
                <w:sz w:val="22"/>
                <w:szCs w:val="22"/>
              </w:rPr>
              <w:t xml:space="preserve"> </w:t>
            </w:r>
            <w:r w:rsidR="00E41D3B" w:rsidRPr="0057196C">
              <w:rPr>
                <w:b/>
                <w:bCs/>
                <w:color w:val="000000"/>
                <w:sz w:val="22"/>
                <w:szCs w:val="22"/>
              </w:rPr>
              <w:t>č. 4</w:t>
            </w:r>
            <w:r>
              <w:rPr>
                <w:b/>
                <w:bCs/>
                <w:color w:val="000000"/>
                <w:sz w:val="22"/>
                <w:szCs w:val="22"/>
              </w:rPr>
              <w:t>:</w:t>
            </w:r>
          </w:p>
          <w:p w:rsidR="0057196C" w:rsidRPr="0057196C" w:rsidRDefault="0057196C" w:rsidP="0057196C">
            <w:pPr>
              <w:jc w:val="both"/>
              <w:rPr>
                <w:sz w:val="22"/>
                <w:szCs w:val="22"/>
              </w:rPr>
            </w:pPr>
          </w:p>
          <w:p w:rsidR="00E41D3B" w:rsidRPr="00E41D3B" w:rsidRDefault="00E41D3B" w:rsidP="0057196C">
            <w:pPr>
              <w:jc w:val="both"/>
              <w:rPr>
                <w:sz w:val="22"/>
                <w:szCs w:val="22"/>
              </w:rPr>
            </w:pPr>
            <w:r w:rsidRPr="00E41D3B">
              <w:rPr>
                <w:color w:val="000000"/>
                <w:sz w:val="22"/>
                <w:szCs w:val="22"/>
              </w:rPr>
              <w:t>Obsažen by měl být i závazek vyvinout mechanismus pro umístění provozů s vyšší přidanou hodnotou, případně příslib zavedení kvalifikačních kritérií pro budoucí zájemce.</w:t>
            </w:r>
          </w:p>
          <w:p w:rsidR="00E41D3B" w:rsidRPr="00E41D3B" w:rsidRDefault="00E41D3B" w:rsidP="0057196C">
            <w:pPr>
              <w:jc w:val="both"/>
              <w:rPr>
                <w:sz w:val="22"/>
                <w:szCs w:val="22"/>
              </w:rPr>
            </w:pPr>
          </w:p>
          <w:p w:rsidR="00E41D3B" w:rsidRPr="0057196C" w:rsidRDefault="0057196C" w:rsidP="0057196C">
            <w:pPr>
              <w:jc w:val="both"/>
              <w:rPr>
                <w:b/>
                <w:bCs/>
                <w:color w:val="000000"/>
                <w:sz w:val="22"/>
                <w:szCs w:val="22"/>
              </w:rPr>
            </w:pPr>
            <w:r w:rsidRPr="0057196C">
              <w:rPr>
                <w:b/>
                <w:bCs/>
                <w:color w:val="000000"/>
                <w:sz w:val="22"/>
                <w:szCs w:val="22"/>
              </w:rPr>
              <w:t>Doporučující p</w:t>
            </w:r>
            <w:r w:rsidR="00E41D3B" w:rsidRPr="0057196C">
              <w:rPr>
                <w:b/>
                <w:bCs/>
                <w:color w:val="000000"/>
                <w:sz w:val="22"/>
                <w:szCs w:val="22"/>
              </w:rPr>
              <w:t xml:space="preserve">řipomínka č. </w:t>
            </w:r>
            <w:r w:rsidRPr="0057196C">
              <w:rPr>
                <w:b/>
                <w:bCs/>
                <w:color w:val="000000"/>
                <w:sz w:val="22"/>
                <w:szCs w:val="22"/>
              </w:rPr>
              <w:t>1</w:t>
            </w:r>
            <w:r>
              <w:rPr>
                <w:b/>
                <w:bCs/>
                <w:color w:val="000000"/>
                <w:sz w:val="22"/>
                <w:szCs w:val="22"/>
              </w:rPr>
              <w:t>:</w:t>
            </w:r>
          </w:p>
          <w:p w:rsidR="0057196C" w:rsidRPr="00E41D3B" w:rsidRDefault="0057196C" w:rsidP="0057196C">
            <w:pPr>
              <w:jc w:val="both"/>
              <w:rPr>
                <w:sz w:val="22"/>
                <w:szCs w:val="22"/>
              </w:rPr>
            </w:pPr>
          </w:p>
          <w:p w:rsidR="00E41D3B" w:rsidRPr="00E41D3B" w:rsidRDefault="00E41D3B" w:rsidP="0057196C">
            <w:pPr>
              <w:jc w:val="both"/>
              <w:rPr>
                <w:sz w:val="22"/>
                <w:szCs w:val="22"/>
              </w:rPr>
            </w:pPr>
            <w:r w:rsidRPr="00E41D3B">
              <w:rPr>
                <w:color w:val="000000"/>
                <w:sz w:val="22"/>
                <w:szCs w:val="22"/>
              </w:rPr>
              <w:t>Vzhledem k deklarovanému záměru “Zabránění pokračujícímu záboru převážně zemědělské půdy” by tato iniciativa měla být vyvážena opatřeními na omezení výstavby na “zelené louce” v jiných částech regionu. Zatím není jasné, jak tohoto cíle hodlá předkladatel dosáhnout. V konkrétním případě obce Nová Ves by mohl být řešením závazek prověřit přemístění plánovaného sjezdu a příjezdové komunikace dále od obydlené části.</w:t>
            </w:r>
          </w:p>
          <w:p w:rsidR="00E41D3B" w:rsidRPr="00E41D3B" w:rsidRDefault="00E41D3B" w:rsidP="0057196C">
            <w:pPr>
              <w:jc w:val="both"/>
              <w:rPr>
                <w:sz w:val="22"/>
                <w:szCs w:val="22"/>
              </w:rPr>
            </w:pPr>
          </w:p>
          <w:p w:rsidR="00E41D3B" w:rsidRPr="0057196C" w:rsidRDefault="0057196C" w:rsidP="0057196C">
            <w:pPr>
              <w:jc w:val="both"/>
              <w:rPr>
                <w:b/>
                <w:bCs/>
                <w:color w:val="000000"/>
                <w:sz w:val="22"/>
                <w:szCs w:val="22"/>
              </w:rPr>
            </w:pPr>
            <w:r w:rsidRPr="0057196C">
              <w:rPr>
                <w:b/>
                <w:sz w:val="22"/>
                <w:szCs w:val="22"/>
              </w:rPr>
              <w:t>Zásadní připomínka</w:t>
            </w:r>
            <w:r w:rsidRPr="0057196C">
              <w:rPr>
                <w:b/>
                <w:bCs/>
                <w:color w:val="000000"/>
                <w:sz w:val="22"/>
                <w:szCs w:val="22"/>
              </w:rPr>
              <w:t xml:space="preserve"> </w:t>
            </w:r>
            <w:r w:rsidR="00E41D3B" w:rsidRPr="0057196C">
              <w:rPr>
                <w:b/>
                <w:bCs/>
                <w:color w:val="000000"/>
                <w:sz w:val="22"/>
                <w:szCs w:val="22"/>
              </w:rPr>
              <w:t>č. 6</w:t>
            </w:r>
            <w:r>
              <w:rPr>
                <w:b/>
                <w:bCs/>
                <w:color w:val="000000"/>
                <w:sz w:val="22"/>
                <w:szCs w:val="22"/>
              </w:rPr>
              <w:t>:</w:t>
            </w:r>
          </w:p>
          <w:p w:rsidR="0057196C" w:rsidRPr="00E41D3B" w:rsidRDefault="0057196C" w:rsidP="0057196C">
            <w:pPr>
              <w:jc w:val="both"/>
              <w:rPr>
                <w:sz w:val="22"/>
                <w:szCs w:val="22"/>
              </w:rPr>
            </w:pPr>
          </w:p>
          <w:p w:rsidR="00E41D3B" w:rsidRPr="00E41D3B" w:rsidRDefault="00E41D3B" w:rsidP="0057196C">
            <w:pPr>
              <w:jc w:val="both"/>
              <w:rPr>
                <w:sz w:val="22"/>
                <w:szCs w:val="22"/>
              </w:rPr>
            </w:pPr>
            <w:r w:rsidRPr="00E41D3B">
              <w:rPr>
                <w:color w:val="000000"/>
                <w:sz w:val="22"/>
                <w:szCs w:val="22"/>
              </w:rPr>
              <w:t>Aby došlo ke komplexnímu vyvážení všech výše uvedených hledisek, měly by mezi  explicitně vyjmenované nositele projektu být zahrnuty i resorty Životního prostředí a Místního rozvoje.</w:t>
            </w:r>
          </w:p>
          <w:p w:rsidR="00E41D3B" w:rsidRPr="00E41D3B" w:rsidRDefault="00E41D3B" w:rsidP="0057196C">
            <w:pPr>
              <w:widowControl w:val="0"/>
              <w:autoSpaceDE w:val="0"/>
              <w:autoSpaceDN w:val="0"/>
              <w:adjustRightInd w:val="0"/>
              <w:jc w:val="both"/>
              <w:rPr>
                <w:sz w:val="22"/>
                <w:szCs w:val="22"/>
              </w:rPr>
            </w:pPr>
          </w:p>
        </w:tc>
        <w:tc>
          <w:tcPr>
            <w:tcW w:w="6393" w:type="dxa"/>
            <w:tcBorders>
              <w:left w:val="single" w:sz="4" w:space="0" w:color="auto"/>
              <w:right w:val="single" w:sz="4" w:space="0" w:color="auto"/>
            </w:tcBorders>
            <w:shd w:val="clear" w:color="auto" w:fill="auto"/>
          </w:tcPr>
          <w:p w:rsidR="0057196C" w:rsidRDefault="0057196C" w:rsidP="0057196C">
            <w:pPr>
              <w:jc w:val="both"/>
              <w:rPr>
                <w:bCs/>
                <w:sz w:val="22"/>
                <w:szCs w:val="22"/>
              </w:rPr>
            </w:pPr>
            <w:r>
              <w:rPr>
                <w:bCs/>
                <w:sz w:val="22"/>
                <w:szCs w:val="22"/>
              </w:rPr>
              <w:t xml:space="preserve">Zásadní připomínky 1-4 a 6. Souhrnně k zásadním připomínkám si dovolujeme poskytnout následující vysvětlení. </w:t>
            </w:r>
          </w:p>
          <w:p w:rsidR="0057196C" w:rsidRDefault="0057196C" w:rsidP="0057196C">
            <w:pPr>
              <w:jc w:val="both"/>
              <w:rPr>
                <w:bCs/>
                <w:sz w:val="22"/>
                <w:szCs w:val="22"/>
              </w:rPr>
            </w:pPr>
          </w:p>
          <w:p w:rsidR="0057196C" w:rsidRDefault="0057196C" w:rsidP="0057196C">
            <w:pPr>
              <w:jc w:val="both"/>
              <w:rPr>
                <w:bCs/>
                <w:sz w:val="22"/>
                <w:szCs w:val="22"/>
              </w:rPr>
            </w:pPr>
            <w:r>
              <w:rPr>
                <w:bCs/>
                <w:sz w:val="22"/>
                <w:szCs w:val="22"/>
              </w:rPr>
              <w:t>Jedná se o prvotní indikativní materiál,</w:t>
            </w:r>
            <w:r w:rsidRPr="00EF1312">
              <w:rPr>
                <w:b/>
                <w:bCs/>
                <w:sz w:val="22"/>
                <w:szCs w:val="22"/>
              </w:rPr>
              <w:t xml:space="preserve"> kterým vláda dává najevo vůli řešit tento rozsáhlý projekt s předpokládanými výdaji až 9 mld. Kč z veřejných rozpočtů.</w:t>
            </w:r>
          </w:p>
          <w:p w:rsidR="0057196C" w:rsidRDefault="0057196C" w:rsidP="0057196C">
            <w:pPr>
              <w:jc w:val="both"/>
              <w:rPr>
                <w:bCs/>
                <w:sz w:val="22"/>
                <w:szCs w:val="22"/>
              </w:rPr>
            </w:pPr>
          </w:p>
          <w:p w:rsidR="0057196C" w:rsidRDefault="0057196C" w:rsidP="0057196C">
            <w:pPr>
              <w:jc w:val="both"/>
              <w:rPr>
                <w:bCs/>
                <w:sz w:val="22"/>
                <w:szCs w:val="22"/>
              </w:rPr>
            </w:pPr>
            <w:r w:rsidRPr="00EF1312">
              <w:rPr>
                <w:b/>
                <w:bCs/>
                <w:sz w:val="22"/>
                <w:szCs w:val="22"/>
              </w:rPr>
              <w:t>Hlavním smyslem materiálu je dát signál kraji, aby zahájil nezbytnou přípravu projektu a studií proveditelnosti, a hlavně dát jasný politický signál potenciálním investorům</w:t>
            </w:r>
            <w:r>
              <w:rPr>
                <w:bCs/>
                <w:sz w:val="22"/>
                <w:szCs w:val="22"/>
              </w:rPr>
              <w:t>, že je ČR připravena investovat v budoucnu do potřebné infrastruktury tak, aby technologičtí investoři mohli rovněž zahájit investiční akci v hodn</w:t>
            </w:r>
            <w:r w:rsidRPr="009D0910">
              <w:rPr>
                <w:b/>
                <w:bCs/>
                <w:sz w:val="22"/>
                <w:szCs w:val="22"/>
              </w:rPr>
              <w:t>otě cca 150+ mld. Kč</w:t>
            </w:r>
            <w:r>
              <w:rPr>
                <w:bCs/>
                <w:sz w:val="22"/>
                <w:szCs w:val="22"/>
              </w:rPr>
              <w:t xml:space="preserve">. Tento signál je nezbytné dát do konce července, kdy dojde následně k rozhodnutí soukromé investice. </w:t>
            </w:r>
            <w:r w:rsidRPr="00EF1312">
              <w:rPr>
                <w:b/>
                <w:bCs/>
                <w:sz w:val="22"/>
                <w:szCs w:val="22"/>
              </w:rPr>
              <w:t>V případě, že signál nezazní, bude soukromý projekt ztracen</w:t>
            </w:r>
            <w:r>
              <w:rPr>
                <w:bCs/>
                <w:sz w:val="22"/>
                <w:szCs w:val="22"/>
              </w:rPr>
              <w:t>.</w:t>
            </w:r>
          </w:p>
          <w:p w:rsidR="0057196C" w:rsidRDefault="0057196C" w:rsidP="0057196C">
            <w:pPr>
              <w:jc w:val="both"/>
              <w:rPr>
                <w:bCs/>
                <w:sz w:val="22"/>
                <w:szCs w:val="22"/>
              </w:rPr>
            </w:pPr>
            <w:r>
              <w:rPr>
                <w:bCs/>
                <w:sz w:val="22"/>
                <w:szCs w:val="22"/>
              </w:rPr>
              <w:t>Smyslem materiálu tak není podat komplexní informace a závazky k přípravě lokality, které budou předmětem navazujících materiálů a usnesení vlády.</w:t>
            </w:r>
          </w:p>
          <w:p w:rsidR="0057196C" w:rsidRDefault="0057196C" w:rsidP="0057196C">
            <w:pPr>
              <w:jc w:val="both"/>
              <w:rPr>
                <w:bCs/>
                <w:sz w:val="22"/>
                <w:szCs w:val="22"/>
              </w:rPr>
            </w:pPr>
          </w:p>
          <w:p w:rsidR="0057196C" w:rsidRDefault="0057196C" w:rsidP="0057196C">
            <w:pPr>
              <w:jc w:val="both"/>
              <w:rPr>
                <w:bCs/>
                <w:sz w:val="22"/>
                <w:szCs w:val="22"/>
              </w:rPr>
            </w:pPr>
            <w:r>
              <w:rPr>
                <w:bCs/>
                <w:sz w:val="22"/>
                <w:szCs w:val="22"/>
              </w:rPr>
              <w:t>Dovolujeme si informovat a se zavázat, že budoucí materiály a způsob řešení lokality bude plně odpovídat požadavkům ve Vašich zásadních připomínkách, tzn., bude pamatováno a bude připravena studie veškerých dopadů projektu a potřebných investic, bude připravena studie na veškerou občanskou vybavenost, dopadů na životní prostředí a ochrany biotopů, hospodaření s vodou apod.</w:t>
            </w:r>
          </w:p>
          <w:p w:rsidR="0057196C" w:rsidRDefault="0057196C" w:rsidP="0057196C">
            <w:pPr>
              <w:jc w:val="both"/>
              <w:rPr>
                <w:bCs/>
                <w:sz w:val="22"/>
                <w:szCs w:val="22"/>
              </w:rPr>
            </w:pPr>
          </w:p>
          <w:p w:rsidR="0057196C" w:rsidRDefault="0057196C" w:rsidP="0057196C">
            <w:pPr>
              <w:jc w:val="both"/>
              <w:rPr>
                <w:bCs/>
                <w:sz w:val="22"/>
                <w:szCs w:val="22"/>
              </w:rPr>
            </w:pPr>
            <w:r>
              <w:rPr>
                <w:bCs/>
                <w:sz w:val="22"/>
                <w:szCs w:val="22"/>
              </w:rPr>
              <w:t>Nositelé projektu a další resorty budou rozšiřováni na základě identifikování budoucích oblastí, které bude nutné řešit v rámci dalších fází projektu.</w:t>
            </w:r>
          </w:p>
          <w:p w:rsidR="0057196C" w:rsidRDefault="0057196C" w:rsidP="0057196C">
            <w:pPr>
              <w:jc w:val="both"/>
              <w:rPr>
                <w:bCs/>
                <w:sz w:val="22"/>
                <w:szCs w:val="22"/>
              </w:rPr>
            </w:pPr>
          </w:p>
          <w:p w:rsidR="0057196C" w:rsidRDefault="0057196C" w:rsidP="0057196C">
            <w:pPr>
              <w:jc w:val="both"/>
              <w:rPr>
                <w:bCs/>
                <w:sz w:val="22"/>
                <w:szCs w:val="22"/>
              </w:rPr>
            </w:pPr>
            <w:r>
              <w:rPr>
                <w:bCs/>
                <w:sz w:val="22"/>
                <w:szCs w:val="22"/>
              </w:rPr>
              <w:t>Z pohledu přidané hodnoty se počítá s přednostním umístěním projektů s přidanou hodnotou pro snížení energetické závislosti na fosilních palivech a zmírnění klimatických dopadů, neboť jak vyplývá z předložených výpočtů potenciálních výnosů, jsou takové to projekty pro ČR nejpřínosnější.</w:t>
            </w:r>
          </w:p>
          <w:p w:rsidR="0057196C" w:rsidRDefault="0057196C" w:rsidP="0057196C">
            <w:pPr>
              <w:jc w:val="both"/>
              <w:rPr>
                <w:bCs/>
                <w:sz w:val="22"/>
                <w:szCs w:val="22"/>
              </w:rPr>
            </w:pPr>
          </w:p>
          <w:p w:rsidR="0057196C" w:rsidRDefault="0057196C" w:rsidP="0057196C">
            <w:pPr>
              <w:jc w:val="both"/>
              <w:rPr>
                <w:bCs/>
                <w:sz w:val="22"/>
                <w:szCs w:val="22"/>
              </w:rPr>
            </w:pPr>
          </w:p>
          <w:p w:rsidR="0057196C" w:rsidRPr="0057196C" w:rsidRDefault="0057196C" w:rsidP="0057196C">
            <w:pPr>
              <w:jc w:val="both"/>
              <w:rPr>
                <w:b/>
                <w:bCs/>
                <w:sz w:val="22"/>
                <w:szCs w:val="22"/>
              </w:rPr>
            </w:pPr>
            <w:r w:rsidRPr="0057196C">
              <w:rPr>
                <w:b/>
                <w:bCs/>
                <w:sz w:val="22"/>
                <w:szCs w:val="22"/>
              </w:rPr>
              <w:t>Vyjádření</w:t>
            </w:r>
            <w:r w:rsidR="00DD13F6">
              <w:rPr>
                <w:b/>
                <w:bCs/>
                <w:sz w:val="22"/>
                <w:szCs w:val="22"/>
              </w:rPr>
              <w:t xml:space="preserve"> ÚV – KML</w:t>
            </w:r>
            <w:r w:rsidRPr="0057196C">
              <w:rPr>
                <w:b/>
                <w:bCs/>
                <w:sz w:val="22"/>
                <w:szCs w:val="22"/>
              </w:rPr>
              <w:t xml:space="preserve"> k vypořádání:</w:t>
            </w:r>
          </w:p>
          <w:p w:rsidR="00E41D3B" w:rsidRPr="00DD13F6" w:rsidRDefault="00DD13F6" w:rsidP="0057196C">
            <w:pPr>
              <w:jc w:val="both"/>
              <w:rPr>
                <w:bCs/>
                <w:sz w:val="22"/>
                <w:szCs w:val="22"/>
              </w:rPr>
            </w:pPr>
            <w:r w:rsidRPr="00DD13F6">
              <w:rPr>
                <w:bCs/>
                <w:sz w:val="22"/>
                <w:szCs w:val="22"/>
              </w:rPr>
              <w:t>Souhlas s vypořádáním.</w:t>
            </w:r>
          </w:p>
        </w:tc>
      </w:tr>
      <w:tr w:rsidR="00E41D3B" w:rsidRPr="00E172A8" w:rsidTr="00BB7D1B">
        <w:trPr>
          <w:trHeight w:val="340"/>
        </w:trPr>
        <w:tc>
          <w:tcPr>
            <w:tcW w:w="2191" w:type="dxa"/>
            <w:tcBorders>
              <w:left w:val="single" w:sz="4" w:space="0" w:color="auto"/>
              <w:right w:val="single" w:sz="4" w:space="0" w:color="auto"/>
            </w:tcBorders>
            <w:shd w:val="clear" w:color="auto" w:fill="auto"/>
          </w:tcPr>
          <w:p w:rsidR="00E41D3B" w:rsidRPr="00555320" w:rsidRDefault="00E41D3B" w:rsidP="00E41D3B">
            <w:pPr>
              <w:rPr>
                <w:b/>
                <w:sz w:val="22"/>
                <w:szCs w:val="22"/>
              </w:rPr>
            </w:pPr>
            <w:r w:rsidRPr="00555320">
              <w:rPr>
                <w:b/>
                <w:sz w:val="22"/>
                <w:szCs w:val="22"/>
              </w:rPr>
              <w:t>Ministerstvo pro místní rozvoj</w:t>
            </w: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E41D3B" w:rsidRPr="00E172A8" w:rsidRDefault="00E41D3B" w:rsidP="00E41D3B">
            <w:pPr>
              <w:widowControl w:val="0"/>
              <w:autoSpaceDE w:val="0"/>
              <w:autoSpaceDN w:val="0"/>
              <w:adjustRightInd w:val="0"/>
              <w:jc w:val="both"/>
              <w:rPr>
                <w:sz w:val="22"/>
                <w:szCs w:val="22"/>
              </w:rPr>
            </w:pPr>
            <w:r>
              <w:rPr>
                <w:sz w:val="22"/>
                <w:szCs w:val="22"/>
              </w:rPr>
              <w:t>Bez připomínek</w:t>
            </w:r>
          </w:p>
        </w:tc>
        <w:tc>
          <w:tcPr>
            <w:tcW w:w="6393" w:type="dxa"/>
            <w:tcBorders>
              <w:left w:val="single" w:sz="4" w:space="0" w:color="auto"/>
              <w:right w:val="single" w:sz="4" w:space="0" w:color="auto"/>
            </w:tcBorders>
            <w:shd w:val="clear" w:color="auto" w:fill="auto"/>
          </w:tcPr>
          <w:p w:rsidR="00E41D3B" w:rsidRPr="00E172A8" w:rsidRDefault="00E41D3B" w:rsidP="00E41D3B">
            <w:pPr>
              <w:jc w:val="both"/>
              <w:rPr>
                <w:bCs/>
                <w:sz w:val="22"/>
                <w:szCs w:val="22"/>
              </w:rPr>
            </w:pPr>
          </w:p>
        </w:tc>
      </w:tr>
      <w:tr w:rsidR="00E41D3B" w:rsidRPr="00E172A8" w:rsidTr="00BB7D1B">
        <w:trPr>
          <w:trHeight w:val="340"/>
        </w:trPr>
        <w:tc>
          <w:tcPr>
            <w:tcW w:w="2191" w:type="dxa"/>
            <w:tcBorders>
              <w:left w:val="single" w:sz="4" w:space="0" w:color="auto"/>
              <w:right w:val="single" w:sz="4" w:space="0" w:color="auto"/>
            </w:tcBorders>
            <w:shd w:val="clear" w:color="auto" w:fill="auto"/>
          </w:tcPr>
          <w:p w:rsidR="00E41D3B" w:rsidRPr="00555320" w:rsidRDefault="00E41D3B" w:rsidP="00E41D3B">
            <w:pPr>
              <w:rPr>
                <w:b/>
                <w:sz w:val="22"/>
                <w:szCs w:val="22"/>
              </w:rPr>
            </w:pPr>
            <w:r w:rsidRPr="00555320">
              <w:rPr>
                <w:b/>
                <w:sz w:val="22"/>
                <w:szCs w:val="22"/>
              </w:rPr>
              <w:t>Ministerstvo práce a sociálních věcí</w:t>
            </w: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E41D3B" w:rsidRPr="00E172A8" w:rsidRDefault="00E41D3B" w:rsidP="00E41D3B">
            <w:pPr>
              <w:spacing w:before="200"/>
              <w:jc w:val="both"/>
              <w:rPr>
                <w:sz w:val="22"/>
                <w:szCs w:val="22"/>
              </w:rPr>
            </w:pPr>
            <w:r w:rsidRPr="00E172A8">
              <w:rPr>
                <w:sz w:val="22"/>
                <w:szCs w:val="22"/>
              </w:rPr>
              <w:t>Bez připomínek</w:t>
            </w:r>
          </w:p>
        </w:tc>
        <w:tc>
          <w:tcPr>
            <w:tcW w:w="6393" w:type="dxa"/>
            <w:tcBorders>
              <w:left w:val="single" w:sz="4" w:space="0" w:color="auto"/>
              <w:right w:val="single" w:sz="4" w:space="0" w:color="auto"/>
            </w:tcBorders>
            <w:shd w:val="clear" w:color="auto" w:fill="auto"/>
          </w:tcPr>
          <w:p w:rsidR="00E41D3B" w:rsidRPr="00E172A8" w:rsidRDefault="00E41D3B" w:rsidP="00E41D3B">
            <w:pPr>
              <w:jc w:val="both"/>
              <w:rPr>
                <w:bCs/>
                <w:sz w:val="22"/>
                <w:szCs w:val="22"/>
              </w:rPr>
            </w:pPr>
          </w:p>
        </w:tc>
      </w:tr>
      <w:tr w:rsidR="00E41D3B" w:rsidRPr="00E172A8" w:rsidTr="00BB7D1B">
        <w:trPr>
          <w:trHeight w:val="340"/>
        </w:trPr>
        <w:tc>
          <w:tcPr>
            <w:tcW w:w="2191" w:type="dxa"/>
            <w:tcBorders>
              <w:left w:val="single" w:sz="4" w:space="0" w:color="auto"/>
              <w:right w:val="single" w:sz="4" w:space="0" w:color="auto"/>
            </w:tcBorders>
            <w:shd w:val="clear" w:color="auto" w:fill="auto"/>
          </w:tcPr>
          <w:p w:rsidR="00E41D3B" w:rsidRPr="00555320" w:rsidRDefault="00E41D3B" w:rsidP="00E41D3B">
            <w:pPr>
              <w:rPr>
                <w:b/>
                <w:sz w:val="22"/>
                <w:szCs w:val="22"/>
              </w:rPr>
            </w:pPr>
            <w:r w:rsidRPr="00555320">
              <w:rPr>
                <w:b/>
                <w:sz w:val="22"/>
                <w:szCs w:val="22"/>
              </w:rPr>
              <w:t>Ministerstvo spravedlnosti</w:t>
            </w: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E41D3B" w:rsidRPr="00E172A8" w:rsidRDefault="00E41D3B" w:rsidP="00E41D3B">
            <w:pPr>
              <w:spacing w:before="200"/>
              <w:jc w:val="both"/>
              <w:rPr>
                <w:sz w:val="22"/>
                <w:szCs w:val="22"/>
              </w:rPr>
            </w:pPr>
            <w:r w:rsidRPr="00E172A8">
              <w:rPr>
                <w:sz w:val="22"/>
                <w:szCs w:val="22"/>
              </w:rPr>
              <w:t>Bez připomínek</w:t>
            </w:r>
          </w:p>
        </w:tc>
        <w:tc>
          <w:tcPr>
            <w:tcW w:w="6393" w:type="dxa"/>
            <w:tcBorders>
              <w:left w:val="single" w:sz="4" w:space="0" w:color="auto"/>
              <w:right w:val="single" w:sz="4" w:space="0" w:color="auto"/>
            </w:tcBorders>
            <w:shd w:val="clear" w:color="auto" w:fill="auto"/>
          </w:tcPr>
          <w:p w:rsidR="00E41D3B" w:rsidRPr="00E172A8" w:rsidRDefault="00E41D3B" w:rsidP="00E41D3B">
            <w:pPr>
              <w:jc w:val="both"/>
              <w:rPr>
                <w:bCs/>
                <w:sz w:val="22"/>
                <w:szCs w:val="22"/>
              </w:rPr>
            </w:pPr>
          </w:p>
        </w:tc>
      </w:tr>
      <w:tr w:rsidR="00E41D3B" w:rsidRPr="00E172A8" w:rsidTr="00BB7D1B">
        <w:trPr>
          <w:trHeight w:val="340"/>
        </w:trPr>
        <w:tc>
          <w:tcPr>
            <w:tcW w:w="2191" w:type="dxa"/>
            <w:tcBorders>
              <w:left w:val="single" w:sz="4" w:space="0" w:color="auto"/>
              <w:right w:val="single" w:sz="4" w:space="0" w:color="auto"/>
            </w:tcBorders>
            <w:shd w:val="clear" w:color="auto" w:fill="auto"/>
          </w:tcPr>
          <w:p w:rsidR="00E41D3B" w:rsidRPr="00555320" w:rsidRDefault="00E41D3B" w:rsidP="00E41D3B">
            <w:pPr>
              <w:rPr>
                <w:b/>
                <w:sz w:val="22"/>
                <w:szCs w:val="22"/>
              </w:rPr>
            </w:pPr>
            <w:r w:rsidRPr="00555320">
              <w:rPr>
                <w:b/>
                <w:sz w:val="22"/>
                <w:szCs w:val="22"/>
              </w:rPr>
              <w:t>Ministerstvo školství‚ mládeže a tělovýchovy</w:t>
            </w: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E41D3B" w:rsidRPr="00E172A8" w:rsidRDefault="00E41D3B" w:rsidP="00E41D3B">
            <w:pPr>
              <w:spacing w:before="200"/>
              <w:jc w:val="both"/>
              <w:rPr>
                <w:sz w:val="22"/>
                <w:szCs w:val="22"/>
              </w:rPr>
            </w:pPr>
            <w:r w:rsidRPr="00E172A8">
              <w:rPr>
                <w:sz w:val="22"/>
                <w:szCs w:val="22"/>
              </w:rPr>
              <w:t>Bez připomínek</w:t>
            </w:r>
          </w:p>
        </w:tc>
        <w:tc>
          <w:tcPr>
            <w:tcW w:w="6393" w:type="dxa"/>
            <w:tcBorders>
              <w:left w:val="single" w:sz="4" w:space="0" w:color="auto"/>
              <w:right w:val="single" w:sz="4" w:space="0" w:color="auto"/>
            </w:tcBorders>
            <w:shd w:val="clear" w:color="auto" w:fill="auto"/>
          </w:tcPr>
          <w:p w:rsidR="00E41D3B" w:rsidRPr="00E172A8" w:rsidRDefault="00E41D3B" w:rsidP="00E41D3B">
            <w:pPr>
              <w:jc w:val="both"/>
              <w:rPr>
                <w:bCs/>
                <w:sz w:val="22"/>
                <w:szCs w:val="22"/>
              </w:rPr>
            </w:pPr>
          </w:p>
        </w:tc>
      </w:tr>
      <w:tr w:rsidR="00E41D3B" w:rsidRPr="00E172A8" w:rsidTr="00BB7D1B">
        <w:trPr>
          <w:trHeight w:val="340"/>
        </w:trPr>
        <w:tc>
          <w:tcPr>
            <w:tcW w:w="2191" w:type="dxa"/>
            <w:tcBorders>
              <w:left w:val="single" w:sz="4" w:space="0" w:color="auto"/>
              <w:right w:val="single" w:sz="4" w:space="0" w:color="auto"/>
            </w:tcBorders>
            <w:shd w:val="clear" w:color="auto" w:fill="auto"/>
          </w:tcPr>
          <w:p w:rsidR="00E41D3B" w:rsidRPr="00555320" w:rsidRDefault="00E41D3B" w:rsidP="00E41D3B">
            <w:pPr>
              <w:rPr>
                <w:b/>
                <w:sz w:val="22"/>
                <w:szCs w:val="22"/>
              </w:rPr>
            </w:pPr>
            <w:r w:rsidRPr="00555320">
              <w:rPr>
                <w:b/>
                <w:sz w:val="22"/>
                <w:szCs w:val="22"/>
              </w:rPr>
              <w:t>Ministerstvo vnitra</w:t>
            </w: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E41D3B" w:rsidRPr="00E172A8" w:rsidRDefault="00E41D3B" w:rsidP="00E41D3B">
            <w:pPr>
              <w:spacing w:before="200"/>
              <w:jc w:val="both"/>
              <w:rPr>
                <w:sz w:val="22"/>
                <w:szCs w:val="22"/>
              </w:rPr>
            </w:pPr>
            <w:r w:rsidRPr="00E172A8">
              <w:rPr>
                <w:sz w:val="22"/>
                <w:szCs w:val="22"/>
              </w:rPr>
              <w:t>Bez připomínek</w:t>
            </w:r>
          </w:p>
        </w:tc>
        <w:tc>
          <w:tcPr>
            <w:tcW w:w="6393" w:type="dxa"/>
            <w:tcBorders>
              <w:left w:val="single" w:sz="4" w:space="0" w:color="auto"/>
              <w:right w:val="single" w:sz="4" w:space="0" w:color="auto"/>
            </w:tcBorders>
            <w:shd w:val="clear" w:color="auto" w:fill="auto"/>
          </w:tcPr>
          <w:p w:rsidR="00E41D3B" w:rsidRPr="00E172A8" w:rsidRDefault="00E41D3B" w:rsidP="00E41D3B">
            <w:pPr>
              <w:jc w:val="both"/>
              <w:rPr>
                <w:bCs/>
                <w:sz w:val="22"/>
                <w:szCs w:val="22"/>
              </w:rPr>
            </w:pPr>
          </w:p>
        </w:tc>
      </w:tr>
      <w:tr w:rsidR="00E41D3B" w:rsidRPr="00E172A8" w:rsidTr="00BB7D1B">
        <w:trPr>
          <w:trHeight w:val="340"/>
        </w:trPr>
        <w:tc>
          <w:tcPr>
            <w:tcW w:w="2191" w:type="dxa"/>
            <w:tcBorders>
              <w:left w:val="single" w:sz="4" w:space="0" w:color="auto"/>
              <w:right w:val="single" w:sz="4" w:space="0" w:color="auto"/>
            </w:tcBorders>
            <w:shd w:val="clear" w:color="auto" w:fill="auto"/>
          </w:tcPr>
          <w:p w:rsidR="00E41D3B" w:rsidRPr="00555320" w:rsidRDefault="00E41D3B" w:rsidP="00E41D3B">
            <w:pPr>
              <w:rPr>
                <w:b/>
                <w:sz w:val="22"/>
                <w:szCs w:val="22"/>
              </w:rPr>
            </w:pPr>
            <w:r w:rsidRPr="00555320">
              <w:rPr>
                <w:b/>
                <w:sz w:val="22"/>
                <w:szCs w:val="22"/>
              </w:rPr>
              <w:t>Ministerstvo zdravotnictví</w:t>
            </w: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E41D3B" w:rsidRPr="00E172A8" w:rsidRDefault="00E41D3B" w:rsidP="00E41D3B">
            <w:pPr>
              <w:spacing w:before="200"/>
              <w:jc w:val="both"/>
              <w:rPr>
                <w:sz w:val="22"/>
                <w:szCs w:val="22"/>
              </w:rPr>
            </w:pPr>
            <w:r w:rsidRPr="00E172A8">
              <w:rPr>
                <w:sz w:val="22"/>
                <w:szCs w:val="22"/>
              </w:rPr>
              <w:t>Bez připomínek</w:t>
            </w:r>
          </w:p>
        </w:tc>
        <w:tc>
          <w:tcPr>
            <w:tcW w:w="6393" w:type="dxa"/>
            <w:tcBorders>
              <w:left w:val="single" w:sz="4" w:space="0" w:color="auto"/>
              <w:right w:val="single" w:sz="4" w:space="0" w:color="auto"/>
            </w:tcBorders>
            <w:shd w:val="clear" w:color="auto" w:fill="auto"/>
          </w:tcPr>
          <w:p w:rsidR="00E41D3B" w:rsidRPr="00E172A8" w:rsidRDefault="00E41D3B" w:rsidP="00E41D3B">
            <w:pPr>
              <w:jc w:val="both"/>
              <w:rPr>
                <w:bCs/>
                <w:sz w:val="22"/>
                <w:szCs w:val="22"/>
              </w:rPr>
            </w:pPr>
          </w:p>
        </w:tc>
      </w:tr>
      <w:tr w:rsidR="00E41D3B" w:rsidRPr="00E172A8" w:rsidTr="00BB7D1B">
        <w:trPr>
          <w:trHeight w:val="340"/>
        </w:trPr>
        <w:tc>
          <w:tcPr>
            <w:tcW w:w="2191" w:type="dxa"/>
            <w:tcBorders>
              <w:left w:val="single" w:sz="4" w:space="0" w:color="auto"/>
              <w:right w:val="single" w:sz="4" w:space="0" w:color="auto"/>
            </w:tcBorders>
            <w:shd w:val="clear" w:color="auto" w:fill="auto"/>
          </w:tcPr>
          <w:p w:rsidR="00E41D3B" w:rsidRPr="00555320" w:rsidRDefault="00E41D3B" w:rsidP="00E41D3B">
            <w:pPr>
              <w:rPr>
                <w:b/>
                <w:sz w:val="22"/>
                <w:szCs w:val="22"/>
              </w:rPr>
            </w:pPr>
            <w:r w:rsidRPr="00555320">
              <w:rPr>
                <w:b/>
                <w:sz w:val="22"/>
                <w:szCs w:val="22"/>
              </w:rPr>
              <w:t>Ministerstvo zahraničních věcí</w:t>
            </w: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E41D3B" w:rsidRPr="00E172A8" w:rsidRDefault="00E41D3B" w:rsidP="00E41D3B">
            <w:pPr>
              <w:spacing w:before="200"/>
              <w:jc w:val="both"/>
              <w:rPr>
                <w:sz w:val="22"/>
                <w:szCs w:val="22"/>
              </w:rPr>
            </w:pPr>
            <w:r w:rsidRPr="00E172A8">
              <w:rPr>
                <w:sz w:val="22"/>
                <w:szCs w:val="22"/>
              </w:rPr>
              <w:t>Bez připomínek</w:t>
            </w:r>
          </w:p>
        </w:tc>
        <w:tc>
          <w:tcPr>
            <w:tcW w:w="6393" w:type="dxa"/>
            <w:tcBorders>
              <w:left w:val="single" w:sz="4" w:space="0" w:color="auto"/>
              <w:right w:val="single" w:sz="4" w:space="0" w:color="auto"/>
            </w:tcBorders>
            <w:shd w:val="clear" w:color="auto" w:fill="auto"/>
          </w:tcPr>
          <w:p w:rsidR="00E41D3B" w:rsidRPr="00E172A8" w:rsidRDefault="00E41D3B" w:rsidP="00E41D3B">
            <w:pPr>
              <w:jc w:val="both"/>
              <w:rPr>
                <w:bCs/>
                <w:sz w:val="22"/>
                <w:szCs w:val="22"/>
              </w:rPr>
            </w:pPr>
          </w:p>
        </w:tc>
      </w:tr>
      <w:tr w:rsidR="00E41D3B" w:rsidRPr="00E172A8" w:rsidTr="00BB7D1B">
        <w:trPr>
          <w:trHeight w:val="340"/>
        </w:trPr>
        <w:tc>
          <w:tcPr>
            <w:tcW w:w="2191" w:type="dxa"/>
            <w:tcBorders>
              <w:left w:val="single" w:sz="4" w:space="0" w:color="auto"/>
              <w:right w:val="single" w:sz="4" w:space="0" w:color="auto"/>
            </w:tcBorders>
            <w:shd w:val="clear" w:color="auto" w:fill="auto"/>
          </w:tcPr>
          <w:p w:rsidR="00E41D3B" w:rsidRPr="00555320" w:rsidRDefault="00E41D3B" w:rsidP="00E41D3B">
            <w:pPr>
              <w:rPr>
                <w:b/>
                <w:sz w:val="22"/>
                <w:szCs w:val="22"/>
              </w:rPr>
            </w:pPr>
            <w:r>
              <w:rPr>
                <w:b/>
                <w:sz w:val="22"/>
                <w:szCs w:val="22"/>
              </w:rPr>
              <w:t>Ministerstvo kultury</w:t>
            </w: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E41D3B" w:rsidRPr="00E172A8" w:rsidRDefault="00E41D3B" w:rsidP="00E41D3B">
            <w:pPr>
              <w:spacing w:before="200"/>
              <w:rPr>
                <w:sz w:val="22"/>
                <w:szCs w:val="22"/>
              </w:rPr>
            </w:pPr>
            <w:r w:rsidRPr="00E172A8">
              <w:rPr>
                <w:sz w:val="22"/>
                <w:szCs w:val="22"/>
              </w:rPr>
              <w:t>Bez připomínek</w:t>
            </w:r>
          </w:p>
        </w:tc>
        <w:tc>
          <w:tcPr>
            <w:tcW w:w="6393" w:type="dxa"/>
            <w:tcBorders>
              <w:left w:val="single" w:sz="4" w:space="0" w:color="auto"/>
              <w:right w:val="single" w:sz="4" w:space="0" w:color="auto"/>
            </w:tcBorders>
            <w:shd w:val="clear" w:color="auto" w:fill="auto"/>
          </w:tcPr>
          <w:p w:rsidR="00E41D3B" w:rsidRPr="00E172A8" w:rsidRDefault="00E41D3B" w:rsidP="00E41D3B">
            <w:pPr>
              <w:jc w:val="both"/>
              <w:rPr>
                <w:bCs/>
                <w:sz w:val="22"/>
                <w:szCs w:val="22"/>
              </w:rPr>
            </w:pPr>
          </w:p>
        </w:tc>
      </w:tr>
      <w:tr w:rsidR="00E41D3B" w:rsidRPr="00E172A8" w:rsidTr="00BB7D1B">
        <w:trPr>
          <w:trHeight w:val="340"/>
        </w:trPr>
        <w:tc>
          <w:tcPr>
            <w:tcW w:w="2191" w:type="dxa"/>
            <w:tcBorders>
              <w:left w:val="single" w:sz="4" w:space="0" w:color="auto"/>
              <w:right w:val="single" w:sz="4" w:space="0" w:color="auto"/>
            </w:tcBorders>
            <w:shd w:val="clear" w:color="auto" w:fill="auto"/>
          </w:tcPr>
          <w:p w:rsidR="00E41D3B" w:rsidRPr="00555320" w:rsidRDefault="00E41D3B" w:rsidP="00E41D3B">
            <w:pPr>
              <w:rPr>
                <w:b/>
                <w:sz w:val="22"/>
                <w:szCs w:val="22"/>
              </w:rPr>
            </w:pPr>
            <w:r>
              <w:rPr>
                <w:b/>
                <w:sz w:val="22"/>
                <w:szCs w:val="22"/>
              </w:rPr>
              <w:t>Ministerstvo zemědělství</w:t>
            </w: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E41D3B" w:rsidRPr="00E172A8" w:rsidRDefault="00E41D3B" w:rsidP="00E41D3B">
            <w:pPr>
              <w:spacing w:before="200"/>
              <w:rPr>
                <w:sz w:val="22"/>
                <w:szCs w:val="22"/>
              </w:rPr>
            </w:pPr>
            <w:r w:rsidRPr="00E172A8">
              <w:rPr>
                <w:sz w:val="22"/>
                <w:szCs w:val="22"/>
              </w:rPr>
              <w:t>Bez připomínek</w:t>
            </w:r>
          </w:p>
        </w:tc>
        <w:tc>
          <w:tcPr>
            <w:tcW w:w="6393" w:type="dxa"/>
            <w:tcBorders>
              <w:left w:val="single" w:sz="4" w:space="0" w:color="auto"/>
              <w:right w:val="single" w:sz="4" w:space="0" w:color="auto"/>
            </w:tcBorders>
            <w:shd w:val="clear" w:color="auto" w:fill="auto"/>
          </w:tcPr>
          <w:p w:rsidR="00E41D3B" w:rsidRPr="00E172A8" w:rsidRDefault="00E41D3B" w:rsidP="00E41D3B">
            <w:pPr>
              <w:jc w:val="both"/>
              <w:rPr>
                <w:bCs/>
                <w:sz w:val="22"/>
                <w:szCs w:val="22"/>
              </w:rPr>
            </w:pPr>
          </w:p>
        </w:tc>
      </w:tr>
      <w:tr w:rsidR="00E41D3B" w:rsidRPr="00E172A8" w:rsidTr="00BB7D1B">
        <w:trPr>
          <w:trHeight w:val="340"/>
        </w:trPr>
        <w:tc>
          <w:tcPr>
            <w:tcW w:w="2191" w:type="dxa"/>
            <w:tcBorders>
              <w:left w:val="single" w:sz="4" w:space="0" w:color="auto"/>
              <w:right w:val="single" w:sz="4" w:space="0" w:color="auto"/>
            </w:tcBorders>
            <w:shd w:val="clear" w:color="auto" w:fill="auto"/>
          </w:tcPr>
          <w:p w:rsidR="00E41D3B" w:rsidRPr="00555320" w:rsidRDefault="00E41D3B" w:rsidP="00E41D3B">
            <w:pPr>
              <w:rPr>
                <w:b/>
                <w:sz w:val="22"/>
                <w:szCs w:val="22"/>
              </w:rPr>
            </w:pPr>
            <w:r w:rsidRPr="00555320">
              <w:rPr>
                <w:b/>
                <w:sz w:val="22"/>
                <w:szCs w:val="22"/>
              </w:rPr>
              <w:t>Úřad vlády ČR – Ministryně pro vědu, výzkum a inovace a předsedkyně Rady pro výzkum, vývoj a inovace</w:t>
            </w: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E41D3B" w:rsidRPr="00E172A8" w:rsidRDefault="00E41D3B" w:rsidP="00E41D3B">
            <w:pPr>
              <w:spacing w:before="200"/>
              <w:jc w:val="both"/>
              <w:rPr>
                <w:sz w:val="22"/>
                <w:szCs w:val="22"/>
              </w:rPr>
            </w:pPr>
            <w:r w:rsidRPr="00E172A8">
              <w:rPr>
                <w:sz w:val="22"/>
                <w:szCs w:val="22"/>
              </w:rPr>
              <w:t>Bez připomínek</w:t>
            </w:r>
          </w:p>
        </w:tc>
        <w:tc>
          <w:tcPr>
            <w:tcW w:w="6393" w:type="dxa"/>
            <w:tcBorders>
              <w:left w:val="single" w:sz="4" w:space="0" w:color="auto"/>
              <w:right w:val="single" w:sz="4" w:space="0" w:color="auto"/>
            </w:tcBorders>
            <w:shd w:val="clear" w:color="auto" w:fill="auto"/>
          </w:tcPr>
          <w:p w:rsidR="00E41D3B" w:rsidRPr="00E172A8" w:rsidRDefault="00E41D3B" w:rsidP="00E41D3B">
            <w:pPr>
              <w:jc w:val="both"/>
              <w:rPr>
                <w:bCs/>
                <w:sz w:val="22"/>
                <w:szCs w:val="22"/>
              </w:rPr>
            </w:pPr>
          </w:p>
        </w:tc>
      </w:tr>
      <w:tr w:rsidR="0057196C" w:rsidRPr="00E172A8" w:rsidTr="00BB7D1B">
        <w:trPr>
          <w:trHeight w:val="340"/>
        </w:trPr>
        <w:tc>
          <w:tcPr>
            <w:tcW w:w="2191" w:type="dxa"/>
            <w:tcBorders>
              <w:left w:val="single" w:sz="4" w:space="0" w:color="auto"/>
              <w:right w:val="single" w:sz="4" w:space="0" w:color="auto"/>
            </w:tcBorders>
            <w:shd w:val="clear" w:color="auto" w:fill="auto"/>
          </w:tcPr>
          <w:p w:rsidR="0057196C" w:rsidRPr="00555320" w:rsidRDefault="0057196C" w:rsidP="0057196C">
            <w:pPr>
              <w:rPr>
                <w:b/>
                <w:sz w:val="22"/>
                <w:szCs w:val="22"/>
              </w:rPr>
            </w:pPr>
            <w:r w:rsidRPr="0057196C">
              <w:rPr>
                <w:b/>
                <w:sz w:val="22"/>
                <w:szCs w:val="22"/>
              </w:rPr>
              <w:t>Úřad vlády ČR – Ministr pro evropské záležitosti</w:t>
            </w: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57196C" w:rsidRPr="00E172A8" w:rsidRDefault="0057196C" w:rsidP="0057196C">
            <w:pPr>
              <w:spacing w:before="200"/>
              <w:jc w:val="both"/>
              <w:rPr>
                <w:sz w:val="22"/>
                <w:szCs w:val="22"/>
              </w:rPr>
            </w:pPr>
            <w:r>
              <w:rPr>
                <w:sz w:val="22"/>
                <w:szCs w:val="22"/>
              </w:rPr>
              <w:t>Bez připomínek</w:t>
            </w:r>
          </w:p>
        </w:tc>
        <w:tc>
          <w:tcPr>
            <w:tcW w:w="6393" w:type="dxa"/>
            <w:tcBorders>
              <w:left w:val="single" w:sz="4" w:space="0" w:color="auto"/>
              <w:right w:val="single" w:sz="4" w:space="0" w:color="auto"/>
            </w:tcBorders>
            <w:shd w:val="clear" w:color="auto" w:fill="auto"/>
          </w:tcPr>
          <w:p w:rsidR="0057196C" w:rsidRPr="00E172A8" w:rsidRDefault="0057196C" w:rsidP="0057196C">
            <w:pPr>
              <w:jc w:val="both"/>
              <w:rPr>
                <w:bCs/>
                <w:sz w:val="22"/>
                <w:szCs w:val="22"/>
              </w:rPr>
            </w:pPr>
          </w:p>
        </w:tc>
      </w:tr>
      <w:tr w:rsidR="0057196C" w:rsidRPr="00E172A8" w:rsidTr="00BB7D1B">
        <w:trPr>
          <w:trHeight w:val="340"/>
        </w:trPr>
        <w:tc>
          <w:tcPr>
            <w:tcW w:w="2191" w:type="dxa"/>
            <w:tcBorders>
              <w:left w:val="single" w:sz="4" w:space="0" w:color="auto"/>
              <w:right w:val="single" w:sz="4" w:space="0" w:color="auto"/>
            </w:tcBorders>
            <w:shd w:val="clear" w:color="auto" w:fill="auto"/>
          </w:tcPr>
          <w:p w:rsidR="0057196C" w:rsidRPr="00555320" w:rsidRDefault="0057196C" w:rsidP="0057196C">
            <w:pPr>
              <w:rPr>
                <w:b/>
                <w:sz w:val="22"/>
                <w:szCs w:val="22"/>
              </w:rPr>
            </w:pPr>
            <w:r w:rsidRPr="0057196C">
              <w:rPr>
                <w:b/>
                <w:sz w:val="22"/>
                <w:szCs w:val="22"/>
              </w:rPr>
              <w:t>Úřad vlády ČR – Místopředseda vlády pro digitalizaci</w:t>
            </w:r>
          </w:p>
        </w:tc>
        <w:tc>
          <w:tcPr>
            <w:tcW w:w="5745" w:type="dxa"/>
            <w:tcBorders>
              <w:top w:val="single" w:sz="4" w:space="0" w:color="auto"/>
              <w:left w:val="single" w:sz="4" w:space="0" w:color="auto"/>
              <w:bottom w:val="single" w:sz="4" w:space="0" w:color="auto"/>
              <w:right w:val="single" w:sz="4" w:space="0" w:color="auto"/>
            </w:tcBorders>
            <w:shd w:val="clear" w:color="auto" w:fill="auto"/>
            <w:vAlign w:val="center"/>
          </w:tcPr>
          <w:p w:rsidR="0057196C" w:rsidRPr="00E172A8" w:rsidRDefault="0057196C" w:rsidP="0057196C">
            <w:pPr>
              <w:spacing w:before="200"/>
              <w:jc w:val="both"/>
              <w:rPr>
                <w:sz w:val="22"/>
                <w:szCs w:val="22"/>
              </w:rPr>
            </w:pPr>
            <w:r>
              <w:rPr>
                <w:sz w:val="22"/>
                <w:szCs w:val="22"/>
              </w:rPr>
              <w:t>Bez připomínek</w:t>
            </w:r>
          </w:p>
        </w:tc>
        <w:tc>
          <w:tcPr>
            <w:tcW w:w="6393" w:type="dxa"/>
            <w:tcBorders>
              <w:left w:val="single" w:sz="4" w:space="0" w:color="auto"/>
              <w:right w:val="single" w:sz="4" w:space="0" w:color="auto"/>
            </w:tcBorders>
            <w:shd w:val="clear" w:color="auto" w:fill="auto"/>
          </w:tcPr>
          <w:p w:rsidR="0057196C" w:rsidRPr="00E172A8" w:rsidRDefault="0057196C" w:rsidP="0057196C">
            <w:pPr>
              <w:jc w:val="both"/>
              <w:rPr>
                <w:bCs/>
                <w:sz w:val="22"/>
                <w:szCs w:val="22"/>
              </w:rPr>
            </w:pPr>
          </w:p>
        </w:tc>
      </w:tr>
    </w:tbl>
    <w:p w:rsidR="00062C44" w:rsidRPr="00B77102" w:rsidRDefault="00062C44" w:rsidP="009056DD">
      <w:pPr>
        <w:autoSpaceDE w:val="0"/>
        <w:autoSpaceDN w:val="0"/>
        <w:adjustRightInd w:val="0"/>
        <w:spacing w:before="240" w:after="240" w:line="240" w:lineRule="atLeast"/>
        <w:rPr>
          <w:sz w:val="22"/>
          <w:szCs w:val="22"/>
        </w:rPr>
      </w:pPr>
      <w:r w:rsidRPr="00B77102">
        <w:rPr>
          <w:sz w:val="22"/>
          <w:szCs w:val="22"/>
        </w:rPr>
        <w:t>V </w:t>
      </w:r>
      <w:r w:rsidR="00E92E6A">
        <w:rPr>
          <w:bCs/>
          <w:sz w:val="22"/>
          <w:szCs w:val="22"/>
        </w:rPr>
        <w:fldChar w:fldCharType="begin">
          <w:ffData>
            <w:name w:val=""/>
            <w:enabled/>
            <w:calcOnExit w:val="0"/>
            <w:textInput>
              <w:default w:val="Praze"/>
            </w:textInput>
          </w:ffData>
        </w:fldChar>
      </w:r>
      <w:r w:rsidR="00E92E6A">
        <w:rPr>
          <w:bCs/>
          <w:sz w:val="22"/>
          <w:szCs w:val="22"/>
        </w:rPr>
        <w:instrText xml:space="preserve"> FORMTEXT </w:instrText>
      </w:r>
      <w:r w:rsidR="00E92E6A">
        <w:rPr>
          <w:bCs/>
          <w:sz w:val="22"/>
          <w:szCs w:val="22"/>
        </w:rPr>
      </w:r>
      <w:r w:rsidR="00E92E6A">
        <w:rPr>
          <w:bCs/>
          <w:sz w:val="22"/>
          <w:szCs w:val="22"/>
        </w:rPr>
        <w:fldChar w:fldCharType="separate"/>
      </w:r>
      <w:r w:rsidR="00E92E6A">
        <w:rPr>
          <w:bCs/>
          <w:noProof/>
          <w:sz w:val="22"/>
          <w:szCs w:val="22"/>
        </w:rPr>
        <w:t>Praze</w:t>
      </w:r>
      <w:r w:rsidR="00E92E6A">
        <w:rPr>
          <w:bCs/>
          <w:sz w:val="22"/>
          <w:szCs w:val="22"/>
        </w:rPr>
        <w:fldChar w:fldCharType="end"/>
      </w:r>
      <w:r w:rsidR="00952E4D" w:rsidRPr="00B77102">
        <w:rPr>
          <w:sz w:val="22"/>
          <w:szCs w:val="22"/>
        </w:rPr>
        <w:t xml:space="preserve"> </w:t>
      </w:r>
      <w:r w:rsidRPr="00B77102">
        <w:rPr>
          <w:sz w:val="22"/>
          <w:szCs w:val="22"/>
        </w:rPr>
        <w:t xml:space="preserve">dne </w:t>
      </w:r>
      <w:r w:rsidR="00952E4D" w:rsidRPr="00B77102">
        <w:rPr>
          <w:sz w:val="22"/>
          <w:szCs w:val="22"/>
        </w:rPr>
        <w:fldChar w:fldCharType="begin"/>
      </w:r>
      <w:r w:rsidR="00952E4D" w:rsidRPr="00B77102">
        <w:rPr>
          <w:sz w:val="22"/>
          <w:szCs w:val="22"/>
        </w:rPr>
        <w:instrText xml:space="preserve"> TIME \@ "d. MMMM yyyy" </w:instrText>
      </w:r>
      <w:r w:rsidR="00952E4D" w:rsidRPr="00B77102">
        <w:rPr>
          <w:sz w:val="22"/>
          <w:szCs w:val="22"/>
        </w:rPr>
        <w:fldChar w:fldCharType="separate"/>
      </w:r>
      <w:r w:rsidR="008068A6">
        <w:rPr>
          <w:noProof/>
          <w:sz w:val="22"/>
          <w:szCs w:val="22"/>
        </w:rPr>
        <w:t>1. září 2022</w:t>
      </w:r>
      <w:r w:rsidR="00952E4D" w:rsidRPr="00B77102">
        <w:rPr>
          <w:sz w:val="22"/>
          <w:szCs w:val="22"/>
        </w:rPr>
        <w:fldChar w:fldCharType="end"/>
      </w:r>
    </w:p>
    <w:p w:rsidR="00062C44" w:rsidRPr="00B77102" w:rsidRDefault="00062C44" w:rsidP="00E92E6A">
      <w:pPr>
        <w:tabs>
          <w:tab w:val="left" w:pos="9498"/>
        </w:tabs>
        <w:autoSpaceDE w:val="0"/>
        <w:autoSpaceDN w:val="0"/>
        <w:adjustRightInd w:val="0"/>
        <w:spacing w:before="240" w:after="240" w:line="240" w:lineRule="atLeast"/>
        <w:rPr>
          <w:sz w:val="22"/>
          <w:szCs w:val="22"/>
        </w:rPr>
      </w:pPr>
      <w:r w:rsidRPr="00B77102">
        <w:rPr>
          <w:sz w:val="22"/>
          <w:szCs w:val="22"/>
        </w:rPr>
        <w:t xml:space="preserve">Vypracoval: </w:t>
      </w:r>
      <w:r w:rsidR="00085EB5">
        <w:rPr>
          <w:bCs/>
          <w:sz w:val="22"/>
          <w:szCs w:val="22"/>
        </w:rPr>
        <w:t xml:space="preserve">Ing. </w:t>
      </w:r>
      <w:r w:rsidR="00E172A8">
        <w:rPr>
          <w:bCs/>
          <w:sz w:val="22"/>
          <w:szCs w:val="22"/>
        </w:rPr>
        <w:t>Jiří Blažej</w:t>
      </w:r>
      <w:r w:rsidR="00E92E6A">
        <w:rPr>
          <w:sz w:val="22"/>
          <w:szCs w:val="22"/>
        </w:rPr>
        <w:tab/>
      </w:r>
      <w:r w:rsidR="00540F7C">
        <w:rPr>
          <w:sz w:val="22"/>
          <w:szCs w:val="22"/>
        </w:rPr>
        <w:t>Podpis:</w:t>
      </w:r>
    </w:p>
    <w:sectPr w:rsidR="00062C44" w:rsidRPr="00B77102" w:rsidSect="002D6F9B">
      <w:footerReference w:type="default" r:id="rId7"/>
      <w:pgSz w:w="16838" w:h="11906" w:orient="landscape"/>
      <w:pgMar w:top="1258" w:right="1418" w:bottom="1135"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20" w:rsidRDefault="00475820">
      <w:r>
        <w:separator/>
      </w:r>
    </w:p>
  </w:endnote>
  <w:endnote w:type="continuationSeparator" w:id="0">
    <w:p w:rsidR="00475820" w:rsidRDefault="0047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6A" w:rsidRPr="00CA4A8C" w:rsidRDefault="00E92E6A" w:rsidP="00E92E6A">
    <w:pPr>
      <w:pStyle w:val="Podnadpis"/>
      <w:rPr>
        <w:rFonts w:ascii="Arial" w:hAnsi="Arial" w:cs="Arial"/>
        <w:sz w:val="22"/>
        <w:szCs w:val="22"/>
      </w:rPr>
    </w:pPr>
    <w:r w:rsidRPr="00CA4A8C">
      <w:rPr>
        <w:rFonts w:ascii="Arial" w:hAnsi="Arial" w:cs="Arial"/>
        <w:sz w:val="22"/>
        <w:szCs w:val="22"/>
      </w:rPr>
      <w:t xml:space="preserve">Stránka </w:t>
    </w:r>
    <w:r w:rsidRPr="00CA4A8C">
      <w:rPr>
        <w:rFonts w:ascii="Arial" w:hAnsi="Arial" w:cs="Arial"/>
        <w:sz w:val="22"/>
        <w:szCs w:val="22"/>
      </w:rPr>
      <w:fldChar w:fldCharType="begin"/>
    </w:r>
    <w:r w:rsidRPr="00CA4A8C">
      <w:rPr>
        <w:rFonts w:ascii="Arial" w:hAnsi="Arial" w:cs="Arial"/>
        <w:sz w:val="22"/>
        <w:szCs w:val="22"/>
      </w:rPr>
      <w:instrText>PAGE</w:instrText>
    </w:r>
    <w:r w:rsidRPr="00CA4A8C">
      <w:rPr>
        <w:rFonts w:ascii="Arial" w:hAnsi="Arial" w:cs="Arial"/>
        <w:sz w:val="22"/>
        <w:szCs w:val="22"/>
      </w:rPr>
      <w:fldChar w:fldCharType="separate"/>
    </w:r>
    <w:r w:rsidR="008068A6">
      <w:rPr>
        <w:rFonts w:ascii="Arial" w:hAnsi="Arial" w:cs="Arial"/>
        <w:noProof/>
        <w:sz w:val="22"/>
        <w:szCs w:val="22"/>
      </w:rPr>
      <w:t>2</w:t>
    </w:r>
    <w:r w:rsidRPr="00CA4A8C">
      <w:rPr>
        <w:rFonts w:ascii="Arial" w:hAnsi="Arial" w:cs="Arial"/>
        <w:sz w:val="22"/>
        <w:szCs w:val="22"/>
      </w:rPr>
      <w:fldChar w:fldCharType="end"/>
    </w:r>
    <w:r w:rsidRPr="00CA4A8C">
      <w:rPr>
        <w:rFonts w:ascii="Arial" w:hAnsi="Arial" w:cs="Arial"/>
        <w:sz w:val="22"/>
        <w:szCs w:val="22"/>
      </w:rPr>
      <w:t xml:space="preserve"> (celkem </w:t>
    </w:r>
    <w:r w:rsidRPr="00CA4A8C">
      <w:rPr>
        <w:rFonts w:ascii="Arial" w:hAnsi="Arial" w:cs="Arial"/>
        <w:sz w:val="22"/>
        <w:szCs w:val="22"/>
      </w:rPr>
      <w:fldChar w:fldCharType="begin"/>
    </w:r>
    <w:r w:rsidRPr="00CA4A8C">
      <w:rPr>
        <w:rFonts w:ascii="Arial" w:hAnsi="Arial" w:cs="Arial"/>
        <w:sz w:val="22"/>
        <w:szCs w:val="22"/>
      </w:rPr>
      <w:instrText>NUMPAGES</w:instrText>
    </w:r>
    <w:r w:rsidRPr="00CA4A8C">
      <w:rPr>
        <w:rFonts w:ascii="Arial" w:hAnsi="Arial" w:cs="Arial"/>
        <w:sz w:val="22"/>
        <w:szCs w:val="22"/>
      </w:rPr>
      <w:fldChar w:fldCharType="separate"/>
    </w:r>
    <w:r w:rsidR="008068A6">
      <w:rPr>
        <w:rFonts w:ascii="Arial" w:hAnsi="Arial" w:cs="Arial"/>
        <w:noProof/>
        <w:sz w:val="22"/>
        <w:szCs w:val="22"/>
      </w:rPr>
      <w:t>13</w:t>
    </w:r>
    <w:r w:rsidRPr="00CA4A8C">
      <w:rPr>
        <w:rFonts w:ascii="Arial" w:hAnsi="Arial" w:cs="Arial"/>
        <w:sz w:val="22"/>
        <w:szCs w:val="22"/>
      </w:rPr>
      <w:fldChar w:fldCharType="end"/>
    </w:r>
    <w:r w:rsidRPr="00CA4A8C">
      <w:rP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20" w:rsidRDefault="00475820">
      <w:r>
        <w:separator/>
      </w:r>
    </w:p>
  </w:footnote>
  <w:footnote w:type="continuationSeparator" w:id="0">
    <w:p w:rsidR="00475820" w:rsidRDefault="00475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872"/>
    <w:multiLevelType w:val="hybridMultilevel"/>
    <w:tmpl w:val="26223C6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684282A"/>
    <w:multiLevelType w:val="hybridMultilevel"/>
    <w:tmpl w:val="F9D2771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73D61BD"/>
    <w:multiLevelType w:val="hybridMultilevel"/>
    <w:tmpl w:val="F162D3BC"/>
    <w:lvl w:ilvl="0" w:tplc="703AFBE0">
      <w:start w:val="1"/>
      <w:numFmt w:val="decimal"/>
      <w:lvlText w:val="%1."/>
      <w:lvlJc w:val="left"/>
      <w:pPr>
        <w:tabs>
          <w:tab w:val="num" w:pos="720"/>
        </w:tabs>
        <w:ind w:left="720" w:hanging="360"/>
      </w:pPr>
      <w:rPr>
        <w:b w:val="0"/>
        <w:b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F735586"/>
    <w:multiLevelType w:val="hybridMultilevel"/>
    <w:tmpl w:val="6C8823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25C1D"/>
    <w:multiLevelType w:val="hybridMultilevel"/>
    <w:tmpl w:val="3CF4A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492DDA"/>
    <w:multiLevelType w:val="hybridMultilevel"/>
    <w:tmpl w:val="8B1C517E"/>
    <w:lvl w:ilvl="0" w:tplc="8CC6231E">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D25606"/>
    <w:multiLevelType w:val="hybridMultilevel"/>
    <w:tmpl w:val="BC2EA6CE"/>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7" w15:restartNumberingAfterBreak="0">
    <w:nsid w:val="1FFD6802"/>
    <w:multiLevelType w:val="hybridMultilevel"/>
    <w:tmpl w:val="907414BA"/>
    <w:lvl w:ilvl="0" w:tplc="B48498E0">
      <w:start w:val="8"/>
      <w:numFmt w:val="bullet"/>
      <w:lvlText w:val="-"/>
      <w:lvlJc w:val="left"/>
      <w:pPr>
        <w:tabs>
          <w:tab w:val="num" w:pos="1380"/>
        </w:tabs>
        <w:ind w:left="138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hint="default"/>
      </w:rPr>
    </w:lvl>
    <w:lvl w:ilvl="2" w:tplc="8A567AB0">
      <w:start w:val="1"/>
      <w:numFmt w:val="upperRoman"/>
      <w:lvlText w:val="%3."/>
      <w:lvlJc w:val="left"/>
      <w:pPr>
        <w:tabs>
          <w:tab w:val="num" w:pos="2520"/>
        </w:tabs>
        <w:ind w:left="2520" w:hanging="720"/>
      </w:pPr>
      <w:rPr>
        <w:rFont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28C1735"/>
    <w:multiLevelType w:val="hybridMultilevel"/>
    <w:tmpl w:val="FF3E70B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30E073A"/>
    <w:multiLevelType w:val="hybridMultilevel"/>
    <w:tmpl w:val="30A6A694"/>
    <w:lvl w:ilvl="0" w:tplc="0FCC40A4">
      <w:start w:val="1"/>
      <w:numFmt w:val="lowerLetter"/>
      <w:lvlText w:val="%1)"/>
      <w:lvlJc w:val="left"/>
      <w:pPr>
        <w:ind w:left="630" w:hanging="36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10" w15:restartNumberingAfterBreak="0">
    <w:nsid w:val="23D016A4"/>
    <w:multiLevelType w:val="hybridMultilevel"/>
    <w:tmpl w:val="091E2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814B08"/>
    <w:multiLevelType w:val="hybridMultilevel"/>
    <w:tmpl w:val="70F4C3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4A5D1E"/>
    <w:multiLevelType w:val="hybridMultilevel"/>
    <w:tmpl w:val="0414B8D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2BC25A0"/>
    <w:multiLevelType w:val="hybridMultilevel"/>
    <w:tmpl w:val="E9FAB7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C430C90"/>
    <w:multiLevelType w:val="multilevel"/>
    <w:tmpl w:val="76C84B24"/>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6C34A3"/>
    <w:multiLevelType w:val="hybridMultilevel"/>
    <w:tmpl w:val="2D50B66E"/>
    <w:lvl w:ilvl="0" w:tplc="B48498E0">
      <w:start w:val="8"/>
      <w:numFmt w:val="bullet"/>
      <w:lvlText w:val="-"/>
      <w:lvlJc w:val="left"/>
      <w:pPr>
        <w:tabs>
          <w:tab w:val="num" w:pos="1380"/>
        </w:tabs>
        <w:ind w:left="138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4733C61"/>
    <w:multiLevelType w:val="hybridMultilevel"/>
    <w:tmpl w:val="385C8B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D85044"/>
    <w:multiLevelType w:val="hybridMultilevel"/>
    <w:tmpl w:val="286050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F8D078D"/>
    <w:multiLevelType w:val="hybridMultilevel"/>
    <w:tmpl w:val="0CD225A0"/>
    <w:lvl w:ilvl="0" w:tplc="B2887D42">
      <w:start w:val="1"/>
      <w:numFmt w:val="decimal"/>
      <w:lvlText w:val="%1."/>
      <w:lvlJc w:val="left"/>
      <w:pPr>
        <w:ind w:left="357" w:hanging="357"/>
      </w:pPr>
      <w:rPr>
        <w:rFonts w:ascii="Arial" w:eastAsia="Calibri"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946836"/>
    <w:multiLevelType w:val="hybridMultilevel"/>
    <w:tmpl w:val="CBF885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D1098A"/>
    <w:multiLevelType w:val="hybridMultilevel"/>
    <w:tmpl w:val="4EF8D2E4"/>
    <w:lvl w:ilvl="0" w:tplc="EB9A328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567812CE"/>
    <w:multiLevelType w:val="hybridMultilevel"/>
    <w:tmpl w:val="17927F30"/>
    <w:lvl w:ilvl="0" w:tplc="0405000F">
      <w:start w:val="1"/>
      <w:numFmt w:val="decimal"/>
      <w:lvlText w:val="%1."/>
      <w:lvlJc w:val="left"/>
      <w:pPr>
        <w:tabs>
          <w:tab w:val="num" w:pos="720"/>
        </w:tabs>
        <w:ind w:left="720" w:hanging="360"/>
      </w:pPr>
    </w:lvl>
    <w:lvl w:ilvl="1" w:tplc="B48498E0">
      <w:start w:val="8"/>
      <w:numFmt w:val="bullet"/>
      <w:lvlText w:val="-"/>
      <w:lvlJc w:val="left"/>
      <w:pPr>
        <w:tabs>
          <w:tab w:val="num" w:pos="1440"/>
        </w:tabs>
        <w:ind w:left="1440" w:hanging="360"/>
      </w:pPr>
      <w:rPr>
        <w:rFonts w:ascii="Times New Roman" w:eastAsia="Times New Roman" w:hAnsi="Times New Roman" w:hint="default"/>
      </w:r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6FB31A6"/>
    <w:multiLevelType w:val="hybridMultilevel"/>
    <w:tmpl w:val="5748E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5C1559"/>
    <w:multiLevelType w:val="hybridMultilevel"/>
    <w:tmpl w:val="439055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A7688C"/>
    <w:multiLevelType w:val="hybridMultilevel"/>
    <w:tmpl w:val="EA3200E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65D73F64"/>
    <w:multiLevelType w:val="hybridMultilevel"/>
    <w:tmpl w:val="49E2F5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BC690D"/>
    <w:multiLevelType w:val="hybridMultilevel"/>
    <w:tmpl w:val="D368CD40"/>
    <w:lvl w:ilvl="0" w:tplc="FBBC0FBA">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6C451F"/>
    <w:multiLevelType w:val="hybridMultilevel"/>
    <w:tmpl w:val="9620E3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AB3370"/>
    <w:multiLevelType w:val="hybridMultilevel"/>
    <w:tmpl w:val="230E3D6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9" w15:restartNumberingAfterBreak="0">
    <w:nsid w:val="6A866DA0"/>
    <w:multiLevelType w:val="hybridMultilevel"/>
    <w:tmpl w:val="69125624"/>
    <w:lvl w:ilvl="0" w:tplc="85963FDA">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2F067A"/>
    <w:multiLevelType w:val="hybridMultilevel"/>
    <w:tmpl w:val="38101B4E"/>
    <w:lvl w:ilvl="0" w:tplc="20907F30">
      <w:start w:val="1"/>
      <w:numFmt w:val="lowerLetter"/>
      <w:lvlText w:val="%1)"/>
      <w:lvlJc w:val="left"/>
      <w:pPr>
        <w:ind w:left="357"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8E73FB"/>
    <w:multiLevelType w:val="hybridMultilevel"/>
    <w:tmpl w:val="E68E7B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5"/>
  </w:num>
  <w:num w:numId="3">
    <w:abstractNumId w:val="24"/>
  </w:num>
  <w:num w:numId="4">
    <w:abstractNumId w:val="1"/>
  </w:num>
  <w:num w:numId="5">
    <w:abstractNumId w:val="13"/>
  </w:num>
  <w:num w:numId="6">
    <w:abstractNumId w:val="21"/>
  </w:num>
  <w:num w:numId="7">
    <w:abstractNumId w:val="15"/>
  </w:num>
  <w:num w:numId="8">
    <w:abstractNumId w:val="7"/>
  </w:num>
  <w:num w:numId="9">
    <w:abstractNumId w:val="2"/>
  </w:num>
  <w:num w:numId="10">
    <w:abstractNumId w:val="8"/>
  </w:num>
  <w:num w:numId="11">
    <w:abstractNumId w:val="17"/>
  </w:num>
  <w:num w:numId="12">
    <w:abstractNumId w:val="3"/>
  </w:num>
  <w:num w:numId="13">
    <w:abstractNumId w:val="12"/>
  </w:num>
  <w:num w:numId="14">
    <w:abstractNumId w:val="25"/>
  </w:num>
  <w:num w:numId="15">
    <w:abstractNumId w:val="28"/>
  </w:num>
  <w:num w:numId="16">
    <w:abstractNumId w:val="0"/>
  </w:num>
  <w:num w:numId="17">
    <w:abstractNumId w:val="10"/>
  </w:num>
  <w:num w:numId="18">
    <w:abstractNumId w:val="31"/>
  </w:num>
  <w:num w:numId="19">
    <w:abstractNumId w:val="4"/>
  </w:num>
  <w:num w:numId="20">
    <w:abstractNumId w:val="16"/>
  </w:num>
  <w:num w:numId="21">
    <w:abstractNumId w:val="29"/>
    <w:lvlOverride w:ilvl="0">
      <w:startOverride w:val="1"/>
    </w:lvlOverride>
  </w:num>
  <w:num w:numId="22">
    <w:abstractNumId w:val="18"/>
  </w:num>
  <w:num w:numId="23">
    <w:abstractNumId w:val="30"/>
  </w:num>
  <w:num w:numId="24">
    <w:abstractNumId w:val="26"/>
  </w:num>
  <w:num w:numId="25">
    <w:abstractNumId w:val="20"/>
  </w:num>
  <w:num w:numId="26">
    <w:abstractNumId w:val="9"/>
  </w:num>
  <w:num w:numId="27">
    <w:abstractNumId w:val="19"/>
  </w:num>
  <w:num w:numId="28">
    <w:abstractNumId w:val="22"/>
  </w:num>
  <w:num w:numId="29">
    <w:abstractNumId w:val="27"/>
  </w:num>
  <w:num w:numId="30">
    <w:abstractNumId w:val="6"/>
  </w:num>
  <w:num w:numId="31">
    <w:abstractNumId w:val="14"/>
    <w:lvlOverride w:ilvl="0">
      <w:lvl w:ilvl="0">
        <w:start w:val="1"/>
        <w:numFmt w:val="upperRoman"/>
        <w:pStyle w:val="StylI"/>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pStyle w:val="Styla"/>
        <w:lvlText w:val="%3)"/>
        <w:lvlJc w:val="left"/>
        <w:pPr>
          <w:ind w:left="504" w:hanging="504"/>
        </w:pPr>
        <w:rPr>
          <w:rFonts w:hint="default"/>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71"/>
    <w:rsid w:val="000134BD"/>
    <w:rsid w:val="00015D4E"/>
    <w:rsid w:val="0001676C"/>
    <w:rsid w:val="000210EE"/>
    <w:rsid w:val="000234CF"/>
    <w:rsid w:val="00027A0D"/>
    <w:rsid w:val="00031174"/>
    <w:rsid w:val="00031CB8"/>
    <w:rsid w:val="000335F7"/>
    <w:rsid w:val="00050CB9"/>
    <w:rsid w:val="00062C44"/>
    <w:rsid w:val="00075C4B"/>
    <w:rsid w:val="00076D39"/>
    <w:rsid w:val="00085EB5"/>
    <w:rsid w:val="00093098"/>
    <w:rsid w:val="0009446D"/>
    <w:rsid w:val="0009672B"/>
    <w:rsid w:val="000970C1"/>
    <w:rsid w:val="000A7FF0"/>
    <w:rsid w:val="000B085C"/>
    <w:rsid w:val="000B0EAC"/>
    <w:rsid w:val="000B6E8A"/>
    <w:rsid w:val="000C107A"/>
    <w:rsid w:val="000C17DC"/>
    <w:rsid w:val="000C7DB2"/>
    <w:rsid w:val="000C7F33"/>
    <w:rsid w:val="000E3BE9"/>
    <w:rsid w:val="000F2F86"/>
    <w:rsid w:val="000F6571"/>
    <w:rsid w:val="000F7617"/>
    <w:rsid w:val="000F7DFF"/>
    <w:rsid w:val="001034E9"/>
    <w:rsid w:val="00105F42"/>
    <w:rsid w:val="00110AAF"/>
    <w:rsid w:val="001145BB"/>
    <w:rsid w:val="0012692B"/>
    <w:rsid w:val="00132892"/>
    <w:rsid w:val="00140086"/>
    <w:rsid w:val="00142DDD"/>
    <w:rsid w:val="00145705"/>
    <w:rsid w:val="00145F88"/>
    <w:rsid w:val="001463DB"/>
    <w:rsid w:val="0014667B"/>
    <w:rsid w:val="001619EE"/>
    <w:rsid w:val="00163E51"/>
    <w:rsid w:val="00171E8C"/>
    <w:rsid w:val="00174E6F"/>
    <w:rsid w:val="001811ED"/>
    <w:rsid w:val="00182251"/>
    <w:rsid w:val="001848D8"/>
    <w:rsid w:val="00195697"/>
    <w:rsid w:val="001A6B27"/>
    <w:rsid w:val="001B2EDE"/>
    <w:rsid w:val="001C1BAD"/>
    <w:rsid w:val="001C269F"/>
    <w:rsid w:val="001D55D4"/>
    <w:rsid w:val="001F2AE0"/>
    <w:rsid w:val="001F33A5"/>
    <w:rsid w:val="00205563"/>
    <w:rsid w:val="00212ADB"/>
    <w:rsid w:val="002132CD"/>
    <w:rsid w:val="00213689"/>
    <w:rsid w:val="00213C54"/>
    <w:rsid w:val="0021584C"/>
    <w:rsid w:val="00217309"/>
    <w:rsid w:val="00241C0B"/>
    <w:rsid w:val="00245780"/>
    <w:rsid w:val="00251F4D"/>
    <w:rsid w:val="00254415"/>
    <w:rsid w:val="00254AB0"/>
    <w:rsid w:val="00256677"/>
    <w:rsid w:val="00260FE0"/>
    <w:rsid w:val="0027082B"/>
    <w:rsid w:val="00283BD9"/>
    <w:rsid w:val="00287369"/>
    <w:rsid w:val="00291F07"/>
    <w:rsid w:val="002A26E9"/>
    <w:rsid w:val="002A29FE"/>
    <w:rsid w:val="002A3C0A"/>
    <w:rsid w:val="002C659D"/>
    <w:rsid w:val="002C6EC1"/>
    <w:rsid w:val="002D0FC5"/>
    <w:rsid w:val="002D6F9B"/>
    <w:rsid w:val="002E4804"/>
    <w:rsid w:val="002F055A"/>
    <w:rsid w:val="002F3DE8"/>
    <w:rsid w:val="002F613F"/>
    <w:rsid w:val="002F73D4"/>
    <w:rsid w:val="00300340"/>
    <w:rsid w:val="003044A7"/>
    <w:rsid w:val="00307BD2"/>
    <w:rsid w:val="00326115"/>
    <w:rsid w:val="003731BF"/>
    <w:rsid w:val="003830B7"/>
    <w:rsid w:val="003A6757"/>
    <w:rsid w:val="003C3A84"/>
    <w:rsid w:val="003C4DB3"/>
    <w:rsid w:val="003D276A"/>
    <w:rsid w:val="003D46CE"/>
    <w:rsid w:val="0040041F"/>
    <w:rsid w:val="0040573A"/>
    <w:rsid w:val="00406325"/>
    <w:rsid w:val="004111C8"/>
    <w:rsid w:val="004137ED"/>
    <w:rsid w:val="0041599D"/>
    <w:rsid w:val="00415B25"/>
    <w:rsid w:val="00417825"/>
    <w:rsid w:val="00420190"/>
    <w:rsid w:val="004370EB"/>
    <w:rsid w:val="00446FBD"/>
    <w:rsid w:val="0045672B"/>
    <w:rsid w:val="00460413"/>
    <w:rsid w:val="00475820"/>
    <w:rsid w:val="00482E7B"/>
    <w:rsid w:val="00486C92"/>
    <w:rsid w:val="00497C75"/>
    <w:rsid w:val="004A3655"/>
    <w:rsid w:val="004A3B5C"/>
    <w:rsid w:val="004B4755"/>
    <w:rsid w:val="004D4119"/>
    <w:rsid w:val="004F00D3"/>
    <w:rsid w:val="004F0FA9"/>
    <w:rsid w:val="004F505A"/>
    <w:rsid w:val="004F7C59"/>
    <w:rsid w:val="0050118B"/>
    <w:rsid w:val="00506235"/>
    <w:rsid w:val="005112EB"/>
    <w:rsid w:val="00515C11"/>
    <w:rsid w:val="005213A9"/>
    <w:rsid w:val="00522DBE"/>
    <w:rsid w:val="00540F7C"/>
    <w:rsid w:val="00542485"/>
    <w:rsid w:val="0054543D"/>
    <w:rsid w:val="00551CE7"/>
    <w:rsid w:val="00554BF6"/>
    <w:rsid w:val="00555320"/>
    <w:rsid w:val="00556ED7"/>
    <w:rsid w:val="00561A71"/>
    <w:rsid w:val="0057196C"/>
    <w:rsid w:val="00571E9C"/>
    <w:rsid w:val="00586D3F"/>
    <w:rsid w:val="00586F0C"/>
    <w:rsid w:val="00594E76"/>
    <w:rsid w:val="00597FEB"/>
    <w:rsid w:val="005A278E"/>
    <w:rsid w:val="005A325F"/>
    <w:rsid w:val="005A5A03"/>
    <w:rsid w:val="005B1037"/>
    <w:rsid w:val="005C610B"/>
    <w:rsid w:val="005D5146"/>
    <w:rsid w:val="005E7888"/>
    <w:rsid w:val="005F3E8E"/>
    <w:rsid w:val="005F77BA"/>
    <w:rsid w:val="006031F4"/>
    <w:rsid w:val="00607570"/>
    <w:rsid w:val="00624CC9"/>
    <w:rsid w:val="006300F5"/>
    <w:rsid w:val="006313E3"/>
    <w:rsid w:val="00633AD7"/>
    <w:rsid w:val="006357A2"/>
    <w:rsid w:val="0064154D"/>
    <w:rsid w:val="006418D9"/>
    <w:rsid w:val="00641AB8"/>
    <w:rsid w:val="00641D5F"/>
    <w:rsid w:val="006426D2"/>
    <w:rsid w:val="006427E1"/>
    <w:rsid w:val="00657CAA"/>
    <w:rsid w:val="00666592"/>
    <w:rsid w:val="00666F76"/>
    <w:rsid w:val="006707E2"/>
    <w:rsid w:val="00673745"/>
    <w:rsid w:val="006742FC"/>
    <w:rsid w:val="00691591"/>
    <w:rsid w:val="006955C8"/>
    <w:rsid w:val="00695E74"/>
    <w:rsid w:val="006A166B"/>
    <w:rsid w:val="006A5ACC"/>
    <w:rsid w:val="006A6664"/>
    <w:rsid w:val="006A7FC0"/>
    <w:rsid w:val="006C6B59"/>
    <w:rsid w:val="006D1F0C"/>
    <w:rsid w:val="006D6FEC"/>
    <w:rsid w:val="006F191C"/>
    <w:rsid w:val="006F1E98"/>
    <w:rsid w:val="00701446"/>
    <w:rsid w:val="007116F2"/>
    <w:rsid w:val="00713C32"/>
    <w:rsid w:val="00730071"/>
    <w:rsid w:val="00732AD3"/>
    <w:rsid w:val="00733FFA"/>
    <w:rsid w:val="00740F2F"/>
    <w:rsid w:val="00745A70"/>
    <w:rsid w:val="00755BEE"/>
    <w:rsid w:val="00763121"/>
    <w:rsid w:val="007640C2"/>
    <w:rsid w:val="00772DE0"/>
    <w:rsid w:val="00773072"/>
    <w:rsid w:val="007801AD"/>
    <w:rsid w:val="007908EB"/>
    <w:rsid w:val="007952FD"/>
    <w:rsid w:val="007A3FC1"/>
    <w:rsid w:val="007B16F9"/>
    <w:rsid w:val="007B4080"/>
    <w:rsid w:val="007C2824"/>
    <w:rsid w:val="007D7E0C"/>
    <w:rsid w:val="007E1384"/>
    <w:rsid w:val="007E6DCF"/>
    <w:rsid w:val="007E6DF7"/>
    <w:rsid w:val="007F0C8F"/>
    <w:rsid w:val="007F1990"/>
    <w:rsid w:val="007F6497"/>
    <w:rsid w:val="007F77DB"/>
    <w:rsid w:val="00804406"/>
    <w:rsid w:val="008068A6"/>
    <w:rsid w:val="0080715D"/>
    <w:rsid w:val="008275AF"/>
    <w:rsid w:val="00827932"/>
    <w:rsid w:val="0083036B"/>
    <w:rsid w:val="00842305"/>
    <w:rsid w:val="00847DAC"/>
    <w:rsid w:val="00850594"/>
    <w:rsid w:val="0085141E"/>
    <w:rsid w:val="00860C55"/>
    <w:rsid w:val="008640C6"/>
    <w:rsid w:val="00864230"/>
    <w:rsid w:val="008669D1"/>
    <w:rsid w:val="008777EA"/>
    <w:rsid w:val="00882FD6"/>
    <w:rsid w:val="00884225"/>
    <w:rsid w:val="00890527"/>
    <w:rsid w:val="00890A0C"/>
    <w:rsid w:val="00893C78"/>
    <w:rsid w:val="008A46C8"/>
    <w:rsid w:val="008B55BA"/>
    <w:rsid w:val="008B667F"/>
    <w:rsid w:val="008B76DC"/>
    <w:rsid w:val="008D1D31"/>
    <w:rsid w:val="008D2F86"/>
    <w:rsid w:val="008D6DFC"/>
    <w:rsid w:val="008F2F63"/>
    <w:rsid w:val="008F7AA8"/>
    <w:rsid w:val="009056DD"/>
    <w:rsid w:val="00924316"/>
    <w:rsid w:val="00927873"/>
    <w:rsid w:val="00942FA3"/>
    <w:rsid w:val="00944ACF"/>
    <w:rsid w:val="00952A73"/>
    <w:rsid w:val="00952E4D"/>
    <w:rsid w:val="0095311F"/>
    <w:rsid w:val="00960CE2"/>
    <w:rsid w:val="00971560"/>
    <w:rsid w:val="009816D4"/>
    <w:rsid w:val="00985528"/>
    <w:rsid w:val="00992F5F"/>
    <w:rsid w:val="009945AB"/>
    <w:rsid w:val="00994602"/>
    <w:rsid w:val="00996840"/>
    <w:rsid w:val="009A07B4"/>
    <w:rsid w:val="009A2376"/>
    <w:rsid w:val="009B018D"/>
    <w:rsid w:val="009B1CD8"/>
    <w:rsid w:val="009B2879"/>
    <w:rsid w:val="009B435F"/>
    <w:rsid w:val="009B66D5"/>
    <w:rsid w:val="009C0107"/>
    <w:rsid w:val="009C0FFC"/>
    <w:rsid w:val="009C61AA"/>
    <w:rsid w:val="009D106C"/>
    <w:rsid w:val="009E08D5"/>
    <w:rsid w:val="009E1556"/>
    <w:rsid w:val="009E1CBD"/>
    <w:rsid w:val="009E2F2B"/>
    <w:rsid w:val="009E44F6"/>
    <w:rsid w:val="009F5898"/>
    <w:rsid w:val="00A010A6"/>
    <w:rsid w:val="00A1223A"/>
    <w:rsid w:val="00A13DFF"/>
    <w:rsid w:val="00A14F73"/>
    <w:rsid w:val="00A1699D"/>
    <w:rsid w:val="00A17317"/>
    <w:rsid w:val="00A1761E"/>
    <w:rsid w:val="00A23B21"/>
    <w:rsid w:val="00A30715"/>
    <w:rsid w:val="00A66DC5"/>
    <w:rsid w:val="00A71839"/>
    <w:rsid w:val="00A7257B"/>
    <w:rsid w:val="00A9274E"/>
    <w:rsid w:val="00A95D6D"/>
    <w:rsid w:val="00A964FB"/>
    <w:rsid w:val="00AA229E"/>
    <w:rsid w:val="00AA79FB"/>
    <w:rsid w:val="00AC469B"/>
    <w:rsid w:val="00AC61A4"/>
    <w:rsid w:val="00AD16F9"/>
    <w:rsid w:val="00AD59F5"/>
    <w:rsid w:val="00AE58D8"/>
    <w:rsid w:val="00AF016A"/>
    <w:rsid w:val="00B028CF"/>
    <w:rsid w:val="00B03027"/>
    <w:rsid w:val="00B03196"/>
    <w:rsid w:val="00B06252"/>
    <w:rsid w:val="00B13A53"/>
    <w:rsid w:val="00B15D35"/>
    <w:rsid w:val="00B1751C"/>
    <w:rsid w:val="00B216C3"/>
    <w:rsid w:val="00B225EF"/>
    <w:rsid w:val="00B35377"/>
    <w:rsid w:val="00B36190"/>
    <w:rsid w:val="00B36E14"/>
    <w:rsid w:val="00B42A2B"/>
    <w:rsid w:val="00B574C5"/>
    <w:rsid w:val="00B62844"/>
    <w:rsid w:val="00B75488"/>
    <w:rsid w:val="00B754CD"/>
    <w:rsid w:val="00B77102"/>
    <w:rsid w:val="00B81330"/>
    <w:rsid w:val="00B841AA"/>
    <w:rsid w:val="00B87E94"/>
    <w:rsid w:val="00B919FC"/>
    <w:rsid w:val="00B9676E"/>
    <w:rsid w:val="00BA7B6B"/>
    <w:rsid w:val="00BA7DC0"/>
    <w:rsid w:val="00BB16BC"/>
    <w:rsid w:val="00BB7D1B"/>
    <w:rsid w:val="00BC254D"/>
    <w:rsid w:val="00BC4BEC"/>
    <w:rsid w:val="00BD535C"/>
    <w:rsid w:val="00BD5685"/>
    <w:rsid w:val="00BE2FD2"/>
    <w:rsid w:val="00BE57BF"/>
    <w:rsid w:val="00BE7CD7"/>
    <w:rsid w:val="00BF0290"/>
    <w:rsid w:val="00BF16F4"/>
    <w:rsid w:val="00BF185D"/>
    <w:rsid w:val="00BF345C"/>
    <w:rsid w:val="00BF6B3F"/>
    <w:rsid w:val="00BF748E"/>
    <w:rsid w:val="00C02376"/>
    <w:rsid w:val="00C10E25"/>
    <w:rsid w:val="00C31EB0"/>
    <w:rsid w:val="00C31F3B"/>
    <w:rsid w:val="00C331D4"/>
    <w:rsid w:val="00C33C20"/>
    <w:rsid w:val="00C373D0"/>
    <w:rsid w:val="00C378D4"/>
    <w:rsid w:val="00C43CCD"/>
    <w:rsid w:val="00C512C0"/>
    <w:rsid w:val="00C559CB"/>
    <w:rsid w:val="00C57BB6"/>
    <w:rsid w:val="00C62AE9"/>
    <w:rsid w:val="00C7306B"/>
    <w:rsid w:val="00C76369"/>
    <w:rsid w:val="00C963D3"/>
    <w:rsid w:val="00C97C9D"/>
    <w:rsid w:val="00CA0B69"/>
    <w:rsid w:val="00CA3063"/>
    <w:rsid w:val="00CC297A"/>
    <w:rsid w:val="00D00D44"/>
    <w:rsid w:val="00D06855"/>
    <w:rsid w:val="00D24678"/>
    <w:rsid w:val="00D276A3"/>
    <w:rsid w:val="00D30CD3"/>
    <w:rsid w:val="00D321ED"/>
    <w:rsid w:val="00D40886"/>
    <w:rsid w:val="00D42951"/>
    <w:rsid w:val="00D50532"/>
    <w:rsid w:val="00D53649"/>
    <w:rsid w:val="00D61866"/>
    <w:rsid w:val="00D62957"/>
    <w:rsid w:val="00D6518C"/>
    <w:rsid w:val="00D74F94"/>
    <w:rsid w:val="00D7555E"/>
    <w:rsid w:val="00D80871"/>
    <w:rsid w:val="00D8243C"/>
    <w:rsid w:val="00D86AFE"/>
    <w:rsid w:val="00D93CBD"/>
    <w:rsid w:val="00D94C40"/>
    <w:rsid w:val="00D97A32"/>
    <w:rsid w:val="00DA317E"/>
    <w:rsid w:val="00DB303D"/>
    <w:rsid w:val="00DB516E"/>
    <w:rsid w:val="00DB7A85"/>
    <w:rsid w:val="00DC5F27"/>
    <w:rsid w:val="00DD13F6"/>
    <w:rsid w:val="00DD4073"/>
    <w:rsid w:val="00DE018C"/>
    <w:rsid w:val="00DE1F1F"/>
    <w:rsid w:val="00DE2516"/>
    <w:rsid w:val="00DE3EF8"/>
    <w:rsid w:val="00DE5945"/>
    <w:rsid w:val="00DE6B25"/>
    <w:rsid w:val="00DE7FFA"/>
    <w:rsid w:val="00DF31E1"/>
    <w:rsid w:val="00DF3F5B"/>
    <w:rsid w:val="00DF66B1"/>
    <w:rsid w:val="00E0101F"/>
    <w:rsid w:val="00E111E0"/>
    <w:rsid w:val="00E13525"/>
    <w:rsid w:val="00E13B70"/>
    <w:rsid w:val="00E13CF6"/>
    <w:rsid w:val="00E1562D"/>
    <w:rsid w:val="00E15BD2"/>
    <w:rsid w:val="00E172A8"/>
    <w:rsid w:val="00E235D5"/>
    <w:rsid w:val="00E3078D"/>
    <w:rsid w:val="00E35B0A"/>
    <w:rsid w:val="00E364F6"/>
    <w:rsid w:val="00E41D3B"/>
    <w:rsid w:val="00E42D6D"/>
    <w:rsid w:val="00E44B4E"/>
    <w:rsid w:val="00E46442"/>
    <w:rsid w:val="00E464EE"/>
    <w:rsid w:val="00E47DEE"/>
    <w:rsid w:val="00E61AE1"/>
    <w:rsid w:val="00E765B5"/>
    <w:rsid w:val="00E8534D"/>
    <w:rsid w:val="00E90993"/>
    <w:rsid w:val="00E92E6A"/>
    <w:rsid w:val="00E95F32"/>
    <w:rsid w:val="00E979EA"/>
    <w:rsid w:val="00EA3AAA"/>
    <w:rsid w:val="00EA3B4F"/>
    <w:rsid w:val="00EB0F86"/>
    <w:rsid w:val="00EB21CE"/>
    <w:rsid w:val="00EB50D1"/>
    <w:rsid w:val="00ED1780"/>
    <w:rsid w:val="00EF5EFF"/>
    <w:rsid w:val="00F17767"/>
    <w:rsid w:val="00F179CE"/>
    <w:rsid w:val="00F25F45"/>
    <w:rsid w:val="00F272B9"/>
    <w:rsid w:val="00F346F1"/>
    <w:rsid w:val="00F40AA2"/>
    <w:rsid w:val="00F452C8"/>
    <w:rsid w:val="00F54DFA"/>
    <w:rsid w:val="00F63DBC"/>
    <w:rsid w:val="00FD49B5"/>
    <w:rsid w:val="00FE084B"/>
    <w:rsid w:val="00FE1A7B"/>
    <w:rsid w:val="00FE5D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5:chartTrackingRefBased/>
  <w15:docId w15:val="{232A6E27-4420-4F4F-A999-50EA9E5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outlineLvl w:val="1"/>
    </w:pPr>
    <w:rPr>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character" w:styleId="Hypertextovodkaz">
    <w:name w:val="Hyperlink"/>
    <w:rPr>
      <w:color w:val="0000FF"/>
      <w:u w:val="single"/>
    </w:rPr>
  </w:style>
  <w:style w:type="paragraph" w:styleId="Rozloendokumentu">
    <w:name w:val="Document Map"/>
    <w:basedOn w:val="Normln"/>
    <w:semiHidden/>
    <w:rsid w:val="00E235D5"/>
    <w:pPr>
      <w:shd w:val="clear" w:color="auto" w:fill="000080"/>
    </w:pPr>
    <w:rPr>
      <w:rFonts w:ascii="Tahoma" w:hAnsi="Tahoma" w:cs="Tahoma"/>
      <w:sz w:val="20"/>
      <w:szCs w:val="20"/>
    </w:rPr>
  </w:style>
  <w:style w:type="paragraph" w:styleId="Textbubliny">
    <w:name w:val="Balloon Text"/>
    <w:basedOn w:val="Normln"/>
    <w:semiHidden/>
    <w:rsid w:val="00E235D5"/>
    <w:rPr>
      <w:rFonts w:ascii="Tahoma" w:hAnsi="Tahoma" w:cs="Tahoma"/>
      <w:sz w:val="16"/>
      <w:szCs w:val="16"/>
    </w:rPr>
  </w:style>
  <w:style w:type="character" w:styleId="Odkaznakoment">
    <w:name w:val="annotation reference"/>
    <w:semiHidden/>
    <w:rsid w:val="00B028CF"/>
    <w:rPr>
      <w:sz w:val="16"/>
      <w:szCs w:val="16"/>
    </w:rPr>
  </w:style>
  <w:style w:type="paragraph" w:styleId="Textkomente">
    <w:name w:val="annotation text"/>
    <w:basedOn w:val="Normln"/>
    <w:semiHidden/>
    <w:rsid w:val="00B028CF"/>
    <w:rPr>
      <w:sz w:val="20"/>
      <w:szCs w:val="20"/>
    </w:rPr>
  </w:style>
  <w:style w:type="paragraph" w:styleId="Pedmtkomente">
    <w:name w:val="annotation subject"/>
    <w:basedOn w:val="Textkomente"/>
    <w:next w:val="Textkomente"/>
    <w:semiHidden/>
    <w:rsid w:val="00B028CF"/>
    <w:rPr>
      <w:b/>
      <w:bCs/>
    </w:rPr>
  </w:style>
  <w:style w:type="table" w:styleId="Mkatabulky">
    <w:name w:val="Table Grid"/>
    <w:basedOn w:val="Normlntabulka"/>
    <w:rsid w:val="005F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942FA3"/>
    <w:pPr>
      <w:tabs>
        <w:tab w:val="center" w:pos="4536"/>
        <w:tab w:val="right" w:pos="9072"/>
      </w:tabs>
    </w:pPr>
  </w:style>
  <w:style w:type="character" w:styleId="slostrnky">
    <w:name w:val="page number"/>
    <w:basedOn w:val="Standardnpsmoodstavce"/>
    <w:rsid w:val="00942FA3"/>
  </w:style>
  <w:style w:type="paragraph" w:styleId="Zhlav">
    <w:name w:val="header"/>
    <w:basedOn w:val="Normln"/>
    <w:rsid w:val="00942FA3"/>
    <w:pPr>
      <w:tabs>
        <w:tab w:val="center" w:pos="4536"/>
        <w:tab w:val="right" w:pos="9072"/>
      </w:tabs>
    </w:pPr>
  </w:style>
  <w:style w:type="paragraph" w:styleId="Podnadpis">
    <w:name w:val="Subtitle"/>
    <w:basedOn w:val="Normln"/>
    <w:next w:val="Normln"/>
    <w:link w:val="PodnadpisChar"/>
    <w:uiPriority w:val="11"/>
    <w:qFormat/>
    <w:rsid w:val="00E92E6A"/>
    <w:pPr>
      <w:spacing w:after="60"/>
      <w:jc w:val="center"/>
      <w:outlineLvl w:val="1"/>
    </w:pPr>
    <w:rPr>
      <w:rFonts w:ascii="Cambria" w:hAnsi="Cambria" w:cs="Times New Roman"/>
    </w:rPr>
  </w:style>
  <w:style w:type="character" w:customStyle="1" w:styleId="PodnadpisChar">
    <w:name w:val="Podnadpis Char"/>
    <w:link w:val="Podnadpis"/>
    <w:uiPriority w:val="11"/>
    <w:rsid w:val="00E92E6A"/>
    <w:rPr>
      <w:rFonts w:ascii="Cambria" w:hAnsi="Cambria"/>
      <w:sz w:val="24"/>
      <w:szCs w:val="24"/>
    </w:rPr>
  </w:style>
  <w:style w:type="character" w:customStyle="1" w:styleId="Styl1Char">
    <w:name w:val="Styl   1. Char"/>
    <w:link w:val="Styl1"/>
    <w:locked/>
    <w:rsid w:val="00D30CD3"/>
    <w:rPr>
      <w:rFonts w:ascii="Arial" w:hAnsi="Arial" w:cs="Arial"/>
    </w:rPr>
  </w:style>
  <w:style w:type="paragraph" w:customStyle="1" w:styleId="Styl1">
    <w:name w:val="Styl   1."/>
    <w:basedOn w:val="Normln"/>
    <w:link w:val="Styl1Char"/>
    <w:rsid w:val="00D30CD3"/>
    <w:pPr>
      <w:spacing w:before="120" w:after="240"/>
      <w:ind w:left="357" w:hanging="357"/>
      <w:jc w:val="both"/>
    </w:pPr>
    <w:rPr>
      <w:sz w:val="20"/>
      <w:szCs w:val="20"/>
    </w:rPr>
  </w:style>
  <w:style w:type="paragraph" w:styleId="Odstavecseseznamem">
    <w:name w:val="List Paragraph"/>
    <w:basedOn w:val="Normln"/>
    <w:uiPriority w:val="34"/>
    <w:qFormat/>
    <w:rsid w:val="00E15BD2"/>
    <w:pPr>
      <w:ind w:left="720"/>
      <w:contextualSpacing/>
    </w:pPr>
  </w:style>
  <w:style w:type="paragraph" w:customStyle="1" w:styleId="Hlavikajnadpis">
    <w:name w:val="Hlavička č.j. nadpis"/>
    <w:basedOn w:val="Normln"/>
    <w:rsid w:val="00E979EA"/>
    <w:pPr>
      <w:widowControl w:val="0"/>
      <w:spacing w:before="40" w:after="40"/>
      <w:jc w:val="both"/>
    </w:pPr>
    <w:rPr>
      <w:rFonts w:cs="Times New Roman"/>
      <w:sz w:val="18"/>
      <w:szCs w:val="20"/>
    </w:rPr>
  </w:style>
  <w:style w:type="paragraph" w:customStyle="1" w:styleId="Styla">
    <w:name w:val="Styl a)"/>
    <w:basedOn w:val="Odstavecseseznamem"/>
    <w:qFormat/>
    <w:rsid w:val="00A7257B"/>
    <w:pPr>
      <w:numPr>
        <w:ilvl w:val="2"/>
        <w:numId w:val="31"/>
      </w:numPr>
      <w:spacing w:before="120" w:after="240"/>
      <w:contextualSpacing w:val="0"/>
      <w:jc w:val="both"/>
    </w:pPr>
    <w:rPr>
      <w:rFonts w:eastAsia="Calibri"/>
      <w:sz w:val="22"/>
      <w:szCs w:val="22"/>
      <w:lang w:eastAsia="en-US"/>
    </w:rPr>
  </w:style>
  <w:style w:type="paragraph" w:customStyle="1" w:styleId="Stylaa">
    <w:name w:val="Styl aa)"/>
    <w:basedOn w:val="Odstavecseseznamem"/>
    <w:qFormat/>
    <w:rsid w:val="00A7257B"/>
    <w:pPr>
      <w:numPr>
        <w:ilvl w:val="3"/>
        <w:numId w:val="31"/>
      </w:numPr>
      <w:spacing w:before="120" w:after="240"/>
      <w:contextualSpacing w:val="0"/>
      <w:jc w:val="both"/>
    </w:pPr>
    <w:rPr>
      <w:rFonts w:eastAsia="Calibri"/>
      <w:sz w:val="22"/>
      <w:szCs w:val="22"/>
      <w:lang w:eastAsia="en-US"/>
    </w:rPr>
  </w:style>
  <w:style w:type="paragraph" w:customStyle="1" w:styleId="StylI">
    <w:name w:val="Styl I."/>
    <w:basedOn w:val="Odstavecseseznamem"/>
    <w:link w:val="StylIChar"/>
    <w:qFormat/>
    <w:rsid w:val="00A7257B"/>
    <w:pPr>
      <w:numPr>
        <w:numId w:val="31"/>
      </w:numPr>
      <w:spacing w:before="120" w:after="240"/>
      <w:contextualSpacing w:val="0"/>
      <w:jc w:val="both"/>
    </w:pPr>
    <w:rPr>
      <w:rFonts w:eastAsia="Calibri"/>
      <w:sz w:val="22"/>
      <w:szCs w:val="22"/>
      <w:lang w:eastAsia="en-US"/>
    </w:rPr>
  </w:style>
  <w:style w:type="character" w:customStyle="1" w:styleId="StylIChar">
    <w:name w:val="Styl I. Char"/>
    <w:link w:val="StylI"/>
    <w:rsid w:val="00A7257B"/>
    <w:rPr>
      <w:rFonts w:ascii="Arial" w:eastAsia="Calibri" w:hAnsi="Arial" w:cs="Arial"/>
      <w:sz w:val="22"/>
      <w:szCs w:val="22"/>
      <w:lang w:eastAsia="en-US"/>
    </w:rPr>
  </w:style>
  <w:style w:type="numbering" w:customStyle="1" w:styleId="StylI-aa">
    <w:name w:val="Styl I-aa)"/>
    <w:uiPriority w:val="99"/>
    <w:rsid w:val="00A7257B"/>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1600">
      <w:bodyDiv w:val="1"/>
      <w:marLeft w:val="0"/>
      <w:marRight w:val="0"/>
      <w:marTop w:val="0"/>
      <w:marBottom w:val="0"/>
      <w:divBdr>
        <w:top w:val="none" w:sz="0" w:space="0" w:color="auto"/>
        <w:left w:val="none" w:sz="0" w:space="0" w:color="auto"/>
        <w:bottom w:val="none" w:sz="0" w:space="0" w:color="auto"/>
        <w:right w:val="none" w:sz="0" w:space="0" w:color="auto"/>
      </w:divBdr>
    </w:div>
    <w:div w:id="908003059">
      <w:bodyDiv w:val="1"/>
      <w:marLeft w:val="0"/>
      <w:marRight w:val="0"/>
      <w:marTop w:val="0"/>
      <w:marBottom w:val="0"/>
      <w:divBdr>
        <w:top w:val="none" w:sz="0" w:space="0" w:color="auto"/>
        <w:left w:val="none" w:sz="0" w:space="0" w:color="auto"/>
        <w:bottom w:val="none" w:sz="0" w:space="0" w:color="auto"/>
        <w:right w:val="none" w:sz="0" w:space="0" w:color="auto"/>
      </w:divBdr>
    </w:div>
    <w:div w:id="14778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ablony\02%20Parlament%20a%20vl&#225;da\e-KLEP\P-16%20Vypo&#345;&#225;d&#225;n&#237;%20p&#345;ipom&#237;nek.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P-16 Vypořádání připomínek.dotm</Template>
  <TotalTime>0</TotalTime>
  <Pages>13</Pages>
  <Words>3601</Words>
  <Characters>22159</Characters>
  <Application>Microsoft Office Word</Application>
  <DocSecurity>0</DocSecurity>
  <Lines>184</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ÚŘAD VLÁDY ČR</vt:lpstr>
      <vt:lpstr>ÚŘAD VLÁDY ČR</vt:lpstr>
    </vt:vector>
  </TitlesOfParts>
  <Company>UVIS</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ÚŘAD VLÁDY ČR</dc:title>
  <dc:subject/>
  <dc:creator>Pilná Dominika</dc:creator>
  <cp:keywords/>
  <cp:lastModifiedBy>Maxová Jana</cp:lastModifiedBy>
  <cp:revision>2</cp:revision>
  <cp:lastPrinted>2022-07-20T07:05:00Z</cp:lastPrinted>
  <dcterms:created xsi:type="dcterms:W3CDTF">2022-09-01T07:56:00Z</dcterms:created>
  <dcterms:modified xsi:type="dcterms:W3CDTF">2022-09-01T07:56:00Z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