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04DC" w14:textId="7F72B8DF" w:rsidR="00D96707" w:rsidRDefault="00E23FFC" w:rsidP="0013709B">
      <w:pPr>
        <w:pStyle w:val="Nadpis1"/>
        <w:spacing w:before="480" w:after="120"/>
        <w:rPr>
          <w:rFonts w:ascii="Segoe UI Semibold" w:hAnsi="Segoe UI Semibold"/>
          <w:b/>
          <w:color w:val="3C8225"/>
          <w:sz w:val="48"/>
          <w:szCs w:val="48"/>
          <w:lang w:eastAsia="cs-CZ"/>
        </w:rPr>
      </w:pPr>
      <w:bookmarkStart w:id="0" w:name="_Toc230934353"/>
      <w:bookmarkStart w:id="1" w:name="_Toc433638780"/>
      <w:r>
        <w:rPr>
          <w:rFonts w:ascii="Segoe UI Semibold" w:hAnsi="Segoe UI Semibold"/>
          <w:b/>
          <w:color w:val="3C8225"/>
          <w:sz w:val="48"/>
          <w:szCs w:val="48"/>
          <w:lang w:eastAsia="cs-CZ"/>
        </w:rPr>
        <w:t>Přehled</w:t>
      </w:r>
      <w:r w:rsidR="00D96707" w:rsidRPr="0013709B">
        <w:rPr>
          <w:rFonts w:ascii="Segoe UI Semibold" w:hAnsi="Segoe UI Semibold"/>
          <w:b/>
          <w:color w:val="3C8225"/>
          <w:sz w:val="48"/>
          <w:szCs w:val="48"/>
          <w:lang w:eastAsia="cs-CZ"/>
        </w:rPr>
        <w:t xml:space="preserve"> současné situace a hlavní trendy</w:t>
      </w:r>
      <w:r w:rsidR="00B715E2">
        <w:rPr>
          <w:rFonts w:ascii="Segoe UI Semibold" w:hAnsi="Segoe UI Semibold"/>
          <w:b/>
          <w:color w:val="3C8225"/>
          <w:sz w:val="48"/>
          <w:szCs w:val="48"/>
          <w:lang w:eastAsia="cs-CZ"/>
        </w:rPr>
        <w:br/>
      </w:r>
      <w:r w:rsidR="00D96707" w:rsidRPr="0013709B">
        <w:rPr>
          <w:rFonts w:ascii="Segoe UI Semibold" w:hAnsi="Segoe UI Semibold"/>
          <w:b/>
          <w:color w:val="3C8225"/>
          <w:sz w:val="48"/>
          <w:szCs w:val="48"/>
          <w:lang w:eastAsia="cs-CZ"/>
        </w:rPr>
        <w:t>v oblasti závislostního chování v</w:t>
      </w:r>
      <w:r w:rsidR="0013709B">
        <w:rPr>
          <w:rFonts w:ascii="Segoe UI Semibold" w:hAnsi="Segoe UI Semibold"/>
          <w:b/>
          <w:color w:val="3C8225"/>
          <w:sz w:val="48"/>
          <w:szCs w:val="48"/>
          <w:lang w:eastAsia="cs-CZ"/>
        </w:rPr>
        <w:t> </w:t>
      </w:r>
      <w:r w:rsidR="00D96707" w:rsidRPr="0013709B">
        <w:rPr>
          <w:rFonts w:ascii="Segoe UI Semibold" w:hAnsi="Segoe UI Semibold"/>
          <w:b/>
          <w:color w:val="3C8225"/>
          <w:sz w:val="48"/>
          <w:szCs w:val="48"/>
          <w:lang w:eastAsia="cs-CZ"/>
        </w:rPr>
        <w:t>ČR</w:t>
      </w:r>
      <w:bookmarkEnd w:id="0"/>
    </w:p>
    <w:p w14:paraId="217F0D07" w14:textId="660B3329" w:rsidR="0013709B" w:rsidRPr="00BD2331" w:rsidRDefault="00315AE6" w:rsidP="00C539EA">
      <w:pPr>
        <w:pStyle w:val="Podnadpis"/>
        <w:rPr>
          <w:lang w:eastAsia="cs-CZ"/>
        </w:rPr>
      </w:pPr>
      <w:bookmarkStart w:id="2" w:name="_Ref176079194"/>
      <w:bookmarkStart w:id="3" w:name="_Toc230934352"/>
      <w:r>
        <w:rPr>
          <w:lang w:eastAsia="cs-CZ"/>
        </w:rPr>
        <w:t xml:space="preserve">Kapitola 1 </w:t>
      </w:r>
      <w:r w:rsidR="0013709B" w:rsidRPr="00BD2331">
        <w:rPr>
          <w:lang w:eastAsia="cs-CZ"/>
        </w:rPr>
        <w:t>Souhrn</w:t>
      </w:r>
      <w:bookmarkEnd w:id="2"/>
      <w:bookmarkEnd w:id="3"/>
      <w:r w:rsidR="0013709B" w:rsidRPr="00BD2331">
        <w:rPr>
          <w:lang w:eastAsia="cs-CZ"/>
        </w:rPr>
        <w:t>n</w:t>
      </w:r>
      <w:r>
        <w:rPr>
          <w:lang w:eastAsia="cs-CZ"/>
        </w:rPr>
        <w:t>é</w:t>
      </w:r>
      <w:r w:rsidR="0013709B" w:rsidRPr="00BD2331">
        <w:rPr>
          <w:lang w:eastAsia="cs-CZ"/>
        </w:rPr>
        <w:t xml:space="preserve"> zpráv</w:t>
      </w:r>
      <w:r>
        <w:rPr>
          <w:lang w:eastAsia="cs-CZ"/>
        </w:rPr>
        <w:t>y</w:t>
      </w:r>
      <w:r w:rsidR="0013709B" w:rsidRPr="00BD2331">
        <w:rPr>
          <w:lang w:eastAsia="cs-CZ"/>
        </w:rPr>
        <w:t xml:space="preserve"> o závislostech v České republice 2025</w:t>
      </w:r>
    </w:p>
    <w:p w14:paraId="116939D5" w14:textId="77777777" w:rsidR="0013709B" w:rsidRPr="0013709B" w:rsidRDefault="0013709B" w:rsidP="0013709B">
      <w:pPr>
        <w:rPr>
          <w:lang w:eastAsia="cs-CZ"/>
        </w:rPr>
      </w:pPr>
    </w:p>
    <w:p w14:paraId="7EA13A25" w14:textId="77777777" w:rsidR="00D96707" w:rsidRPr="00B23B47" w:rsidRDefault="00D96707" w:rsidP="00B23B47">
      <w:pPr>
        <w:pStyle w:val="Nadpis2-bezslovn"/>
      </w:pPr>
      <w:bookmarkStart w:id="4" w:name="_Hlk200674173"/>
      <w:r w:rsidRPr="00B23B47">
        <w:t>Užívání tabákových, nikotinových a souvisejících výrobků</w:t>
      </w:r>
    </w:p>
    <w:p w14:paraId="0A408F90" w14:textId="61F2D312" w:rsidR="00D96707" w:rsidRPr="00763B82" w:rsidRDefault="00D96707" w:rsidP="00D96707">
      <w:r w:rsidRPr="00763B82">
        <w:t xml:space="preserve">V České republice denně kouří přibližně 16–17 % populace starší 15 let, tedy přibližně 1,5 milionu osob. </w:t>
      </w:r>
      <w:r w:rsidRPr="00763B82">
        <w:rPr>
          <w:rFonts w:cs="Segoe UI"/>
        </w:rPr>
        <w:t>Dlouhodobě je patrný trend mírného poklesu výskytu současného i denního kuřáctví v obecné populaci starší 15 let, zejména</w:t>
      </w:r>
      <w:r w:rsidRPr="00763B82">
        <w:rPr>
          <w:rFonts w:cs="Segoe UI"/>
          <w:szCs w:val="20"/>
        </w:rPr>
        <w:t xml:space="preserve"> ve věkové kategorii </w:t>
      </w:r>
      <w:r w:rsidRPr="00763B82">
        <w:t>15‒34 let. Dlouhodobě klesá také podíl kuřáků mezi dětmi a dospívajícími. Aktuálně denně kouří 1–4 % dětí ve věku 13–15 let</w:t>
      </w:r>
      <w:r w:rsidR="003E7533">
        <w:br/>
      </w:r>
      <w:r w:rsidRPr="00763B82">
        <w:t>a 6–9</w:t>
      </w:r>
      <w:r w:rsidR="00500F8E">
        <w:t xml:space="preserve"> </w:t>
      </w:r>
      <w:r w:rsidRPr="00763B82">
        <w:t>% studentů ve věku 15–19 let.</w:t>
      </w:r>
    </w:p>
    <w:p w14:paraId="69D02D00" w14:textId="77777777" w:rsidR="00D96707" w:rsidRPr="00763B82" w:rsidRDefault="00D96707" w:rsidP="00D96707">
      <w:r w:rsidRPr="00763B82">
        <w:t>V důsledku kouření ročně zemře 16–18 tis. osob, nejčastěji v důsledku zhoubných novotvarů průdušnice, průdušek a plic a chronické obstrukční plicní nemoci. Pravidelní kuřáci se dožívají v průměru o 10–14 let méně než nekuřáci.</w:t>
      </w:r>
    </w:p>
    <w:p w14:paraId="725B40D9" w14:textId="5BB9106D" w:rsidR="00D96707" w:rsidRDefault="00D96707" w:rsidP="00D96707">
      <w:r w:rsidRPr="00763B82">
        <w:t>V posledních letech stoupá popularita alternativních výrobků, především e-cigaret, zahřívaných tabákových výrobků a nikotinových sáčků</w:t>
      </w:r>
      <w:r>
        <w:t xml:space="preserve"> bez obsahu tabáku</w:t>
      </w:r>
      <w:r w:rsidRPr="00763B82">
        <w:t>, zejména mezi dospívajícími a</w:t>
      </w:r>
      <w:r>
        <w:t> </w:t>
      </w:r>
      <w:r w:rsidRPr="00763B82">
        <w:t>mladými dospělými. E-cigarety užívá denně nebo téměř denně 9–10 % dospělých, zahřívané tabákové výrobky v současnosti 5–7 % a nikotinové sáčky 5 % dospělých. Mezi dětmi ve věku</w:t>
      </w:r>
      <w:r w:rsidR="003E7533">
        <w:br/>
      </w:r>
      <w:r w:rsidRPr="00763B82">
        <w:t>13–15 let užívá v současnosti e-cigarety 10–22 %, zahřívané tabákové výrobky 5–11 % a nikotinové sáčky 5–8 %. Mezi dospívajícími ve věku 15–19 let roste podíl pravidelných uživatelů alternativních nikotinových výrobků, zejména e-cigaret, které denně</w:t>
      </w:r>
      <w:r>
        <w:t xml:space="preserve"> užívá 15 % dospívajících</w:t>
      </w:r>
      <w:r w:rsidRPr="00FF477C">
        <w:t>.</w:t>
      </w:r>
    </w:p>
    <w:p w14:paraId="31D3BB98" w14:textId="77777777" w:rsidR="00D96707" w:rsidRPr="00763B82" w:rsidRDefault="00D96707" w:rsidP="00D96707">
      <w:r w:rsidRPr="00763B82">
        <w:t xml:space="preserve">V kontaktu se službami a v léčbě pro závislost na tabáku je ročně přibližně 500 až 1 </w:t>
      </w:r>
      <w:r>
        <w:t>000</w:t>
      </w:r>
      <w:r w:rsidRPr="00763B82">
        <w:t xml:space="preserve"> osob, především v ambulantní psychiatrické péči, ale i v centrech pro odvykání kouření. Poradenství v oblasti odvykání kouření poskytují ambulantní lékaři různých odborností, lékárny i adiktologické programy. Značná část kuřáků se pokouší přestat bez odborné pomoci.</w:t>
      </w:r>
    </w:p>
    <w:p w14:paraId="22D08C50" w14:textId="77777777" w:rsidR="00D96707" w:rsidRDefault="00D96707" w:rsidP="00D96707">
      <w:r>
        <w:t>O</w:t>
      </w:r>
      <w:r w:rsidRPr="00E949FA">
        <w:t xml:space="preserve">d roku 2024 </w:t>
      </w:r>
      <w:r>
        <w:t xml:space="preserve">dochází </w:t>
      </w:r>
      <w:r w:rsidRPr="00E949FA">
        <w:t>k postupnému zvyšování spotřební daně z tabákových výrobků. Daň z</w:t>
      </w:r>
      <w:r>
        <w:t> </w:t>
      </w:r>
      <w:r w:rsidRPr="00E949FA">
        <w:t>cigaret, tabáku ke kouření a doutníků se zvýšila o 10 %</w:t>
      </w:r>
      <w:r>
        <w:t>,</w:t>
      </w:r>
      <w:r w:rsidRPr="00E949FA">
        <w:t xml:space="preserve"> a</w:t>
      </w:r>
      <w:r>
        <w:t> </w:t>
      </w:r>
      <w:r w:rsidRPr="00E949FA">
        <w:t>v</w:t>
      </w:r>
      <w:r>
        <w:t> </w:t>
      </w:r>
      <w:r w:rsidRPr="00E949FA">
        <w:t>letech</w:t>
      </w:r>
      <w:r>
        <w:t xml:space="preserve"> </w:t>
      </w:r>
      <w:r w:rsidRPr="00E949FA">
        <w:t>2025–2027 roste každoročně o</w:t>
      </w:r>
      <w:r>
        <w:t> </w:t>
      </w:r>
      <w:r w:rsidRPr="00E949FA">
        <w:t>dalších 5 %. U zahřívaného tabáku je plánováno roční navýšení o 15 %. Nově se spotřební daň vztahuje i na produkty, jako jsou nikotinové sáčky, náplně do e-cigaret či žvýkací a šňupací tabák.</w:t>
      </w:r>
    </w:p>
    <w:p w14:paraId="35A3A797" w14:textId="77777777" w:rsidR="00D96707" w:rsidRDefault="00D96707" w:rsidP="00D96707">
      <w:r>
        <w:t>Společenské náklady kouření tabáku dosahují ročně 100–170 mld. Kč. Na spotřební dani z tabákových a nikotinových výrobků stát ročně vybere 59 mld. Kč.</w:t>
      </w:r>
    </w:p>
    <w:p w14:paraId="61DD180F" w14:textId="3913A4F4" w:rsidR="00A03D7E" w:rsidRPr="00FF477C" w:rsidRDefault="00A03D7E" w:rsidP="00D96707">
      <w:r w:rsidRPr="00B94DEC">
        <w:rPr>
          <w:noProof/>
        </w:rPr>
        <w:drawing>
          <wp:inline distT="0" distB="0" distL="0" distR="0" wp14:anchorId="41ABF9C2" wp14:editId="7D996E80">
            <wp:extent cx="288000" cy="288000"/>
            <wp:effectExtent l="0" t="0" r="0" b="0"/>
            <wp:docPr id="1991168873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10D1E" w14:textId="77777777" w:rsidR="00D96707" w:rsidRPr="00D96707" w:rsidRDefault="00D96707" w:rsidP="006616E0">
      <w:pPr>
        <w:pStyle w:val="Nadpis2-bezslovn"/>
      </w:pPr>
      <w:r w:rsidRPr="00D96707">
        <w:lastRenderedPageBreak/>
        <w:t>Užívání alkoholu</w:t>
      </w:r>
    </w:p>
    <w:p w14:paraId="404119C1" w14:textId="77777777" w:rsidR="00D96707" w:rsidRPr="00FF477C" w:rsidRDefault="00D96707" w:rsidP="00D96707">
      <w:r w:rsidRPr="00FF477C">
        <w:t xml:space="preserve">Míra konzumace alkoholu v české populaci je vysoká. </w:t>
      </w:r>
      <w:r w:rsidRPr="00FF477C">
        <w:rPr>
          <w:rFonts w:cs="Segoe UI"/>
        </w:rPr>
        <w:t xml:space="preserve">Spotřeba alkoholu v ČR </w:t>
      </w:r>
      <w:r>
        <w:rPr>
          <w:rFonts w:cs="Segoe UI"/>
        </w:rPr>
        <w:t>dosahuje téměř</w:t>
      </w:r>
      <w:r w:rsidRPr="00FF477C">
        <w:rPr>
          <w:rFonts w:cs="Segoe UI"/>
        </w:rPr>
        <w:t xml:space="preserve"> </w:t>
      </w:r>
      <w:r>
        <w:rPr>
          <w:rFonts w:cs="Segoe UI"/>
        </w:rPr>
        <w:t>9 </w:t>
      </w:r>
      <w:r w:rsidRPr="00FF477C">
        <w:rPr>
          <w:rFonts w:cs="Segoe UI"/>
        </w:rPr>
        <w:t>l</w:t>
      </w:r>
      <w:r>
        <w:rPr>
          <w:rFonts w:cs="Segoe UI"/>
        </w:rPr>
        <w:t> </w:t>
      </w:r>
      <w:r w:rsidRPr="00FF477C">
        <w:rPr>
          <w:rFonts w:cs="Segoe UI"/>
        </w:rPr>
        <w:t>etanolu na osobu, včetně dětí a seniorů.</w:t>
      </w:r>
      <w:r w:rsidRPr="00FF477C">
        <w:t xml:space="preserve"> Denně pije </w:t>
      </w:r>
      <w:r w:rsidRPr="00CC7E6F">
        <w:t>alkohol 7–11 % dospělé</w:t>
      </w:r>
      <w:r w:rsidRPr="00FF477C">
        <w:t xml:space="preserve"> populace</w:t>
      </w:r>
      <w:r>
        <w:t>, p</w:t>
      </w:r>
      <w:r w:rsidRPr="00FF477C">
        <w:t>odíl denních konzumentů alkoholu roste s věkem.</w:t>
      </w:r>
      <w:r>
        <w:t xml:space="preserve"> </w:t>
      </w:r>
      <w:r w:rsidRPr="002F0DFE">
        <w:rPr>
          <w:rFonts w:eastAsia="Calibri" w:cs="Segoe UI"/>
          <w:szCs w:val="22"/>
          <w:lang w:eastAsia="cs-CZ"/>
        </w:rPr>
        <w:t>V posledních 3 letech je patrný nárůst častého pití nadměrných dávek alkoholu (alespoň jednou týdně nebo častěji).</w:t>
      </w:r>
    </w:p>
    <w:p w14:paraId="1C85E37F" w14:textId="77777777" w:rsidR="00D96707" w:rsidRPr="00FF477C" w:rsidRDefault="00D96707" w:rsidP="00D96707">
      <w:r w:rsidRPr="00FF477C">
        <w:t xml:space="preserve">Mezi </w:t>
      </w:r>
      <w:r>
        <w:t xml:space="preserve">dětmi a </w:t>
      </w:r>
      <w:r w:rsidRPr="00FF477C">
        <w:t xml:space="preserve">dospívajícími míra </w:t>
      </w:r>
      <w:r>
        <w:t>konzumace</w:t>
      </w:r>
      <w:r w:rsidRPr="00FF477C">
        <w:t xml:space="preserve"> alkoholu</w:t>
      </w:r>
      <w:r w:rsidRPr="0062655B">
        <w:t xml:space="preserve"> </w:t>
      </w:r>
      <w:r>
        <w:t>klesá</w:t>
      </w:r>
      <w:r w:rsidRPr="00FF477C">
        <w:t>.</w:t>
      </w:r>
      <w:r>
        <w:t xml:space="preserve"> V</w:t>
      </w:r>
      <w:r w:rsidRPr="00FF477C">
        <w:rPr>
          <w:rFonts w:eastAsia="SegoeUI" w:cs="Segoe UI"/>
          <w:szCs w:val="20"/>
        </w:rPr>
        <w:t>ýznamným mezníkem z pohledu expozice návykovým látkám, resp. jejich pravidelného a rizikového užívání, je přechod ze základní na střední školu</w:t>
      </w:r>
      <w:r>
        <w:rPr>
          <w:rFonts w:eastAsia="SegoeUI" w:cs="Segoe UI"/>
          <w:szCs w:val="20"/>
        </w:rPr>
        <w:t xml:space="preserve">. Aktuální výsledky studie </w:t>
      </w:r>
      <w:r w:rsidRPr="00721AF5">
        <w:rPr>
          <w:rFonts w:eastAsia="SegoeUI" w:cs="Segoe UI"/>
          <w:i/>
          <w:iCs/>
          <w:szCs w:val="20"/>
        </w:rPr>
        <w:t>ESPAD 2024</w:t>
      </w:r>
      <w:r>
        <w:rPr>
          <w:rFonts w:eastAsia="SegoeUI" w:cs="Segoe UI"/>
          <w:szCs w:val="20"/>
        </w:rPr>
        <w:t xml:space="preserve"> naznačují nárůst výskytu rizikových forem pití alkoholu mezi dospívajícími, zejména mezi dívkami.</w:t>
      </w:r>
    </w:p>
    <w:p w14:paraId="57754591" w14:textId="77777777" w:rsidR="00D96707" w:rsidRPr="00FF477C" w:rsidRDefault="00D96707" w:rsidP="00D96707">
      <w:r w:rsidRPr="00FF477C">
        <w:t>Dlouhodobě se odhadem 1,3–1,</w:t>
      </w:r>
      <w:r>
        <w:t>6</w:t>
      </w:r>
      <w:r w:rsidRPr="00FF477C">
        <w:t xml:space="preserve"> milionu dospělých nachází v kategorii rizikového pití alkoholu, v tom </w:t>
      </w:r>
      <w:r>
        <w:t>60</w:t>
      </w:r>
      <w:r w:rsidRPr="00FF477C">
        <w:t>0–900 tis. osob spadá do kategorie škodlivého pití. Podíl osob vykazujících známky rizikového a škodlivého pití alkoholu se dlouhodobě nemění. Odhadem 11 % splňuje diagnostická kritéria pro závislostní poruchu spojenou s konzumací alkoholu</w:t>
      </w:r>
      <w:r>
        <w:t>.</w:t>
      </w:r>
    </w:p>
    <w:p w14:paraId="48FAC1FD" w14:textId="77777777" w:rsidR="00D96707" w:rsidRPr="00FF477C" w:rsidRDefault="00D96707" w:rsidP="00D96707">
      <w:r w:rsidRPr="00FF477C">
        <w:t xml:space="preserve">Ročně zemře v souvislosti s konzumací alkoholu 6–7 tis. osob, z toho </w:t>
      </w:r>
      <w:r>
        <w:t xml:space="preserve">u 2 </w:t>
      </w:r>
      <w:r w:rsidRPr="00FF477C">
        <w:t xml:space="preserve">tis. </w:t>
      </w:r>
      <w:r>
        <w:t xml:space="preserve">případů </w:t>
      </w:r>
      <w:r w:rsidRPr="00FF477C">
        <w:t xml:space="preserve">úmrtí </w:t>
      </w:r>
      <w:r>
        <w:t>je</w:t>
      </w:r>
      <w:r w:rsidRPr="00FF477C">
        <w:t xml:space="preserve"> alkohol</w:t>
      </w:r>
      <w:r>
        <w:t xml:space="preserve"> hlavní příčinou</w:t>
      </w:r>
      <w:r w:rsidRPr="00FF477C">
        <w:t xml:space="preserve">. </w:t>
      </w:r>
      <w:r>
        <w:t>Přibližně</w:t>
      </w:r>
      <w:r w:rsidRPr="00FF477C">
        <w:t xml:space="preserve"> </w:t>
      </w:r>
      <w:r>
        <w:t>400–</w:t>
      </w:r>
      <w:r w:rsidRPr="00FF477C">
        <w:t>500</w:t>
      </w:r>
      <w:r>
        <w:t xml:space="preserve"> </w:t>
      </w:r>
      <w:r w:rsidRPr="00FF477C">
        <w:t xml:space="preserve">případů </w:t>
      </w:r>
      <w:r>
        <w:t>tvoří</w:t>
      </w:r>
      <w:r w:rsidRPr="00FF477C">
        <w:t xml:space="preserve"> úmrtí v důsledku intoxikace alkoholem. Zátěží pro společnost a zdravotní systém jsou také úrazy, dopravní nehody či násilí páchané pod vlivem alkoholu. Osoby se závislostí na alkoholu umírají v průměru o 24 let dříve než běžná populace.</w:t>
      </w:r>
    </w:p>
    <w:p w14:paraId="56F0D97B" w14:textId="5DE00965" w:rsidR="00D96707" w:rsidRDefault="00D96707" w:rsidP="00D96707">
      <w:r w:rsidRPr="00FF477C">
        <w:t xml:space="preserve">V kontaktu se službami a v léčbě pro závislost na alkoholu je ročně přibližně </w:t>
      </w:r>
      <w:r>
        <w:t>30</w:t>
      </w:r>
      <w:r w:rsidRPr="00FF477C">
        <w:t>–35 tis. osob, z</w:t>
      </w:r>
      <w:r w:rsidR="00500F8E">
        <w:t> </w:t>
      </w:r>
      <w:r w:rsidRPr="00FF477C">
        <w:t>nich největší část (</w:t>
      </w:r>
      <w:r>
        <w:t>26–</w:t>
      </w:r>
      <w:r w:rsidRPr="00FF477C">
        <w:t>27 tis</w:t>
      </w:r>
      <w:r>
        <w:t>. osob</w:t>
      </w:r>
      <w:r w:rsidRPr="00FF477C">
        <w:t xml:space="preserve">) je ročně v kontaktu s psychiatrickými zařízeními </w:t>
      </w:r>
      <w:r>
        <w:br/>
      </w:r>
      <w:r w:rsidRPr="00FF477C">
        <w:t>(2</w:t>
      </w:r>
      <w:r>
        <w:t>2</w:t>
      </w:r>
      <w:r w:rsidRPr="00FF477C">
        <w:t>–2</w:t>
      </w:r>
      <w:r>
        <w:t>4</w:t>
      </w:r>
      <w:r w:rsidRPr="00FF477C">
        <w:t xml:space="preserve"> tis. v ambulantní a 7</w:t>
      </w:r>
      <w:r>
        <w:t xml:space="preserve">–8 </w:t>
      </w:r>
      <w:r w:rsidRPr="00FF477C">
        <w:t>tis. v lůžkové péči)</w:t>
      </w:r>
      <w:r>
        <w:t>.</w:t>
      </w:r>
    </w:p>
    <w:p w14:paraId="70D423F7" w14:textId="77777777" w:rsidR="00D96707" w:rsidRDefault="00D96707" w:rsidP="00D96707">
      <w:r w:rsidRPr="00E949FA">
        <w:t xml:space="preserve">Od </w:t>
      </w:r>
      <w:r>
        <w:t>r</w:t>
      </w:r>
      <w:r w:rsidRPr="00E949FA">
        <w:t>. 2024 se zv</w:t>
      </w:r>
      <w:r>
        <w:t>ýšila</w:t>
      </w:r>
      <w:r w:rsidRPr="00E949FA">
        <w:t xml:space="preserve"> spotřební daň u lihovin, a to o 10 % v letech 2024 a 2025 a o 5 % v roce 2026. Spotřební daň z tichého vína zůstává nulová. U piva se sazby odvíjejí od stupňovitosti a velikosti pivovaru</w:t>
      </w:r>
      <w:r>
        <w:t>.</w:t>
      </w:r>
      <w:r w:rsidRPr="00E949FA">
        <w:t xml:space="preserve"> </w:t>
      </w:r>
      <w:r>
        <w:t>O</w:t>
      </w:r>
      <w:r w:rsidRPr="00E949FA">
        <w:t xml:space="preserve">d ledna 2024 </w:t>
      </w:r>
      <w:r>
        <w:t xml:space="preserve">došlo v souvislosti se změnou </w:t>
      </w:r>
      <w:r w:rsidRPr="00E949FA">
        <w:t>DPH</w:t>
      </w:r>
      <w:r>
        <w:t xml:space="preserve"> (</w:t>
      </w:r>
      <w:r w:rsidRPr="00E949FA">
        <w:t>nově základní sazb</w:t>
      </w:r>
      <w:r>
        <w:t>a</w:t>
      </w:r>
      <w:r w:rsidRPr="00E949FA">
        <w:t xml:space="preserve"> 2</w:t>
      </w:r>
      <w:r>
        <w:t xml:space="preserve">1 </w:t>
      </w:r>
      <w:r w:rsidRPr="00E949FA">
        <w:t>%</w:t>
      </w:r>
      <w:r>
        <w:t>) ke zvýšení ceny piva.</w:t>
      </w:r>
    </w:p>
    <w:p w14:paraId="1574A43C" w14:textId="77777777" w:rsidR="00D96707" w:rsidRDefault="00D96707" w:rsidP="00D96707">
      <w:r>
        <w:t>Společenské náklady konzumace alkoholu dosahují ročně 50–60 mld. Kč. Na spotřební dani z alkoholických nápojů stát ročně vybere 14 mld. Kč.</w:t>
      </w:r>
    </w:p>
    <w:p w14:paraId="3733F523" w14:textId="5F501A4D" w:rsidR="00A03D7E" w:rsidRPr="00FF477C" w:rsidRDefault="00A03D7E" w:rsidP="00D96707">
      <w:r w:rsidRPr="00B94DEC">
        <w:rPr>
          <w:noProof/>
        </w:rPr>
        <w:drawing>
          <wp:inline distT="0" distB="0" distL="0" distR="0" wp14:anchorId="1F0DECF8" wp14:editId="74489645">
            <wp:extent cx="288000" cy="288000"/>
            <wp:effectExtent l="0" t="0" r="0" b="0"/>
            <wp:docPr id="426508362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3BAF" w14:textId="77777777" w:rsidR="00D96707" w:rsidRPr="00FF477C" w:rsidRDefault="00D96707" w:rsidP="006616E0">
      <w:pPr>
        <w:pStyle w:val="Nadpis2-bezslovn"/>
      </w:pPr>
      <w:r w:rsidRPr="00763B82">
        <w:t>Problematická spotřeba psychoaktivních léků</w:t>
      </w:r>
    </w:p>
    <w:p w14:paraId="7A7770A7" w14:textId="77777777" w:rsidR="00D96707" w:rsidRDefault="00D96707" w:rsidP="00D96707">
      <w:r w:rsidRPr="00FF477C">
        <w:t xml:space="preserve">Zneužívání léků, tj. užití sedativ bez doporučení lékaře, léků proti bolesti za účelem dostat se do nálady nebo léků v kombinaci s alkoholem uvádí </w:t>
      </w:r>
      <w:r>
        <w:t xml:space="preserve">až </w:t>
      </w:r>
      <w:r w:rsidRPr="00FF477C">
        <w:t xml:space="preserve">23 % 16letých, </w:t>
      </w:r>
      <w:r>
        <w:t>polovina z nich</w:t>
      </w:r>
      <w:r w:rsidRPr="00FF477C">
        <w:t xml:space="preserve"> opakovaně</w:t>
      </w:r>
      <w:r>
        <w:t>. V posledních letech roste podíl dospívajících, kteří užívají sedativa a/nebo hypnotika na lékařský předpis, i podíl těch, kteří je užívají mimo lékařskou indikaci, častěji jde o dívky.</w:t>
      </w:r>
    </w:p>
    <w:p w14:paraId="5329ACD4" w14:textId="77777777" w:rsidR="00D96707" w:rsidRPr="00FF477C" w:rsidRDefault="00D96707" w:rsidP="00D96707">
      <w:r w:rsidRPr="00FF477C">
        <w:t xml:space="preserve">Do kategorie problematické spotřeby psychoaktivních léků, </w:t>
      </w:r>
      <w:r w:rsidRPr="00FF477C">
        <w:rPr>
          <w:rFonts w:cs="Segoe UI"/>
        </w:rPr>
        <w:t xml:space="preserve">definované jako užívání léků po dobu </w:t>
      </w:r>
      <w:r>
        <w:rPr>
          <w:rFonts w:cs="Segoe UI"/>
        </w:rPr>
        <w:t>delší</w:t>
      </w:r>
      <w:r w:rsidRPr="00FF477C">
        <w:rPr>
          <w:rFonts w:cs="Segoe UI"/>
        </w:rPr>
        <w:t xml:space="preserve"> než 6 týdnů, subjektivního pocitu nadužívání léků a/nebo získání léků bez lékařského předpisu,</w:t>
      </w:r>
      <w:r w:rsidRPr="00FF477C">
        <w:t xml:space="preserve"> spadá odhadem </w:t>
      </w:r>
      <w:r>
        <w:t xml:space="preserve">7–12 </w:t>
      </w:r>
      <w:r w:rsidRPr="00FF477C">
        <w:t xml:space="preserve">% </w:t>
      </w:r>
      <w:r>
        <w:t xml:space="preserve">dospělé </w:t>
      </w:r>
      <w:r w:rsidRPr="00FF477C">
        <w:t>populace</w:t>
      </w:r>
      <w:r>
        <w:t xml:space="preserve"> (tj. 650 tis.–</w:t>
      </w:r>
      <w:r w:rsidRPr="00FF477C">
        <w:t>1,</w:t>
      </w:r>
      <w:r>
        <w:t xml:space="preserve">1 </w:t>
      </w:r>
      <w:r w:rsidRPr="00FF477C">
        <w:t>mil. osob starších 15</w:t>
      </w:r>
      <w:r>
        <w:t> </w:t>
      </w:r>
      <w:r w:rsidRPr="00FF477C">
        <w:t>let</w:t>
      </w:r>
      <w:r>
        <w:t>)</w:t>
      </w:r>
      <w:r w:rsidRPr="00FF477C">
        <w:t xml:space="preserve">, </w:t>
      </w:r>
      <w:r>
        <w:t xml:space="preserve">v tom </w:t>
      </w:r>
      <w:r w:rsidRPr="0082725A">
        <w:rPr>
          <w:rFonts w:eastAsia="Calibri" w:cs="Segoe UI"/>
          <w:szCs w:val="22"/>
          <w:lang w:eastAsia="cs-CZ"/>
        </w:rPr>
        <w:t>6–</w:t>
      </w:r>
      <w:r>
        <w:rPr>
          <w:rFonts w:eastAsia="Calibri" w:cs="Segoe UI"/>
          <w:szCs w:val="22"/>
          <w:lang w:eastAsia="cs-CZ"/>
        </w:rPr>
        <w:t xml:space="preserve">9 </w:t>
      </w:r>
      <w:r w:rsidRPr="0082725A">
        <w:rPr>
          <w:rFonts w:eastAsia="Calibri" w:cs="Segoe UI"/>
          <w:szCs w:val="22"/>
          <w:lang w:eastAsia="cs-CZ"/>
        </w:rPr>
        <w:t xml:space="preserve">% </w:t>
      </w:r>
      <w:r>
        <w:rPr>
          <w:rFonts w:eastAsia="Calibri" w:cs="Segoe UI"/>
          <w:szCs w:val="22"/>
          <w:lang w:eastAsia="cs-CZ"/>
        </w:rPr>
        <w:t>nad</w:t>
      </w:r>
      <w:r w:rsidRPr="0082725A">
        <w:rPr>
          <w:rFonts w:eastAsia="Calibri" w:cs="Segoe UI"/>
          <w:szCs w:val="22"/>
          <w:lang w:eastAsia="cs-CZ"/>
        </w:rPr>
        <w:t>užív</w:t>
      </w:r>
      <w:r>
        <w:rPr>
          <w:rFonts w:eastAsia="Calibri" w:cs="Segoe UI"/>
          <w:szCs w:val="22"/>
          <w:lang w:eastAsia="cs-CZ"/>
        </w:rPr>
        <w:t>á</w:t>
      </w:r>
      <w:r w:rsidRPr="0082725A">
        <w:rPr>
          <w:rFonts w:eastAsia="Calibri" w:cs="Segoe UI"/>
          <w:szCs w:val="22"/>
          <w:lang w:eastAsia="cs-CZ"/>
        </w:rPr>
        <w:t xml:space="preserve"> sedativa a</w:t>
      </w:r>
      <w:r>
        <w:rPr>
          <w:rFonts w:eastAsia="Calibri" w:cs="Segoe UI"/>
          <w:szCs w:val="22"/>
          <w:lang w:eastAsia="cs-CZ"/>
        </w:rPr>
        <w:t>/nebo</w:t>
      </w:r>
      <w:r w:rsidRPr="0082725A">
        <w:rPr>
          <w:rFonts w:eastAsia="Calibri" w:cs="Segoe UI"/>
          <w:szCs w:val="22"/>
          <w:lang w:eastAsia="cs-CZ"/>
        </w:rPr>
        <w:t> hypnotika a 5–</w:t>
      </w:r>
      <w:r>
        <w:rPr>
          <w:rFonts w:eastAsia="Calibri" w:cs="Segoe UI"/>
          <w:szCs w:val="22"/>
          <w:lang w:eastAsia="cs-CZ"/>
        </w:rPr>
        <w:t>6</w:t>
      </w:r>
      <w:r w:rsidRPr="0082725A">
        <w:rPr>
          <w:rFonts w:eastAsia="Calibri" w:cs="Segoe UI"/>
          <w:szCs w:val="22"/>
          <w:lang w:eastAsia="cs-CZ"/>
        </w:rPr>
        <w:t xml:space="preserve"> % opioidní </w:t>
      </w:r>
      <w:r w:rsidRPr="00CC7E6F">
        <w:rPr>
          <w:rFonts w:eastAsia="Calibri" w:cs="Segoe UI"/>
          <w:szCs w:val="22"/>
          <w:lang w:eastAsia="cs-CZ"/>
        </w:rPr>
        <w:t>analgetika</w:t>
      </w:r>
      <w:r w:rsidRPr="00CC7E6F">
        <w:rPr>
          <w:rFonts w:cs="Segoe UI"/>
        </w:rPr>
        <w:t>.</w:t>
      </w:r>
      <w:r w:rsidRPr="00D049B2">
        <w:rPr>
          <w:rFonts w:cs="Segoe UI"/>
        </w:rPr>
        <w:t xml:space="preserve"> </w:t>
      </w:r>
      <w:r w:rsidRPr="00CC7E6F">
        <w:rPr>
          <w:rFonts w:cs="Segoe UI"/>
        </w:rPr>
        <w:t>Častěji</w:t>
      </w:r>
      <w:r w:rsidRPr="00FF477C">
        <w:rPr>
          <w:rFonts w:cs="Segoe UI"/>
        </w:rPr>
        <w:t xml:space="preserve"> jde o ženy </w:t>
      </w:r>
      <w:r w:rsidRPr="00FF477C">
        <w:rPr>
          <w:rFonts w:cs="Segoe UI"/>
        </w:rPr>
        <w:lastRenderedPageBreak/>
        <w:t>a osoby ve vyšším věku</w:t>
      </w:r>
      <w:r w:rsidRPr="00FF477C">
        <w:t>.</w:t>
      </w:r>
      <w:r>
        <w:t xml:space="preserve"> </w:t>
      </w:r>
      <w:r w:rsidRPr="00FF477C">
        <w:t>Zneužívané psychoaktivní léky jsou získávány především z oficiálního zdravotního systému, ale také prostřednictvím rodiny či internetu, avšak objevují se i na trhu s nelegálními drogami.</w:t>
      </w:r>
    </w:p>
    <w:p w14:paraId="00D82C18" w14:textId="77777777" w:rsidR="00D96707" w:rsidRPr="00FF477C" w:rsidRDefault="00D96707" w:rsidP="00D96707">
      <w:r w:rsidRPr="00FF477C">
        <w:t xml:space="preserve">Ročně v důsledku předávkování psychoaktivními léky zemře </w:t>
      </w:r>
      <w:r w:rsidRPr="00AF4AF1">
        <w:t xml:space="preserve">přibližně </w:t>
      </w:r>
      <w:r>
        <w:t>40</w:t>
      </w:r>
      <w:r w:rsidRPr="00AF4AF1">
        <w:t>–</w:t>
      </w:r>
      <w:r>
        <w:t>50</w:t>
      </w:r>
      <w:r w:rsidRPr="00AF4AF1">
        <w:t xml:space="preserve"> osob</w:t>
      </w:r>
      <w:r w:rsidRPr="00FF477C">
        <w:t>, nejčastěji jde o předávkování benzodiazepiny. Další případ</w:t>
      </w:r>
      <w:r>
        <w:t>y</w:t>
      </w:r>
      <w:r w:rsidRPr="00FF477C">
        <w:t xml:space="preserve"> </w:t>
      </w:r>
      <w:r>
        <w:t xml:space="preserve">tvoří </w:t>
      </w:r>
      <w:r w:rsidRPr="00FF477C">
        <w:t>úmrtí pod vlivem psychoaktivních léků, např.</w:t>
      </w:r>
      <w:r>
        <w:t> </w:t>
      </w:r>
      <w:r w:rsidRPr="00FF477C">
        <w:t>z důvodu nemoci, nehody nebo sebevraždy. Pro úraz pod vlivem psychoaktivních léků je ročně hospitalizováno přibližně 200–</w:t>
      </w:r>
      <w:r>
        <w:t>40</w:t>
      </w:r>
      <w:r w:rsidRPr="00FF477C">
        <w:t>0 osob, v posledních letech počet případů roste.</w:t>
      </w:r>
    </w:p>
    <w:p w14:paraId="0020377D" w14:textId="77777777" w:rsidR="00D96707" w:rsidRDefault="00D96707" w:rsidP="00D96707">
      <w:r w:rsidRPr="00FF477C">
        <w:t xml:space="preserve">V léčbě v souvislosti s problematickým užíváním psychoaktivních léků je ročně přibližně </w:t>
      </w:r>
      <w:r>
        <w:br/>
      </w:r>
      <w:r w:rsidRPr="00FF477C">
        <w:t>2,5</w:t>
      </w:r>
      <w:r>
        <w:t>–3</w:t>
      </w:r>
      <w:r w:rsidRPr="00FF477C">
        <w:t> tis. osob, v</w:t>
      </w:r>
      <w:r>
        <w:t> </w:t>
      </w:r>
      <w:r w:rsidRPr="00FF477C">
        <w:t>tom</w:t>
      </w:r>
      <w:r>
        <w:t xml:space="preserve"> </w:t>
      </w:r>
      <w:r w:rsidRPr="00FF477C">
        <w:t xml:space="preserve">přibližně </w:t>
      </w:r>
      <w:r>
        <w:t>2 tis. osob v ambulantní a 3</w:t>
      </w:r>
      <w:r w:rsidRPr="00FF477C">
        <w:t>00–</w:t>
      </w:r>
      <w:r>
        <w:t>4</w:t>
      </w:r>
      <w:r w:rsidRPr="00FF477C">
        <w:t xml:space="preserve">00 osob v rezidenční péči. Uživatelé léků tvoří dlouhodobě přibližně 6 % celkového počtu pacientů v ambulantní léčbě závislostí, </w:t>
      </w:r>
      <w:r>
        <w:t>dvě třetiny</w:t>
      </w:r>
      <w:r w:rsidRPr="00FF477C">
        <w:t xml:space="preserve"> léčených </w:t>
      </w:r>
      <w:r>
        <w:t>jsou</w:t>
      </w:r>
      <w:r w:rsidRPr="00FF477C">
        <w:t xml:space="preserve"> ženy.</w:t>
      </w:r>
    </w:p>
    <w:p w14:paraId="456EE849" w14:textId="4AD21954" w:rsidR="00A03D7E" w:rsidRPr="00FF477C" w:rsidRDefault="00A03D7E" w:rsidP="00D96707">
      <w:r w:rsidRPr="00B94DEC">
        <w:rPr>
          <w:noProof/>
        </w:rPr>
        <w:drawing>
          <wp:inline distT="0" distB="0" distL="0" distR="0" wp14:anchorId="79227910" wp14:editId="3A8B5AF1">
            <wp:extent cx="288000" cy="288000"/>
            <wp:effectExtent l="0" t="0" r="0" b="0"/>
            <wp:docPr id="1758184733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74AD" w14:textId="77777777" w:rsidR="00D96707" w:rsidRPr="00FF477C" w:rsidRDefault="00D96707" w:rsidP="006616E0">
      <w:pPr>
        <w:pStyle w:val="Nadpis2-bezslovn"/>
      </w:pPr>
      <w:r w:rsidRPr="00763B82">
        <w:t>Užívání nelegálních drog</w:t>
      </w:r>
    </w:p>
    <w:p w14:paraId="0C71F404" w14:textId="77777777" w:rsidR="00D96707" w:rsidRPr="00FF477C" w:rsidRDefault="00D96707" w:rsidP="00D96707">
      <w:r w:rsidRPr="00FF477C">
        <w:t>Nejčastěji užívanou nelegální drogou v ČR jsou konopné látky, ostatní nelegální drogy jsou užívány v mnohem menší míře. Mezi dospívajícími prevalence zkušeností s nelegálními drogami dlouhodobě klesá. Konopné látky</w:t>
      </w:r>
      <w:r w:rsidRPr="00FF477C">
        <w:rPr>
          <w:rFonts w:cs="Segoe UI"/>
        </w:rPr>
        <w:t xml:space="preserve"> alespoň jednou v životě </w:t>
      </w:r>
      <w:r>
        <w:rPr>
          <w:rFonts w:cs="Segoe UI"/>
        </w:rPr>
        <w:t>užila téměř čtvrtina dospívajících (24 %)</w:t>
      </w:r>
      <w:r w:rsidRPr="00FF477C">
        <w:rPr>
          <w:rFonts w:cs="Segoe UI"/>
        </w:rPr>
        <w:t>, zkušenost s užitím extáze</w:t>
      </w:r>
      <w:r>
        <w:rPr>
          <w:rFonts w:cs="Segoe UI"/>
        </w:rPr>
        <w:t>, LSD</w:t>
      </w:r>
      <w:r w:rsidRPr="00FF477C">
        <w:rPr>
          <w:rFonts w:cs="Segoe UI"/>
        </w:rPr>
        <w:t xml:space="preserve"> </w:t>
      </w:r>
      <w:r>
        <w:rPr>
          <w:rFonts w:cs="Segoe UI"/>
        </w:rPr>
        <w:t>a</w:t>
      </w:r>
      <w:r w:rsidRPr="00FF477C">
        <w:rPr>
          <w:rFonts w:cs="Segoe UI"/>
        </w:rPr>
        <w:t> halucinogenní</w:t>
      </w:r>
      <w:r>
        <w:rPr>
          <w:rFonts w:cs="Segoe UI"/>
        </w:rPr>
        <w:t>ch</w:t>
      </w:r>
      <w:r w:rsidRPr="00FF477C">
        <w:rPr>
          <w:rFonts w:cs="Segoe UI"/>
        </w:rPr>
        <w:t xml:space="preserve"> </w:t>
      </w:r>
      <w:r>
        <w:rPr>
          <w:rFonts w:cs="Segoe UI"/>
        </w:rPr>
        <w:t>hub</w:t>
      </w:r>
      <w:r w:rsidRPr="00FF477C">
        <w:rPr>
          <w:rFonts w:cs="Segoe UI"/>
        </w:rPr>
        <w:t xml:space="preserve"> </w:t>
      </w:r>
      <w:r>
        <w:rPr>
          <w:rFonts w:cs="Segoe UI"/>
        </w:rPr>
        <w:t xml:space="preserve">mají přibližně </w:t>
      </w:r>
      <w:r w:rsidRPr="00FF477C">
        <w:rPr>
          <w:rFonts w:cs="Segoe UI"/>
        </w:rPr>
        <w:t>3 %, pervitin nebo kokain užil</w:t>
      </w:r>
      <w:r>
        <w:rPr>
          <w:rFonts w:cs="Segoe UI"/>
        </w:rPr>
        <w:t>o</w:t>
      </w:r>
      <w:r w:rsidRPr="00FF477C">
        <w:rPr>
          <w:rFonts w:cs="Segoe UI"/>
        </w:rPr>
        <w:t xml:space="preserve"> </w:t>
      </w:r>
      <w:r>
        <w:rPr>
          <w:rFonts w:cs="Segoe UI"/>
        </w:rPr>
        <w:t>méně než</w:t>
      </w:r>
      <w:r w:rsidRPr="00FF477C">
        <w:rPr>
          <w:rFonts w:cs="Segoe UI"/>
        </w:rPr>
        <w:t xml:space="preserve"> 2 %, heroin nebo jiné opiáty méně než 1 % dospívajících</w:t>
      </w:r>
      <w:r w:rsidRPr="00FF477C">
        <w:rPr>
          <w:rFonts w:cs="Segoe UI"/>
          <w:szCs w:val="20"/>
        </w:rPr>
        <w:t>.</w:t>
      </w:r>
      <w:r>
        <w:rPr>
          <w:rFonts w:cs="Segoe UI"/>
          <w:szCs w:val="20"/>
        </w:rPr>
        <w:t xml:space="preserve"> Celkem 23 % dospívajících uvádí zkušenost se </w:t>
      </w:r>
      <w:proofErr w:type="spellStart"/>
      <w:r>
        <w:rPr>
          <w:rFonts w:cs="Segoe UI"/>
          <w:szCs w:val="20"/>
        </w:rPr>
        <w:t>semi</w:t>
      </w:r>
      <w:proofErr w:type="spellEnd"/>
      <w:r>
        <w:rPr>
          <w:rFonts w:cs="Segoe UI"/>
          <w:szCs w:val="20"/>
        </w:rPr>
        <w:t xml:space="preserve">-syntetickým </w:t>
      </w:r>
      <w:proofErr w:type="spellStart"/>
      <w:r>
        <w:rPr>
          <w:rFonts w:cs="Segoe UI"/>
          <w:szCs w:val="20"/>
        </w:rPr>
        <w:t>kanabinoidem</w:t>
      </w:r>
      <w:proofErr w:type="spellEnd"/>
      <w:r>
        <w:rPr>
          <w:rFonts w:cs="Segoe UI"/>
          <w:szCs w:val="20"/>
        </w:rPr>
        <w:t xml:space="preserve"> HHC.</w:t>
      </w:r>
    </w:p>
    <w:p w14:paraId="0AAAFF78" w14:textId="0E877836" w:rsidR="00D96707" w:rsidRDefault="00D96707" w:rsidP="00D96707">
      <w:r w:rsidRPr="00FF477C">
        <w:t>Zkušenost s konopnými látkami uvádí asi třetina dospělých osob. Přibližně 7–</w:t>
      </w:r>
      <w:r>
        <w:t>9</w:t>
      </w:r>
      <w:r w:rsidRPr="00FF477C">
        <w:t xml:space="preserve"> % dospělých užilo konopí v posledních 12 měsících. Míra užívání konopí je vyšší mezi muži a v mladších věkových skupinách. Konopí výhradně za účelem samoléčby zdravotních potíží užilo v </w:t>
      </w:r>
      <w:r w:rsidRPr="0064716A">
        <w:t xml:space="preserve">posledním roce </w:t>
      </w:r>
      <w:r w:rsidR="008C70C6">
        <w:br/>
      </w:r>
      <w:r>
        <w:t>2</w:t>
      </w:r>
      <w:r w:rsidRPr="0064716A">
        <w:t>80–</w:t>
      </w:r>
      <w:r>
        <w:t>40</w:t>
      </w:r>
      <w:r w:rsidRPr="0064716A">
        <w:t>0 tis. obyvatel ČR. Užívání</w:t>
      </w:r>
      <w:r w:rsidRPr="00FF477C">
        <w:t xml:space="preserve"> konopí z důvodu samoléčby roste s</w:t>
      </w:r>
      <w:r>
        <w:t> </w:t>
      </w:r>
      <w:r w:rsidRPr="00FF477C">
        <w:t>věkem, nejvyšší je ve věkových skupinách 55–64 a zejména 65+ let.</w:t>
      </w:r>
    </w:p>
    <w:p w14:paraId="5D17530B" w14:textId="321D0AF2" w:rsidR="00D96707" w:rsidRPr="00FF477C" w:rsidRDefault="00D96707" w:rsidP="00D96707">
      <w:r>
        <w:t xml:space="preserve">Celkem 3–4 % dospělých užila v posledních 12 měsících syntetické </w:t>
      </w:r>
      <w:proofErr w:type="spellStart"/>
      <w:r>
        <w:t>kanabinoidy</w:t>
      </w:r>
      <w:proofErr w:type="spellEnd"/>
      <w:r>
        <w:t>, 1–3 % extázi a halucinogenní houby, méně než 1 % pervitin (nebo amfetaminy) a kokain.</w:t>
      </w:r>
    </w:p>
    <w:p w14:paraId="62D9AC87" w14:textId="77777777" w:rsidR="00D96707" w:rsidRPr="00FF477C" w:rsidRDefault="00D96707" w:rsidP="00D96707">
      <w:r w:rsidRPr="00FF477C">
        <w:t>Odhadem 4</w:t>
      </w:r>
      <w:r>
        <w:t>6</w:t>
      </w:r>
      <w:r w:rsidRPr="00FF477C">
        <w:t>–4</w:t>
      </w:r>
      <w:r>
        <w:t>9</w:t>
      </w:r>
      <w:r w:rsidRPr="00FF477C">
        <w:t xml:space="preserve"> tis. lidí užívá drogy rizikově, nejčastěji </w:t>
      </w:r>
      <w:r w:rsidRPr="00AF4AF1">
        <w:t>pervitin (3</w:t>
      </w:r>
      <w:r>
        <w:t>8</w:t>
      </w:r>
      <w:r w:rsidRPr="00AF4AF1">
        <w:t>–3</w:t>
      </w:r>
      <w:r>
        <w:t>9</w:t>
      </w:r>
      <w:r w:rsidRPr="00AF4AF1">
        <w:t xml:space="preserve"> tis.) nebo</w:t>
      </w:r>
      <w:r w:rsidRPr="00FF477C">
        <w:t xml:space="preserve"> opioidy </w:t>
      </w:r>
      <w:r w:rsidRPr="00FF477C">
        <w:br/>
        <w:t xml:space="preserve">(9–10 tis.). Za posledních deset let se jejich počet zvýšil přibližně o čtvrtinu. Odhadem </w:t>
      </w:r>
      <w:r w:rsidRPr="00FF477C">
        <w:br/>
        <w:t>4</w:t>
      </w:r>
      <w:r>
        <w:t>2</w:t>
      </w:r>
      <w:r w:rsidRPr="00FF477C">
        <w:t>–43 tis. lidí užívá nelegální drogy injekčně.</w:t>
      </w:r>
    </w:p>
    <w:p w14:paraId="53BCA796" w14:textId="77777777" w:rsidR="00D96707" w:rsidRPr="00FF477C" w:rsidRDefault="00D96707" w:rsidP="00D96707">
      <w:r w:rsidRPr="00AF4AF1">
        <w:t xml:space="preserve">Výskyt HIV/AIDS je v české populaci i mezi injekčními uživateli drog dlouhodobě nízký </w:t>
      </w:r>
      <w:r w:rsidRPr="00AF4AF1">
        <w:br/>
        <w:t>(4–1</w:t>
      </w:r>
      <w:r>
        <w:t>5</w:t>
      </w:r>
      <w:r w:rsidRPr="00AF4AF1">
        <w:t xml:space="preserve"> případů ročně). Výskyt virové hepatitidy typu C mezi uživateli drog </w:t>
      </w:r>
      <w:r>
        <w:t>v posledních letech roste</w:t>
      </w:r>
      <w:r w:rsidRPr="00AF4AF1">
        <w:t xml:space="preserve"> (</w:t>
      </w:r>
      <w:r w:rsidRPr="00AF4AF1">
        <w:rPr>
          <w:rFonts w:cs="Segoe UI"/>
        </w:rPr>
        <w:t>přibližně 300–</w:t>
      </w:r>
      <w:r>
        <w:rPr>
          <w:rFonts w:cs="Segoe UI"/>
        </w:rPr>
        <w:t>7</w:t>
      </w:r>
      <w:r w:rsidRPr="00AF4AF1">
        <w:rPr>
          <w:rFonts w:cs="Segoe UI"/>
        </w:rPr>
        <w:t>00 případů ro</w:t>
      </w:r>
      <w:r w:rsidRPr="00FF477C">
        <w:rPr>
          <w:rFonts w:cs="Segoe UI"/>
        </w:rPr>
        <w:t>čně)</w:t>
      </w:r>
      <w:r>
        <w:rPr>
          <w:rFonts w:cs="Segoe UI"/>
        </w:rPr>
        <w:t xml:space="preserve"> a </w:t>
      </w:r>
      <w:r w:rsidRPr="00FF477C">
        <w:t xml:space="preserve">představuje nejrozšířenější infekci mezi </w:t>
      </w:r>
      <w:r>
        <w:t xml:space="preserve">lidmi užívajícími </w:t>
      </w:r>
      <w:r w:rsidRPr="00FF477C">
        <w:t>drog</w:t>
      </w:r>
      <w:r>
        <w:t>y</w:t>
      </w:r>
      <w:r w:rsidRPr="00FF477C">
        <w:t>.</w:t>
      </w:r>
    </w:p>
    <w:p w14:paraId="0775F897" w14:textId="77777777" w:rsidR="00D96707" w:rsidRPr="00FF477C" w:rsidRDefault="00D96707" w:rsidP="00D96707">
      <w:r w:rsidRPr="00FF477C">
        <w:t xml:space="preserve">Na předávkování nelegálními drogami a psychoaktivními léky ročně </w:t>
      </w:r>
      <w:r w:rsidRPr="00AF4AF1">
        <w:t xml:space="preserve">zemře </w:t>
      </w:r>
      <w:r>
        <w:t>5</w:t>
      </w:r>
      <w:r w:rsidRPr="00AF4AF1">
        <w:t>0–</w:t>
      </w:r>
      <w:r>
        <w:t>80</w:t>
      </w:r>
      <w:r w:rsidRPr="00AF4AF1">
        <w:t xml:space="preserve"> osob</w:t>
      </w:r>
      <w:r w:rsidRPr="00FF477C">
        <w:t xml:space="preserve">, dalších 130–150 případů úmrtí pod vlivem drog je ročně hlášeno z důvodu nemoci, nehody nebo sebevraždy. Zátěží pro společnost a zdravotní systém jsou </w:t>
      </w:r>
      <w:r>
        <w:t>i</w:t>
      </w:r>
      <w:r w:rsidRPr="00FF477C">
        <w:t xml:space="preserve"> úrazy a dopravní nehody pod vlivem drog.</w:t>
      </w:r>
    </w:p>
    <w:p w14:paraId="53CE7D30" w14:textId="77777777" w:rsidR="00D96707" w:rsidRDefault="00D96707" w:rsidP="00D96707">
      <w:pPr>
        <w:rPr>
          <w:rFonts w:cs="Segoe UI"/>
        </w:rPr>
      </w:pPr>
      <w:r w:rsidRPr="00763B82">
        <w:rPr>
          <w:rFonts w:cs="Segoe UI"/>
        </w:rPr>
        <w:lastRenderedPageBreak/>
        <w:t xml:space="preserve">Nejvyšší počet uživatelů nelegálních drog je v kontaktu s adiktologickými službami minimalizace rizik (41 tis.). Většinu z nich tvoří uživatelé pervitinu (73 %) a </w:t>
      </w:r>
      <w:proofErr w:type="spellStart"/>
      <w:r w:rsidRPr="00763B82">
        <w:rPr>
          <w:rFonts w:cs="Segoe UI"/>
        </w:rPr>
        <w:t>opioidů</w:t>
      </w:r>
      <w:proofErr w:type="spellEnd"/>
      <w:r w:rsidRPr="00763B82">
        <w:rPr>
          <w:rFonts w:cs="Segoe UI"/>
        </w:rPr>
        <w:t xml:space="preserve"> (22 %), nejčastěji užívající drogy injekčně (88 %). V psychiatrických ambulancích je ročně léčeno odhadem </w:t>
      </w:r>
      <w:r w:rsidRPr="00763B82">
        <w:rPr>
          <w:rFonts w:cs="Segoe UI"/>
        </w:rPr>
        <w:br/>
        <w:t>13–1</w:t>
      </w:r>
      <w:r>
        <w:rPr>
          <w:rFonts w:cs="Segoe UI"/>
        </w:rPr>
        <w:t>5</w:t>
      </w:r>
      <w:r w:rsidRPr="00763B82">
        <w:rPr>
          <w:rFonts w:cs="Segoe UI"/>
        </w:rPr>
        <w:t xml:space="preserve"> tis. uživatelů nelegálních drog, v lůžkových zařízeních přibližně 6 tis. Počty uživatelů nelegálních drog v kontaktu se službami se zvyšují, zejména v ambulantních programech</w:t>
      </w:r>
      <w:r w:rsidRPr="00FF477C">
        <w:rPr>
          <w:rFonts w:cs="Segoe UI"/>
        </w:rPr>
        <w:t>.</w:t>
      </w:r>
    </w:p>
    <w:p w14:paraId="33A58D74" w14:textId="77777777" w:rsidR="00D96707" w:rsidRDefault="00D96707" w:rsidP="00D96707">
      <w:r w:rsidRPr="00EC4991">
        <w:t xml:space="preserve">Poslanecká sněmovna </w:t>
      </w:r>
      <w:r>
        <w:t xml:space="preserve">Parlamentu ČR </w:t>
      </w:r>
      <w:r w:rsidRPr="00EC4991">
        <w:t xml:space="preserve">v květnu 2025 schválila novelu trestního zákoníku, která přináší částečnou dekriminalizaci držení a pěstování konopí pro vlastní potřebu. Podle schválené úpravy </w:t>
      </w:r>
      <w:r>
        <w:t>j</w:t>
      </w:r>
      <w:r w:rsidRPr="00EC4991">
        <w:t xml:space="preserve">e </w:t>
      </w:r>
      <w:r>
        <w:t xml:space="preserve">od 1. 1. 2026 </w:t>
      </w:r>
      <w:r w:rsidRPr="00EC4991">
        <w:t xml:space="preserve">legální </w:t>
      </w:r>
      <w:r w:rsidRPr="004E63C2">
        <w:t xml:space="preserve">pěstovat až tři rostliny konopí a držet ve svém obydlí až 100 gramů sušiny a mimo obydlí 25 gramů, jde-li o pěstování nebo držbu osobami staršími 21 let pro vlastní potřebu. Pěstování více než 5 rostlin konopí a držení více než 200 g konopí ve svém obydlí nebo </w:t>
      </w:r>
      <w:r w:rsidRPr="00EC4991">
        <w:t>více než 50</w:t>
      </w:r>
      <w:r>
        <w:t> </w:t>
      </w:r>
      <w:r w:rsidRPr="00EC4991">
        <w:t xml:space="preserve">g mimo obydlí </w:t>
      </w:r>
      <w:r>
        <w:t>j</w:t>
      </w:r>
      <w:r w:rsidRPr="00EC4991">
        <w:t>e trestné. Změna je součástí širší reformy směřující ke snížení počtu vězňů, omezení recidivy a častějšímu ukládání alternativních (např. peněžitých) trestů.</w:t>
      </w:r>
    </w:p>
    <w:p w14:paraId="37AAB4B7" w14:textId="2AE3A334" w:rsidR="00A03D7E" w:rsidRDefault="00A03D7E" w:rsidP="00D96707">
      <w:r w:rsidRPr="00B94DEC">
        <w:rPr>
          <w:noProof/>
        </w:rPr>
        <w:drawing>
          <wp:inline distT="0" distB="0" distL="0" distR="0" wp14:anchorId="79F8C9BE" wp14:editId="586085A4">
            <wp:extent cx="288000" cy="288000"/>
            <wp:effectExtent l="0" t="0" r="0" b="0"/>
            <wp:docPr id="927114561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6E02" w14:textId="77777777" w:rsidR="00D96707" w:rsidRDefault="00D96707" w:rsidP="006616E0">
      <w:pPr>
        <w:pStyle w:val="Nadpis2-bezslovn"/>
      </w:pPr>
      <w:r w:rsidRPr="00763B82">
        <w:t>Užívání psychomodulačních látek</w:t>
      </w:r>
    </w:p>
    <w:p w14:paraId="69F93EE1" w14:textId="77777777" w:rsidR="00D96707" w:rsidRDefault="00D96707" w:rsidP="00D96707">
      <w:r w:rsidRPr="008B3083">
        <w:t>Od 1. ledna 2025 vstoupila v účinnost nová právní úprava regulující psychoaktivní látky (zákon č.</w:t>
      </w:r>
      <w:r>
        <w:t> </w:t>
      </w:r>
      <w:r w:rsidRPr="008B3083">
        <w:t xml:space="preserve">321/2024 Sb.). Novela zavádí </w:t>
      </w:r>
      <w:r>
        <w:t xml:space="preserve">dvě nové kategorie psychoaktivních látek: </w:t>
      </w:r>
      <w:r w:rsidRPr="00BF6165">
        <w:rPr>
          <w:i/>
          <w:iCs/>
        </w:rPr>
        <w:t>psychomodulační látky</w:t>
      </w:r>
      <w:r w:rsidRPr="008B3083">
        <w:t>, které lze za přísných podmínek legálně prodávat dospělým</w:t>
      </w:r>
      <w:r>
        <w:t xml:space="preserve"> osobám (</w:t>
      </w:r>
      <w:r w:rsidRPr="008B3083">
        <w:t>specializovan</w:t>
      </w:r>
      <w:r>
        <w:t>é</w:t>
      </w:r>
      <w:r w:rsidRPr="008B3083">
        <w:t xml:space="preserve"> prodejn</w:t>
      </w:r>
      <w:r>
        <w:t xml:space="preserve">y, </w:t>
      </w:r>
      <w:r w:rsidRPr="008B3083">
        <w:t xml:space="preserve">zákaz reklamy, </w:t>
      </w:r>
      <w:r>
        <w:t>informace o složení na</w:t>
      </w:r>
      <w:r w:rsidRPr="008B3083">
        <w:t xml:space="preserve"> obalu, výdej do vlastních rukou)</w:t>
      </w:r>
      <w:r>
        <w:t xml:space="preserve">, a </w:t>
      </w:r>
      <w:r w:rsidRPr="00754E35">
        <w:rPr>
          <w:i/>
          <w:iCs/>
        </w:rPr>
        <w:t>zařazené psychoaktivní látky</w:t>
      </w:r>
      <w:r w:rsidRPr="008B3083">
        <w:t xml:space="preserve">, </w:t>
      </w:r>
      <w:r w:rsidRPr="00962635">
        <w:t xml:space="preserve">které </w:t>
      </w:r>
      <w:r>
        <w:t>js</w:t>
      </w:r>
      <w:r w:rsidRPr="00962635">
        <w:t xml:space="preserve">ou regulovány podobně jako </w:t>
      </w:r>
      <w:r>
        <w:t>nelegální</w:t>
      </w:r>
      <w:r w:rsidRPr="00962635">
        <w:t xml:space="preserve"> </w:t>
      </w:r>
      <w:r>
        <w:t>drogy</w:t>
      </w:r>
      <w:r w:rsidRPr="00962635">
        <w:t>, nicméně přechovávání malého množství pro vlastní potřebu ne</w:t>
      </w:r>
      <w:r>
        <w:t>ní</w:t>
      </w:r>
      <w:r w:rsidRPr="00962635">
        <w:t xml:space="preserve"> kriminalizováno.</w:t>
      </w:r>
    </w:p>
    <w:p w14:paraId="19EE3D32" w14:textId="0292C26A" w:rsidR="00D96707" w:rsidRPr="00FF477C" w:rsidRDefault="00D96707" w:rsidP="00D96707">
      <w:r>
        <w:t>Kratom v posledních 12 měsících užilo4–5 % dospělých (tj. až 460 tis. osob), ve skupině 15–24 let šlo o 12–15 % osob. Zkušenost s </w:t>
      </w:r>
      <w:proofErr w:type="spellStart"/>
      <w:r>
        <w:t>kratomem</w:t>
      </w:r>
      <w:proofErr w:type="spellEnd"/>
      <w:r>
        <w:t xml:space="preserve"> má</w:t>
      </w:r>
      <w:r>
        <w:rPr>
          <w:rFonts w:cs="Segoe UI"/>
          <w:szCs w:val="20"/>
        </w:rPr>
        <w:t xml:space="preserve"> 19 % dospívajících, pravidelně ho užívá až 12 % středoškoláků.</w:t>
      </w:r>
    </w:p>
    <w:p w14:paraId="63AE5984" w14:textId="77777777" w:rsidR="00D96707" w:rsidRDefault="00D96707" w:rsidP="00D96707">
      <w:r>
        <w:t>N</w:t>
      </w:r>
      <w:r w:rsidRPr="00E04140">
        <w:t xml:space="preserve">ejčastější rizika užívání kratomu </w:t>
      </w:r>
      <w:r>
        <w:t>zahrnují</w:t>
      </w:r>
      <w:r w:rsidRPr="00E04140">
        <w:t xml:space="preserve"> vznik závislosti a riziko předávkování, </w:t>
      </w:r>
      <w:r>
        <w:t>zejména při</w:t>
      </w:r>
      <w:r w:rsidRPr="00E04140">
        <w:t xml:space="preserve"> kombinac</w:t>
      </w:r>
      <w:r>
        <w:t>i</w:t>
      </w:r>
      <w:r w:rsidRPr="00E04140">
        <w:t xml:space="preserve"> s jinými látkami (zejména s</w:t>
      </w:r>
      <w:r>
        <w:t> </w:t>
      </w:r>
      <w:r w:rsidRPr="00E04140">
        <w:t>alkoholem</w:t>
      </w:r>
      <w:r>
        <w:t xml:space="preserve">). Dlouhodobé užívání kratomu může mít vliv na kardiovaskulární systém (tachykardie a hypertenze), může vést k poškození a selhání jater, ale i k rozvoji panické ataky, poruchám nálady a emoční nestabilitě. Při odvykání závislosti na kratomu se objevují abstinenční příznaky obdobné závislosti na </w:t>
      </w:r>
      <w:proofErr w:type="spellStart"/>
      <w:r>
        <w:t>opioidech</w:t>
      </w:r>
      <w:proofErr w:type="spellEnd"/>
      <w:r>
        <w:t>.</w:t>
      </w:r>
    </w:p>
    <w:p w14:paraId="2C3BA0F4" w14:textId="069A7AAC" w:rsidR="00A03D7E" w:rsidRDefault="00A03D7E" w:rsidP="00D96707">
      <w:pPr>
        <w:rPr>
          <w:rFonts w:cs="Segoe UI"/>
        </w:rPr>
      </w:pPr>
      <w:r w:rsidRPr="00B94DEC">
        <w:rPr>
          <w:noProof/>
        </w:rPr>
        <w:drawing>
          <wp:inline distT="0" distB="0" distL="0" distR="0" wp14:anchorId="6F60DDA4" wp14:editId="7223CF84">
            <wp:extent cx="288000" cy="288000"/>
            <wp:effectExtent l="0" t="0" r="0" b="0"/>
            <wp:docPr id="419958020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F931" w14:textId="77777777" w:rsidR="00D96707" w:rsidRPr="00FF477C" w:rsidRDefault="00D96707" w:rsidP="008650B2">
      <w:pPr>
        <w:pStyle w:val="Nadpis2-bezslovn"/>
      </w:pPr>
      <w:r w:rsidRPr="00763B82">
        <w:t>Hazardní hraní</w:t>
      </w:r>
    </w:p>
    <w:p w14:paraId="30E09748" w14:textId="77777777" w:rsidR="00D96707" w:rsidRDefault="00D96707" w:rsidP="00D96707">
      <w:r w:rsidRPr="00FF477C">
        <w:t>Hraní hazardních her</w:t>
      </w:r>
      <w:r w:rsidRPr="00F133A3">
        <w:t xml:space="preserve"> </w:t>
      </w:r>
      <w:r w:rsidRPr="00FF477C">
        <w:t>v posledních 12 měsících</w:t>
      </w:r>
      <w:r>
        <w:t>,</w:t>
      </w:r>
      <w:r w:rsidRPr="00FF477C">
        <w:t xml:space="preserve"> </w:t>
      </w:r>
      <w:r w:rsidRPr="00F133A3">
        <w:t>včetně loterií</w:t>
      </w:r>
      <w:r>
        <w:t xml:space="preserve">, </w:t>
      </w:r>
      <w:r w:rsidRPr="00FF477C">
        <w:t xml:space="preserve">uvádí </w:t>
      </w:r>
      <w:r>
        <w:t xml:space="preserve">více než čtvrtina </w:t>
      </w:r>
      <w:r w:rsidRPr="00F133A3">
        <w:t xml:space="preserve">16letých studentů </w:t>
      </w:r>
      <w:r>
        <w:t>(</w:t>
      </w:r>
      <w:r w:rsidRPr="00F133A3">
        <w:tab/>
        <w:t>28 %</w:t>
      </w:r>
      <w:r>
        <w:t>), na internetu hraje hazardní hry 18 %.</w:t>
      </w:r>
    </w:p>
    <w:p w14:paraId="33186DC3" w14:textId="77777777" w:rsidR="00D96707" w:rsidRDefault="00D96707" w:rsidP="00D96707">
      <w:r>
        <w:t>Hazardních her se účastní přibližně polovina</w:t>
      </w:r>
      <w:r w:rsidRPr="00FF477C">
        <w:t xml:space="preserve"> dospěl</w:t>
      </w:r>
      <w:r>
        <w:t>é populace</w:t>
      </w:r>
      <w:r w:rsidRPr="00FF477C">
        <w:t xml:space="preserve">, nejvíce lidí </w:t>
      </w:r>
      <w:r>
        <w:t>se účastní</w:t>
      </w:r>
      <w:r w:rsidRPr="00FF477C">
        <w:t xml:space="preserve"> loteri</w:t>
      </w:r>
      <w:r>
        <w:t>í a stíracích losů</w:t>
      </w:r>
      <w:r w:rsidRPr="00FF477C">
        <w:t xml:space="preserve">. Hraní hazardních her </w:t>
      </w:r>
      <w:r>
        <w:t>mimo</w:t>
      </w:r>
      <w:r w:rsidRPr="00FF477C">
        <w:t xml:space="preserve"> loteri</w:t>
      </w:r>
      <w:r>
        <w:t>e</w:t>
      </w:r>
      <w:r w:rsidRPr="00FF477C">
        <w:t xml:space="preserve"> </w:t>
      </w:r>
      <w:r>
        <w:t xml:space="preserve">a losy </w:t>
      </w:r>
      <w:r w:rsidRPr="00FF477C">
        <w:t>uvádí 13–2</w:t>
      </w:r>
      <w:r>
        <w:t>1</w:t>
      </w:r>
      <w:r w:rsidRPr="00FF477C">
        <w:t xml:space="preserve"> % dospělé populace.</w:t>
      </w:r>
      <w:r>
        <w:t xml:space="preserve"> </w:t>
      </w:r>
      <w:r w:rsidRPr="00FF477C">
        <w:t xml:space="preserve">V dlouhodobém horizontu dochází k mírnému nárůstu míry hazardního hraní v dospělé populaci, a to jak v případě loterií, tak v případě ostatních her (technické hry, živé hry a kurzové sázení). </w:t>
      </w:r>
      <w:r>
        <w:lastRenderedPageBreak/>
        <w:t>R</w:t>
      </w:r>
      <w:r w:rsidRPr="00FF477C">
        <w:t>oste míra online hazardního hraní, a to včetně loterií</w:t>
      </w:r>
      <w:r>
        <w:t>.</w:t>
      </w:r>
      <w:r w:rsidRPr="00FF477C">
        <w:t xml:space="preserve"> </w:t>
      </w:r>
      <w:r>
        <w:t xml:space="preserve">Míra hraní hazardních her </w:t>
      </w:r>
      <w:r w:rsidRPr="00FF477C">
        <w:t xml:space="preserve">je několikanásobně vyšší </w:t>
      </w:r>
      <w:r w:rsidRPr="00AF4AF1">
        <w:t>mezi muži a mezi mladými dospělými (15–34 let).</w:t>
      </w:r>
    </w:p>
    <w:p w14:paraId="4B37AC0E" w14:textId="77777777" w:rsidR="00D96707" w:rsidRPr="00FF477C" w:rsidRDefault="00D96707" w:rsidP="00D96707">
      <w:r w:rsidRPr="00AF4AF1">
        <w:t>Je odhadováno 180–275 tis. osob v riziku rozvoje problémů s hraním hazardních her, v kategorii vysokého rizika se</w:t>
      </w:r>
      <w:r w:rsidRPr="00FF477C">
        <w:t xml:space="preserve"> nachází </w:t>
      </w:r>
      <w:r>
        <w:t>5</w:t>
      </w:r>
      <w:r w:rsidRPr="00FF477C">
        <w:t>0–1</w:t>
      </w:r>
      <w:r>
        <w:t>4</w:t>
      </w:r>
      <w:r w:rsidRPr="00FF477C">
        <w:t>0 tis. osob. Největší podíl osob v riziku je mezi hráči technických her a online kurzového sázení. Odhadovaný počet osob v riziku rozvoje problémového hráčství je dlouhodobě stabilní, mírně se však zvyšuje počet osob ve vysokém riziku.</w:t>
      </w:r>
    </w:p>
    <w:p w14:paraId="31D0633D" w14:textId="77777777" w:rsidR="00D96707" w:rsidRPr="00FF477C" w:rsidRDefault="00D96707" w:rsidP="00D96707">
      <w:r w:rsidRPr="00FF477C">
        <w:t xml:space="preserve">Problémové hraní vede k finančním, rodinným i pracovním problémům. Ke zdravotním dopadům rizikového hazardního hraní patří </w:t>
      </w:r>
      <w:r>
        <w:t>častý</w:t>
      </w:r>
      <w:r w:rsidRPr="00FF477C">
        <w:t xml:space="preserve"> výskyt přidružených psychiatrických potíží a časté problémy v oblasti duševního zdraví včetně sebevražedných myšlenek a pokusů.</w:t>
      </w:r>
    </w:p>
    <w:p w14:paraId="227BDFF2" w14:textId="77777777" w:rsidR="00D96707" w:rsidRDefault="00D96707" w:rsidP="00D96707">
      <w:r w:rsidRPr="00FF477C">
        <w:t xml:space="preserve">V kontaktu se službami v souvislosti s hazardním hraním je </w:t>
      </w:r>
      <w:r>
        <w:t>více než</w:t>
      </w:r>
      <w:r w:rsidRPr="00FF477C">
        <w:t xml:space="preserve"> </w:t>
      </w:r>
      <w:r>
        <w:t>4</w:t>
      </w:r>
      <w:r w:rsidRPr="00FF477C">
        <w:t xml:space="preserve"> tis. osob ročně, </w:t>
      </w:r>
      <w:r>
        <w:t>v tom</w:t>
      </w:r>
      <w:r w:rsidRPr="00FF477C">
        <w:t xml:space="preserve"> </w:t>
      </w:r>
      <w:r>
        <w:t xml:space="preserve">přibližně </w:t>
      </w:r>
      <w:r w:rsidRPr="00FF477C">
        <w:t>1 tis.</w:t>
      </w:r>
      <w:r>
        <w:t xml:space="preserve"> osob</w:t>
      </w:r>
      <w:r w:rsidRPr="00FF477C">
        <w:t xml:space="preserve"> v zařízeních psychiatrické péče. Jde zejména o muže, v souvislosti s</w:t>
      </w:r>
      <w:r>
        <w:t> </w:t>
      </w:r>
      <w:r w:rsidRPr="00FF477C">
        <w:t>hraním</w:t>
      </w:r>
      <w:r>
        <w:t xml:space="preserve"> se jich </w:t>
      </w:r>
      <w:r w:rsidRPr="00FF477C">
        <w:t xml:space="preserve">léčí 5krát více než žen. Průměrný věk hráčů </w:t>
      </w:r>
      <w:r w:rsidRPr="00AF4AF1">
        <w:t>v léčbě je 32–34 let. Většina léčených má problém s technickými hrami, a to jak hranými v kamenných provozovnách, tak na internetu. Výrazně roste podíl osob v léčbě, které mají problém s online kurzovým sázením</w:t>
      </w:r>
      <w:r w:rsidRPr="00FF477C">
        <w:t>.</w:t>
      </w:r>
    </w:p>
    <w:p w14:paraId="054B1704" w14:textId="77777777" w:rsidR="00D96707" w:rsidRPr="0066396F" w:rsidRDefault="00D96707" w:rsidP="00D96707">
      <w:r w:rsidRPr="007D6A2F">
        <w:t xml:space="preserve">Od července 2024 </w:t>
      </w:r>
      <w:r>
        <w:t>je novinkou</w:t>
      </w:r>
      <w:r w:rsidRPr="007D6A2F">
        <w:t xml:space="preserve"> v oblasti regulace hazardního hraní </w:t>
      </w:r>
      <w:r>
        <w:t>zavedení</w:t>
      </w:r>
      <w:r w:rsidRPr="007D6A2F">
        <w:t xml:space="preserve"> tzv. </w:t>
      </w:r>
      <w:r w:rsidRPr="007D6A2F">
        <w:rPr>
          <w:i/>
          <w:iCs/>
        </w:rPr>
        <w:t xml:space="preserve">panic </w:t>
      </w:r>
      <w:proofErr w:type="spellStart"/>
      <w:r w:rsidRPr="007D6A2F">
        <w:rPr>
          <w:i/>
          <w:iCs/>
        </w:rPr>
        <w:t>button</w:t>
      </w:r>
      <w:r>
        <w:rPr>
          <w:i/>
          <w:iCs/>
        </w:rPr>
        <w:t>u</w:t>
      </w:r>
      <w:proofErr w:type="spellEnd"/>
      <w:r w:rsidRPr="007D6A2F">
        <w:t xml:space="preserve">. </w:t>
      </w:r>
      <w:r>
        <w:t xml:space="preserve">Jde o </w:t>
      </w:r>
      <w:r w:rsidRPr="007D6A2F">
        <w:t>prostředek pro okamžité vyloučení hráče z účasti na hazardní hře</w:t>
      </w:r>
      <w:r>
        <w:t>, a to na</w:t>
      </w:r>
      <w:r w:rsidRPr="007D6A2F">
        <w:t xml:space="preserve"> dobu 48 hodin. Aktivace probíhá prostřednictvím uživatelského konta a vede k automatickému zamezení účasti na všech formách hazardních her u všech provozovatelů</w:t>
      </w:r>
      <w:r>
        <w:t xml:space="preserve">. </w:t>
      </w:r>
      <w:r w:rsidRPr="007D6A2F">
        <w:t xml:space="preserve">Zavedení </w:t>
      </w:r>
      <w:r w:rsidRPr="007D6A2F">
        <w:rPr>
          <w:i/>
          <w:iCs/>
        </w:rPr>
        <w:t xml:space="preserve">panic </w:t>
      </w:r>
      <w:proofErr w:type="spellStart"/>
      <w:r w:rsidRPr="007D6A2F">
        <w:rPr>
          <w:i/>
          <w:iCs/>
        </w:rPr>
        <w:t>buttonu</w:t>
      </w:r>
      <w:proofErr w:type="spellEnd"/>
      <w:r w:rsidRPr="007D6A2F">
        <w:t xml:space="preserve"> doplňuje stávající nástroj dlouhodobého vyloučení, tedy zápis do </w:t>
      </w:r>
      <w:r w:rsidRPr="005620CF">
        <w:rPr>
          <w:i/>
          <w:iCs/>
        </w:rPr>
        <w:t xml:space="preserve">Rejstříku fyzických osob vyloučených z účasti na hazardních </w:t>
      </w:r>
      <w:r w:rsidRPr="0066396F">
        <w:rPr>
          <w:i/>
          <w:iCs/>
        </w:rPr>
        <w:t>hrách</w:t>
      </w:r>
      <w:r w:rsidRPr="0066396F">
        <w:t>. Od července 2024 je možné o toto dlouhodobé vyloučení požádat i</w:t>
      </w:r>
      <w:r>
        <w:t> </w:t>
      </w:r>
      <w:r w:rsidRPr="0066396F">
        <w:t>prostřednictvím provozovatele hazardní hry, resp. uživatelského konta hráče.</w:t>
      </w:r>
    </w:p>
    <w:p w14:paraId="2CBEAE99" w14:textId="0CF98B7A" w:rsidR="00D96707" w:rsidRDefault="00D96707" w:rsidP="00D96707">
      <w:r>
        <w:t>Hráči prohrají v hazardních hrách přibližně 64 mld. Kč ročně. Společenské náklady hraní hazardních her dosahují ročně 14–16 mld. Kč. Na dani z hazardního hraní stát ročně vybere 20</w:t>
      </w:r>
      <w:r w:rsidR="00055F2B">
        <w:t> </w:t>
      </w:r>
      <w:r>
        <w:t>mld. Kč.</w:t>
      </w:r>
    </w:p>
    <w:p w14:paraId="20D9EE2A" w14:textId="63929148" w:rsidR="00A03D7E" w:rsidRPr="00FF477C" w:rsidRDefault="00A03D7E" w:rsidP="00D96707">
      <w:r w:rsidRPr="00B94DEC">
        <w:rPr>
          <w:noProof/>
        </w:rPr>
        <w:drawing>
          <wp:inline distT="0" distB="0" distL="0" distR="0" wp14:anchorId="08DC50B3" wp14:editId="071098D4">
            <wp:extent cx="288000" cy="288000"/>
            <wp:effectExtent l="0" t="0" r="0" b="0"/>
            <wp:docPr id="2042348700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FBA0" w14:textId="77777777" w:rsidR="00D96707" w:rsidRPr="00FF477C" w:rsidRDefault="00D96707" w:rsidP="008650B2">
      <w:pPr>
        <w:pStyle w:val="Nadpis2-bezslovn"/>
      </w:pPr>
      <w:r w:rsidRPr="00763B82">
        <w:t>Nadužívání digitálních technologií</w:t>
      </w:r>
    </w:p>
    <w:p w14:paraId="008DED04" w14:textId="77777777" w:rsidR="00D96707" w:rsidRDefault="00D96707" w:rsidP="00D96707">
      <w:r w:rsidRPr="00763B82">
        <w:t>Digitální hry hraje rizikově, tj. 4 a více hodin denně, přibližně 12–22 % dětí a 8–19 % dospívajících. Do kategorie závislosti na hraní her spadá odhadem 5–13 % dětí a 12–27 % dospívajících. Sociální sítě užívá rizikově, tj. 4 a více hodin denně, 20–30 % dětí a 28–50 % dospívajících. Do kategorie rizika v souvislosti s trávením času na sociálních sítích spadá odhadem 7–13 % dětí a 29–34 % dospívajících.</w:t>
      </w:r>
    </w:p>
    <w:p w14:paraId="6F5A98D8" w14:textId="77777777" w:rsidR="00055F2B" w:rsidRDefault="00D96707" w:rsidP="00D96707">
      <w:r w:rsidRPr="00FF477C">
        <w:t>Dospělí tráví na internetu v běžný pracovní den v průměru 130–1</w:t>
      </w:r>
      <w:r>
        <w:t>7</w:t>
      </w:r>
      <w:r w:rsidRPr="00FF477C">
        <w:t xml:space="preserve">0 minut denně, o víkendu </w:t>
      </w:r>
      <w:r w:rsidRPr="00FF477C">
        <w:br/>
        <w:t>160–</w:t>
      </w:r>
      <w:r>
        <w:t>21</w:t>
      </w:r>
      <w:r w:rsidRPr="00FF477C">
        <w:t xml:space="preserve">0 minut denně. </w:t>
      </w:r>
      <w:r w:rsidRPr="00FF477C">
        <w:rPr>
          <w:rFonts w:cs="Segoe UI"/>
        </w:rPr>
        <w:t>Muži tráví dlouhodobě více času hraním digitálních her, na online seznamkách a pornografických stránkách, zatímco ženy častěji tráví čas na sociálních sítích</w:t>
      </w:r>
      <w:r>
        <w:rPr>
          <w:rFonts w:cs="Segoe UI"/>
        </w:rPr>
        <w:t>.</w:t>
      </w:r>
      <w:r w:rsidRPr="00FF477C">
        <w:t xml:space="preserve"> V</w:t>
      </w:r>
      <w:r>
        <w:t> </w:t>
      </w:r>
      <w:r w:rsidRPr="00FF477C">
        <w:t>kategorii</w:t>
      </w:r>
      <w:r>
        <w:t xml:space="preserve"> </w:t>
      </w:r>
      <w:r w:rsidRPr="00FF477C">
        <w:t xml:space="preserve">rizika </w:t>
      </w:r>
      <w:r>
        <w:t xml:space="preserve">rozvoje </w:t>
      </w:r>
      <w:r w:rsidRPr="00FF477C">
        <w:t xml:space="preserve">závislosti na internetu a digitálních technologiích se nachází odhadem </w:t>
      </w:r>
      <w:r>
        <w:br/>
        <w:t>3</w:t>
      </w:r>
      <w:r w:rsidRPr="00FF477C">
        <w:t xml:space="preserve">–6 % české populace starší 15 let, což odpovídá přibližně </w:t>
      </w:r>
      <w:r>
        <w:t>29</w:t>
      </w:r>
      <w:r w:rsidRPr="00FF477C">
        <w:t>0–4</w:t>
      </w:r>
      <w:r>
        <w:t>5</w:t>
      </w:r>
      <w:r w:rsidRPr="00FF477C">
        <w:t>0 tis. osob. Do kategorie vysokého rizika spadá odhadem 1</w:t>
      </w:r>
      <w:r>
        <w:t>2</w:t>
      </w:r>
      <w:r w:rsidRPr="00FF477C">
        <w:t>0–1</w:t>
      </w:r>
      <w:r>
        <w:t>65</w:t>
      </w:r>
      <w:r w:rsidRPr="00FF477C">
        <w:t xml:space="preserve"> tis. osob starších 15 let. Nejvyšší podíl osob v riziku je ve</w:t>
      </w:r>
    </w:p>
    <w:p w14:paraId="5FCA554B" w14:textId="07CAFCC7" w:rsidR="00D96707" w:rsidRPr="00FF477C" w:rsidRDefault="00A25DEF" w:rsidP="00D96707">
      <w:r>
        <w:t> </w:t>
      </w:r>
      <w:r w:rsidR="00D96707" w:rsidRPr="00FF477C">
        <w:t>věkové skupině 15–24 let.</w:t>
      </w:r>
    </w:p>
    <w:p w14:paraId="703709D7" w14:textId="77777777" w:rsidR="00D96707" w:rsidRPr="00FF477C" w:rsidRDefault="00D96707" w:rsidP="00D96707">
      <w:r w:rsidRPr="00FF477C">
        <w:lastRenderedPageBreak/>
        <w:t>Přímé dopady nadužívání digitálních technologií zahrnují zanedbávání hygieny, jídla a/nebo spánku, únavu, bolesti hlavy, očí, zad nebo jiných částí pohybového aparátu. Mezi dlouhodobé dopady patří pokles fyzické aktivity, omezení sociálních kontaktů a ztráta přátel, konflikty v osobních vztazích, zanedbávání volnočasových aktivit, nesoustředěnost a problémy v práci nebo ve škole. U </w:t>
      </w:r>
      <w:r>
        <w:t xml:space="preserve">dospělých i </w:t>
      </w:r>
      <w:r w:rsidRPr="00FF477C">
        <w:t>dospívajících se objevuje spojitost s</w:t>
      </w:r>
      <w:r>
        <w:t> problémy v oblasti duševního zdraví</w:t>
      </w:r>
      <w:r w:rsidRPr="00FF477C">
        <w:t>.</w:t>
      </w:r>
    </w:p>
    <w:p w14:paraId="0A81827B" w14:textId="77777777" w:rsidR="00D96707" w:rsidRDefault="00D96707" w:rsidP="00D96707">
      <w:pPr>
        <w:rPr>
          <w:rFonts w:cs="Segoe UI"/>
        </w:rPr>
      </w:pPr>
      <w:r w:rsidRPr="00FF477C">
        <w:t xml:space="preserve">V ČR v současné době neexistují léčebné a poradenské služby přímo zaměřené na klienty v riziku digitálních závislostí. Klienti v riziku digitálních závislostí se v rostoucí míře obracejí na adiktologické služby – dlouhodobě roste počet programů pracujících s těmito klienty i jejich počet. S digitálními závislostmi se služby stále častěji setkávají u dětí a dospívajících (ve věku </w:t>
      </w:r>
      <w:r>
        <w:br/>
      </w:r>
      <w:r w:rsidRPr="00FF477C">
        <w:t xml:space="preserve">10–19 let), jde zejména o nadměrné hraní online her a trávení času na sociálních sítích. Až na výjimky vykazují klienty s digitální závislostí </w:t>
      </w:r>
      <w:r w:rsidRPr="00AF4AF1">
        <w:t xml:space="preserve">ambulantní služby. </w:t>
      </w:r>
      <w:r w:rsidRPr="00AF4AF1">
        <w:rPr>
          <w:rFonts w:cs="Segoe UI"/>
        </w:rPr>
        <w:t>Poradenství klientům v oblasti digitálních závislostí poskytují také online poradny.</w:t>
      </w:r>
    </w:p>
    <w:p w14:paraId="47E9770E" w14:textId="7B84801D" w:rsidR="00A03D7E" w:rsidRDefault="00A03D7E" w:rsidP="00D96707">
      <w:pPr>
        <w:rPr>
          <w:rFonts w:cs="Segoe UI"/>
        </w:rPr>
      </w:pPr>
      <w:r w:rsidRPr="00B94DEC">
        <w:rPr>
          <w:noProof/>
        </w:rPr>
        <w:drawing>
          <wp:inline distT="0" distB="0" distL="0" distR="0" wp14:anchorId="2533D8AA" wp14:editId="510BBC9C">
            <wp:extent cx="288000" cy="288000"/>
            <wp:effectExtent l="0" t="0" r="0" b="0"/>
            <wp:docPr id="592295295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CD5B" w14:textId="7AEE8888" w:rsidR="00D96707" w:rsidRDefault="00D96707" w:rsidP="00D96707">
      <w:bookmarkStart w:id="5" w:name="_Toc205632917"/>
      <w:bookmarkEnd w:id="4"/>
    </w:p>
    <w:p w14:paraId="14490423" w14:textId="77777777" w:rsidR="00D96707" w:rsidRPr="00D96707" w:rsidRDefault="00D96707" w:rsidP="00D96707">
      <w:pPr>
        <w:pStyle w:val="Nadpis2"/>
      </w:pPr>
      <w:bookmarkStart w:id="6" w:name="_Toc230934354"/>
      <w:r w:rsidRPr="00D96707">
        <w:t>Základní přehled situace v ČR v číslech</w:t>
      </w:r>
      <w:bookmarkEnd w:id="5"/>
      <w:bookmarkEnd w:id="6"/>
    </w:p>
    <w:p w14:paraId="503071BB" w14:textId="77777777" w:rsidR="00D96707" w:rsidRPr="00FF477C" w:rsidRDefault="00D96707" w:rsidP="00D96707">
      <w:pPr>
        <w:pStyle w:val="Nadpis3"/>
      </w:pPr>
      <w:r w:rsidRPr="00FF477C">
        <w:t xml:space="preserve">Výskyt </w:t>
      </w:r>
      <w:r w:rsidRPr="0005682C">
        <w:t>závislostního</w:t>
      </w:r>
      <w:r w:rsidRPr="00FF477C">
        <w:t xml:space="preserve"> chování v dospělé populaci</w:t>
      </w:r>
    </w:p>
    <w:p w14:paraId="6D87E38E" w14:textId="77777777" w:rsidR="00D96707" w:rsidRPr="00990326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990326">
        <w:rPr>
          <w:b/>
        </w:rPr>
        <w:t>16–</w:t>
      </w:r>
      <w:r>
        <w:rPr>
          <w:b/>
        </w:rPr>
        <w:t>17</w:t>
      </w:r>
      <w:r w:rsidRPr="00990326">
        <w:rPr>
          <w:b/>
        </w:rPr>
        <w:t xml:space="preserve"> %</w:t>
      </w:r>
      <w:r w:rsidRPr="00990326">
        <w:t xml:space="preserve"> populace ve věku 15+ let, tj. </w:t>
      </w:r>
      <w:r w:rsidRPr="00990326">
        <w:rPr>
          <w:b/>
        </w:rPr>
        <w:t>1,5–</w:t>
      </w:r>
      <w:r>
        <w:rPr>
          <w:b/>
        </w:rPr>
        <w:t>1,6</w:t>
      </w:r>
      <w:r w:rsidRPr="00990326">
        <w:rPr>
          <w:b/>
        </w:rPr>
        <w:t xml:space="preserve"> mil.</w:t>
      </w:r>
      <w:r w:rsidRPr="00990326">
        <w:t xml:space="preserve"> osob, denně nebo téměř denně kouří cigarety</w:t>
      </w:r>
    </w:p>
    <w:p w14:paraId="1131A983" w14:textId="77777777" w:rsidR="00D96707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>
        <w:rPr>
          <w:b/>
          <w:bCs/>
        </w:rPr>
        <w:t>9</w:t>
      </w:r>
      <w:r w:rsidRPr="00990326">
        <w:rPr>
          <w:b/>
          <w:bCs/>
        </w:rPr>
        <w:t>–1</w:t>
      </w:r>
      <w:r>
        <w:rPr>
          <w:b/>
          <w:bCs/>
        </w:rPr>
        <w:t>0</w:t>
      </w:r>
      <w:r w:rsidRPr="00990326">
        <w:rPr>
          <w:b/>
          <w:bCs/>
        </w:rPr>
        <w:t xml:space="preserve"> %</w:t>
      </w:r>
      <w:r w:rsidRPr="00990326">
        <w:t xml:space="preserve"> osob</w:t>
      </w:r>
      <w:r>
        <w:t xml:space="preserve"> starších 15 let</w:t>
      </w:r>
      <w:r w:rsidRPr="00990326">
        <w:t xml:space="preserve">, tj. </w:t>
      </w:r>
      <w:r>
        <w:rPr>
          <w:b/>
          <w:bCs/>
        </w:rPr>
        <w:t>8</w:t>
      </w:r>
      <w:r w:rsidRPr="00990326">
        <w:rPr>
          <w:b/>
          <w:bCs/>
        </w:rPr>
        <w:t>30–</w:t>
      </w:r>
      <w:r>
        <w:rPr>
          <w:b/>
          <w:bCs/>
        </w:rPr>
        <w:t>920 tis</w:t>
      </w:r>
      <w:r w:rsidRPr="00990326">
        <w:rPr>
          <w:b/>
        </w:rPr>
        <w:t>.</w:t>
      </w:r>
      <w:r w:rsidRPr="00990326">
        <w:rPr>
          <w:bCs/>
        </w:rPr>
        <w:t xml:space="preserve"> osob, </w:t>
      </w:r>
      <w:r>
        <w:rPr>
          <w:bCs/>
        </w:rPr>
        <w:t xml:space="preserve">užívá denně nebo téměř denně </w:t>
      </w:r>
      <w:r w:rsidRPr="00990326">
        <w:t>e-cigarety,</w:t>
      </w:r>
    </w:p>
    <w:p w14:paraId="3940C1DC" w14:textId="77777777" w:rsidR="00D96707" w:rsidRPr="00990326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>
        <w:rPr>
          <w:b/>
          <w:bCs/>
        </w:rPr>
        <w:t>5</w:t>
      </w:r>
      <w:r w:rsidRPr="00990326">
        <w:rPr>
          <w:b/>
          <w:bCs/>
        </w:rPr>
        <w:t>–</w:t>
      </w:r>
      <w:r>
        <w:rPr>
          <w:b/>
          <w:bCs/>
        </w:rPr>
        <w:t>7</w:t>
      </w:r>
      <w:r w:rsidRPr="00990326">
        <w:rPr>
          <w:b/>
          <w:bCs/>
        </w:rPr>
        <w:t> %</w:t>
      </w:r>
      <w:r w:rsidRPr="00990326">
        <w:t xml:space="preserve"> užívá zahřívané tabákové výrobky (tj. až </w:t>
      </w:r>
      <w:r>
        <w:rPr>
          <w:b/>
          <w:bCs/>
        </w:rPr>
        <w:t>6</w:t>
      </w:r>
      <w:r w:rsidRPr="00990326">
        <w:rPr>
          <w:b/>
          <w:bCs/>
        </w:rPr>
        <w:t>50 tis.</w:t>
      </w:r>
      <w:r w:rsidRPr="00990326">
        <w:t xml:space="preserve"> osob) a </w:t>
      </w:r>
      <w:r>
        <w:rPr>
          <w:b/>
          <w:bCs/>
        </w:rPr>
        <w:t>5</w:t>
      </w:r>
      <w:r w:rsidRPr="00990326">
        <w:rPr>
          <w:b/>
          <w:bCs/>
        </w:rPr>
        <w:t xml:space="preserve"> %</w:t>
      </w:r>
      <w:r w:rsidRPr="00990326">
        <w:t xml:space="preserve"> nikotinové sáčky (tj. až </w:t>
      </w:r>
      <w:r w:rsidRPr="00990326">
        <w:br/>
      </w:r>
      <w:r>
        <w:rPr>
          <w:b/>
          <w:bCs/>
        </w:rPr>
        <w:t>460</w:t>
      </w:r>
      <w:r w:rsidRPr="00990326">
        <w:rPr>
          <w:b/>
          <w:bCs/>
        </w:rPr>
        <w:t xml:space="preserve"> tis. </w:t>
      </w:r>
      <w:r w:rsidRPr="00990326">
        <w:t>osob)</w:t>
      </w:r>
    </w:p>
    <w:p w14:paraId="0459E267" w14:textId="77777777" w:rsidR="00D96707" w:rsidRPr="00990326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990326">
        <w:rPr>
          <w:b/>
        </w:rPr>
        <w:t>7–11 %</w:t>
      </w:r>
      <w:r w:rsidRPr="00990326">
        <w:t xml:space="preserve"> osob ve věku 15+ let, tj. </w:t>
      </w:r>
      <w:r w:rsidRPr="00990326">
        <w:rPr>
          <w:b/>
          <w:bCs/>
        </w:rPr>
        <w:t>650 tis.</w:t>
      </w:r>
      <w:r w:rsidRPr="00990326">
        <w:rPr>
          <w:b/>
        </w:rPr>
        <w:t>–1 mil.</w:t>
      </w:r>
      <w:r w:rsidRPr="00990326">
        <w:t xml:space="preserve"> osob, denně nebo téměř denně pije alkohol</w:t>
      </w:r>
    </w:p>
    <w:p w14:paraId="074F35DB" w14:textId="77777777" w:rsidR="00D96707" w:rsidRPr="00990326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990326">
        <w:rPr>
          <w:b/>
        </w:rPr>
        <w:t>1</w:t>
      </w:r>
      <w:r>
        <w:rPr>
          <w:b/>
        </w:rPr>
        <w:t>3</w:t>
      </w:r>
      <w:r w:rsidRPr="00990326">
        <w:rPr>
          <w:b/>
        </w:rPr>
        <w:t>–1</w:t>
      </w:r>
      <w:r>
        <w:rPr>
          <w:b/>
        </w:rPr>
        <w:t>7</w:t>
      </w:r>
      <w:r w:rsidRPr="00990326">
        <w:rPr>
          <w:b/>
        </w:rPr>
        <w:t xml:space="preserve"> %</w:t>
      </w:r>
      <w:r w:rsidRPr="00990326">
        <w:rPr>
          <w:bCs/>
        </w:rPr>
        <w:t xml:space="preserve"> </w:t>
      </w:r>
      <w:r w:rsidRPr="00990326">
        <w:t xml:space="preserve">osob, tj. </w:t>
      </w:r>
      <w:r w:rsidRPr="00990326">
        <w:rPr>
          <w:b/>
        </w:rPr>
        <w:t>1,3–1,6 mil.</w:t>
      </w:r>
      <w:r w:rsidRPr="00990326">
        <w:t xml:space="preserve">, pije rizikově, v tom </w:t>
      </w:r>
      <w:r w:rsidRPr="00990326">
        <w:rPr>
          <w:b/>
        </w:rPr>
        <w:t>6–</w:t>
      </w:r>
      <w:r>
        <w:rPr>
          <w:b/>
        </w:rPr>
        <w:t>9</w:t>
      </w:r>
      <w:r w:rsidRPr="00990326">
        <w:rPr>
          <w:b/>
        </w:rPr>
        <w:t xml:space="preserve"> %</w:t>
      </w:r>
      <w:r w:rsidRPr="00990326">
        <w:t xml:space="preserve"> populace</w:t>
      </w:r>
      <w:r>
        <w:t xml:space="preserve"> </w:t>
      </w:r>
      <w:r w:rsidRPr="00990326">
        <w:t>(</w:t>
      </w:r>
      <w:r w:rsidRPr="00990326">
        <w:rPr>
          <w:b/>
        </w:rPr>
        <w:t>600–900 tis.</w:t>
      </w:r>
      <w:r>
        <w:rPr>
          <w:b/>
        </w:rPr>
        <w:t xml:space="preserve"> </w:t>
      </w:r>
      <w:r w:rsidRPr="00990326">
        <w:t>osob)</w:t>
      </w:r>
      <w:r>
        <w:t xml:space="preserve"> </w:t>
      </w:r>
      <w:r w:rsidRPr="00990326">
        <w:t>spadá do kategorie škodlivého pití alkoholu</w:t>
      </w:r>
    </w:p>
    <w:p w14:paraId="04D1BB06" w14:textId="77777777" w:rsidR="00D96707" w:rsidRPr="00990326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>
        <w:rPr>
          <w:b/>
        </w:rPr>
        <w:t>7</w:t>
      </w:r>
      <w:r w:rsidRPr="00990326">
        <w:rPr>
          <w:b/>
        </w:rPr>
        <w:t>–1</w:t>
      </w:r>
      <w:r>
        <w:rPr>
          <w:b/>
        </w:rPr>
        <w:t>2</w:t>
      </w:r>
      <w:r w:rsidRPr="00990326">
        <w:rPr>
          <w:b/>
        </w:rPr>
        <w:t xml:space="preserve"> %</w:t>
      </w:r>
      <w:r w:rsidRPr="00990326">
        <w:t xml:space="preserve"> dospělých, tj. odhadem </w:t>
      </w:r>
      <w:r>
        <w:rPr>
          <w:b/>
        </w:rPr>
        <w:t>650 tis.</w:t>
      </w:r>
      <w:r w:rsidRPr="00990326">
        <w:rPr>
          <w:b/>
        </w:rPr>
        <w:t>–1 mil.</w:t>
      </w:r>
      <w:r w:rsidRPr="00990326">
        <w:t xml:space="preserve"> osob, spadá do kategorie problematické spotřeby, resp. zneužívání psychoaktivních léků</w:t>
      </w:r>
    </w:p>
    <w:p w14:paraId="7D008BF3" w14:textId="77777777" w:rsidR="00D96707" w:rsidRPr="0064716A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990326">
        <w:rPr>
          <w:b/>
        </w:rPr>
        <w:t>7–</w:t>
      </w:r>
      <w:r>
        <w:rPr>
          <w:b/>
        </w:rPr>
        <w:t>9</w:t>
      </w:r>
      <w:r w:rsidRPr="00990326">
        <w:rPr>
          <w:b/>
        </w:rPr>
        <w:t xml:space="preserve"> %</w:t>
      </w:r>
      <w:r w:rsidRPr="00990326">
        <w:t xml:space="preserve"> osob ve věku 15+ let, tj. odhadem </w:t>
      </w:r>
      <w:r w:rsidRPr="00990326">
        <w:rPr>
          <w:b/>
        </w:rPr>
        <w:t>650–</w:t>
      </w:r>
      <w:r>
        <w:rPr>
          <w:b/>
        </w:rPr>
        <w:t>830</w:t>
      </w:r>
      <w:r w:rsidRPr="00990326">
        <w:rPr>
          <w:b/>
        </w:rPr>
        <w:t xml:space="preserve"> tis.</w:t>
      </w:r>
      <w:r w:rsidRPr="00990326">
        <w:rPr>
          <w:bCs/>
        </w:rPr>
        <w:t xml:space="preserve"> </w:t>
      </w:r>
      <w:r w:rsidRPr="00990326">
        <w:t xml:space="preserve">dospělých, užilo v posledních </w:t>
      </w:r>
      <w:r w:rsidRPr="0064716A">
        <w:t xml:space="preserve">12 měsících konopné látky, přibližně </w:t>
      </w:r>
      <w:r w:rsidRPr="0064716A">
        <w:rPr>
          <w:b/>
        </w:rPr>
        <w:t>360 tis.</w:t>
      </w:r>
      <w:r w:rsidRPr="0064716A">
        <w:t xml:space="preserve"> dospělých </w:t>
      </w:r>
      <w:r>
        <w:t xml:space="preserve">tak </w:t>
      </w:r>
      <w:r w:rsidRPr="0064716A">
        <w:t>spadá do kategorie rizika vzniku problémů spojených s užíváním konopných látek</w:t>
      </w:r>
    </w:p>
    <w:p w14:paraId="1905E104" w14:textId="77777777" w:rsidR="00D96707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>
        <w:rPr>
          <w:b/>
        </w:rPr>
        <w:t>3</w:t>
      </w:r>
      <w:r w:rsidRPr="0064716A">
        <w:rPr>
          <w:b/>
        </w:rPr>
        <w:t>–</w:t>
      </w:r>
      <w:r>
        <w:rPr>
          <w:b/>
        </w:rPr>
        <w:t>4</w:t>
      </w:r>
      <w:r w:rsidRPr="0064716A">
        <w:rPr>
          <w:b/>
        </w:rPr>
        <w:t xml:space="preserve"> %</w:t>
      </w:r>
      <w:r w:rsidRPr="0064716A">
        <w:t xml:space="preserve"> dospělé populace užilo v posledních 12 měsících konopné látky výhradně pro samoléčbu, tj. odhadem </w:t>
      </w:r>
      <w:r>
        <w:rPr>
          <w:b/>
        </w:rPr>
        <w:t>2</w:t>
      </w:r>
      <w:r w:rsidRPr="0064716A">
        <w:rPr>
          <w:b/>
        </w:rPr>
        <w:t>80–</w:t>
      </w:r>
      <w:r>
        <w:rPr>
          <w:b/>
        </w:rPr>
        <w:t>40</w:t>
      </w:r>
      <w:r w:rsidRPr="0064716A">
        <w:rPr>
          <w:b/>
        </w:rPr>
        <w:t>0 tis.</w:t>
      </w:r>
      <w:r w:rsidRPr="0064716A">
        <w:t xml:space="preserve"> osob</w:t>
      </w:r>
    </w:p>
    <w:p w14:paraId="1196141F" w14:textId="77777777" w:rsidR="00D96707" w:rsidRPr="0064716A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216D75">
        <w:rPr>
          <w:b/>
        </w:rPr>
        <w:t>3–4 %</w:t>
      </w:r>
      <w:r w:rsidRPr="00216D75">
        <w:t xml:space="preserve"> dospělých </w:t>
      </w:r>
      <w:r w:rsidRPr="0064716A">
        <w:t>užila v posledních 12 měsících</w:t>
      </w:r>
      <w:r w:rsidRPr="00990326">
        <w:t xml:space="preserve"> </w:t>
      </w:r>
      <w:r>
        <w:t xml:space="preserve">syntetické </w:t>
      </w:r>
      <w:proofErr w:type="spellStart"/>
      <w:r w:rsidRPr="00D46B03">
        <w:t>kanabinoidy</w:t>
      </w:r>
      <w:proofErr w:type="spellEnd"/>
      <w:r w:rsidRPr="00D46B03">
        <w:t xml:space="preserve">, </w:t>
      </w:r>
      <w:r w:rsidRPr="00D46B03">
        <w:rPr>
          <w:b/>
        </w:rPr>
        <w:t>1–3 %</w:t>
      </w:r>
      <w:r w:rsidRPr="00D46B03">
        <w:t xml:space="preserve"> extázi a</w:t>
      </w:r>
      <w:r>
        <w:t> </w:t>
      </w:r>
      <w:r w:rsidRPr="00990326">
        <w:t xml:space="preserve">halucinogenní houby, méně než </w:t>
      </w:r>
      <w:r w:rsidRPr="00990326">
        <w:rPr>
          <w:b/>
        </w:rPr>
        <w:t>1 %</w:t>
      </w:r>
      <w:r w:rsidRPr="00990326">
        <w:t xml:space="preserve"> pervitin (nebo amfetaminy) a kokain</w:t>
      </w:r>
    </w:p>
    <w:p w14:paraId="458EAF8B" w14:textId="77777777" w:rsidR="00D96707" w:rsidRPr="00216D75" w:rsidRDefault="00D96707" w:rsidP="00D96707">
      <w:pPr>
        <w:pStyle w:val="Odstavecseseznamem"/>
        <w:numPr>
          <w:ilvl w:val="0"/>
          <w:numId w:val="2"/>
        </w:numPr>
        <w:spacing w:after="0"/>
        <w:contextualSpacing w:val="0"/>
      </w:pPr>
      <w:r w:rsidRPr="00216D75">
        <w:rPr>
          <w:b/>
        </w:rPr>
        <w:t>4–5 %</w:t>
      </w:r>
      <w:r w:rsidRPr="0064716A">
        <w:t xml:space="preserve"> dospělých </w:t>
      </w:r>
      <w:r w:rsidRPr="00216D75">
        <w:t xml:space="preserve">(tj. až </w:t>
      </w:r>
      <w:r w:rsidRPr="00216D75">
        <w:rPr>
          <w:b/>
          <w:bCs/>
        </w:rPr>
        <w:t>460 tis</w:t>
      </w:r>
      <w:r w:rsidRPr="00216D75">
        <w:t xml:space="preserve">. osob) užila v posledních 12 měsících kratom, ve skupině </w:t>
      </w:r>
      <w:r>
        <w:br/>
      </w:r>
      <w:r w:rsidRPr="00216D75">
        <w:t>15–24</w:t>
      </w:r>
      <w:r>
        <w:t xml:space="preserve"> l</w:t>
      </w:r>
      <w:r w:rsidRPr="00216D75">
        <w:t>et šlo o 12–15 % osob</w:t>
      </w:r>
    </w:p>
    <w:p w14:paraId="0DF14FE0" w14:textId="77777777" w:rsidR="00D96707" w:rsidRPr="00216D75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216D75">
        <w:rPr>
          <w:b/>
        </w:rPr>
        <w:t>46–49 tis.</w:t>
      </w:r>
      <w:r w:rsidRPr="00216D75">
        <w:rPr>
          <w:bCs/>
        </w:rPr>
        <w:t xml:space="preserve"> </w:t>
      </w:r>
      <w:r w:rsidRPr="00216D75">
        <w:t xml:space="preserve">osob užívá rizikově pervitin nebo opioidy, v tom </w:t>
      </w:r>
      <w:r w:rsidRPr="00216D75">
        <w:rPr>
          <w:b/>
          <w:bCs/>
        </w:rPr>
        <w:t>38–3</w:t>
      </w:r>
      <w:r w:rsidRPr="00216D75">
        <w:rPr>
          <w:b/>
        </w:rPr>
        <w:t>9</w:t>
      </w:r>
      <w:r w:rsidRPr="00216D75">
        <w:t xml:space="preserve"> </w:t>
      </w:r>
      <w:r w:rsidRPr="00216D75">
        <w:rPr>
          <w:b/>
        </w:rPr>
        <w:t>tis.</w:t>
      </w:r>
      <w:r w:rsidRPr="00216D75">
        <w:t xml:space="preserve"> užívá rizikově pervitin </w:t>
      </w:r>
      <w:r w:rsidRPr="00216D75">
        <w:br/>
        <w:t>a </w:t>
      </w:r>
      <w:r w:rsidRPr="00216D75">
        <w:rPr>
          <w:b/>
          <w:bCs/>
        </w:rPr>
        <w:t>9–10 tis.</w:t>
      </w:r>
      <w:r w:rsidRPr="00216D75">
        <w:t xml:space="preserve"> opioidy, v tom </w:t>
      </w:r>
      <w:r w:rsidRPr="00216D75">
        <w:rPr>
          <w:b/>
        </w:rPr>
        <w:t>5 tis</w:t>
      </w:r>
      <w:r w:rsidRPr="00216D75">
        <w:t xml:space="preserve">. buprenorfin, </w:t>
      </w:r>
      <w:r w:rsidRPr="00216D75">
        <w:rPr>
          <w:b/>
        </w:rPr>
        <w:t>3 tis.</w:t>
      </w:r>
      <w:r w:rsidRPr="00216D75">
        <w:t xml:space="preserve"> heroin a </w:t>
      </w:r>
      <w:r w:rsidRPr="00216D75">
        <w:rPr>
          <w:b/>
        </w:rPr>
        <w:t>2 tis.</w:t>
      </w:r>
      <w:r w:rsidRPr="00216D75">
        <w:t xml:space="preserve"> jiné opioidy</w:t>
      </w:r>
    </w:p>
    <w:p w14:paraId="7D91F8D2" w14:textId="77777777" w:rsidR="00D96707" w:rsidRPr="00216D75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216D75">
        <w:rPr>
          <w:b/>
        </w:rPr>
        <w:lastRenderedPageBreak/>
        <w:t>2–3 %</w:t>
      </w:r>
      <w:r w:rsidRPr="00216D75">
        <w:t xml:space="preserve"> populace starší 15 let podle škály Lie/bet spadají do kategorie problémového hráčství (tj. přibližně </w:t>
      </w:r>
      <w:r w:rsidRPr="00216D75">
        <w:rPr>
          <w:b/>
        </w:rPr>
        <w:t>180–275 tis.</w:t>
      </w:r>
      <w:r w:rsidRPr="00216D75">
        <w:t xml:space="preserve"> osob), z toho </w:t>
      </w:r>
      <w:r w:rsidRPr="00216D75">
        <w:rPr>
          <w:b/>
        </w:rPr>
        <w:t>50–140 tis.</w:t>
      </w:r>
      <w:r w:rsidRPr="00216D75">
        <w:t xml:space="preserve"> osob spadá do kategorie vysokého rizika</w:t>
      </w:r>
    </w:p>
    <w:p w14:paraId="6403962F" w14:textId="77777777" w:rsidR="00D96707" w:rsidRDefault="00D96707" w:rsidP="00D96707">
      <w:pPr>
        <w:pStyle w:val="Odstavecseseznamem"/>
        <w:numPr>
          <w:ilvl w:val="0"/>
          <w:numId w:val="2"/>
        </w:numPr>
        <w:spacing w:after="0"/>
        <w:ind w:left="470" w:hanging="357"/>
        <w:contextualSpacing w:val="0"/>
      </w:pPr>
      <w:r w:rsidRPr="00216D75">
        <w:rPr>
          <w:b/>
        </w:rPr>
        <w:t>3–6 %</w:t>
      </w:r>
      <w:r w:rsidRPr="00216D75">
        <w:t xml:space="preserve"> osob (</w:t>
      </w:r>
      <w:r w:rsidRPr="00216D75">
        <w:rPr>
          <w:b/>
          <w:bCs/>
        </w:rPr>
        <w:t>290–450</w:t>
      </w:r>
      <w:r w:rsidRPr="00216D75">
        <w:t xml:space="preserve"> </w:t>
      </w:r>
      <w:r w:rsidRPr="00216D75">
        <w:rPr>
          <w:b/>
        </w:rPr>
        <w:t>tis.</w:t>
      </w:r>
      <w:r w:rsidRPr="00216D75">
        <w:t xml:space="preserve"> osob) spadá do kategorie rizika digitálních závislostí, v tom </w:t>
      </w:r>
      <w:r w:rsidRPr="00216D75">
        <w:rPr>
          <w:b/>
        </w:rPr>
        <w:t xml:space="preserve">1–2 % </w:t>
      </w:r>
      <w:r w:rsidRPr="00216D75">
        <w:rPr>
          <w:b/>
          <w:bCs/>
        </w:rPr>
        <w:t>(120–165 tis</w:t>
      </w:r>
      <w:r w:rsidRPr="00216D75">
        <w:rPr>
          <w:b/>
        </w:rPr>
        <w:t xml:space="preserve">. </w:t>
      </w:r>
      <w:r w:rsidRPr="00216D75">
        <w:t xml:space="preserve">osob) spadají do kategorie vysokého rizika, nejčastěji ve věkových skupinách 15–24 let a 25–34 </w:t>
      </w:r>
      <w:r w:rsidRPr="00990326">
        <w:t>let</w:t>
      </w:r>
    </w:p>
    <w:p w14:paraId="78A579B0" w14:textId="77777777" w:rsidR="00D96707" w:rsidRDefault="00D96707" w:rsidP="00D96707">
      <w:pPr>
        <w:pStyle w:val="Titulek"/>
      </w:pPr>
      <w:bookmarkStart w:id="7" w:name="_Toc230934442"/>
      <w:r w:rsidRPr="00F005ED">
        <w:t xml:space="preserve">tabulka </w:t>
      </w:r>
      <w:fldSimple w:instr=" STYLEREF 1 \s ">
        <w:r>
          <w:rPr>
            <w:noProof/>
          </w:rPr>
          <w:t>0</w:t>
        </w:r>
      </w:fldSimple>
      <w:r>
        <w:noBreakHyphen/>
      </w:r>
      <w:fldSimple w:instr=" SEQ tabulka \* ARABIC \s 1 ">
        <w:r>
          <w:rPr>
            <w:noProof/>
          </w:rPr>
          <w:t>1</w:t>
        </w:r>
      </w:fldSimple>
      <w:r w:rsidRPr="00F005ED">
        <w:t>: Výskyt rizikových forem závislostního chování v populaci ČR starší 15 let</w:t>
      </w:r>
      <w:bookmarkEnd w:id="7"/>
    </w:p>
    <w:tbl>
      <w:tblPr>
        <w:tblStyle w:val="VZ2013"/>
        <w:tblW w:w="5000" w:type="pct"/>
        <w:tblBorders>
          <w:top w:val="none" w:sz="0" w:space="0" w:color="auto"/>
          <w:bottom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9"/>
        <w:gridCol w:w="2369"/>
      </w:tblGrid>
      <w:tr w:rsidR="00D96707" w:rsidRPr="005F03AE" w14:paraId="5031F7A1" w14:textId="77777777" w:rsidTr="00A7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tcW w:w="3753" w:type="pct"/>
            <w:tcBorders>
              <w:right w:val="single" w:sz="4" w:space="0" w:color="FFFFFF" w:themeColor="background1"/>
            </w:tcBorders>
            <w:shd w:val="clear" w:color="auto" w:fill="A0BF65"/>
            <w:noWrap/>
          </w:tcPr>
          <w:p w14:paraId="7F3A555C" w14:textId="77777777" w:rsidR="00D96707" w:rsidRPr="00265FDF" w:rsidRDefault="00D96707" w:rsidP="00A73DD4">
            <w:pPr>
              <w:jc w:val="left"/>
              <w:rPr>
                <w:bCs/>
                <w:color w:val="auto"/>
              </w:rPr>
            </w:pPr>
            <w:r w:rsidRPr="00FF50A3">
              <w:rPr>
                <w:bCs/>
                <w:color w:val="auto"/>
              </w:rPr>
              <w:t>Rizikové formy závislostního chování mezi dospělými</w:t>
            </w:r>
          </w:p>
        </w:tc>
        <w:tc>
          <w:tcPr>
            <w:tcW w:w="1247" w:type="pct"/>
            <w:tcBorders>
              <w:left w:val="single" w:sz="4" w:space="0" w:color="FFFFFF" w:themeColor="background1"/>
            </w:tcBorders>
            <w:shd w:val="clear" w:color="auto" w:fill="A0BF65"/>
            <w:noWrap/>
          </w:tcPr>
          <w:p w14:paraId="7BE9B782" w14:textId="77777777" w:rsidR="00D96707" w:rsidRPr="00265FDF" w:rsidRDefault="00D96707" w:rsidP="00A73DD4">
            <w:pPr>
              <w:jc w:val="right"/>
              <w:rPr>
                <w:bCs/>
                <w:color w:val="auto"/>
              </w:rPr>
            </w:pPr>
            <w:r w:rsidRPr="00FF50A3">
              <w:rPr>
                <w:color w:val="auto"/>
              </w:rPr>
              <w:t>Po</w:t>
            </w:r>
            <w:r>
              <w:rPr>
                <w:color w:val="auto"/>
              </w:rPr>
              <w:t>čet</w:t>
            </w:r>
            <w:r w:rsidRPr="00FF50A3">
              <w:rPr>
                <w:color w:val="auto"/>
              </w:rPr>
              <w:t xml:space="preserve"> osob</w:t>
            </w:r>
          </w:p>
        </w:tc>
      </w:tr>
      <w:tr w:rsidR="00D96707" w:rsidRPr="005F03AE" w14:paraId="576268E2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27F5A9A4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Denní kuřáci</w:t>
            </w:r>
          </w:p>
        </w:tc>
        <w:tc>
          <w:tcPr>
            <w:tcW w:w="1247" w:type="pct"/>
            <w:tcBorders>
              <w:top w:val="single" w:sz="4" w:space="0" w:color="A2C452"/>
              <w:left w:val="single" w:sz="4" w:space="0" w:color="BFBFBF" w:themeColor="background1" w:themeShade="BF"/>
            </w:tcBorders>
            <w:noWrap/>
          </w:tcPr>
          <w:p w14:paraId="1679BD5D" w14:textId="77777777" w:rsidR="00D96707" w:rsidRPr="005F03AE" w:rsidRDefault="00D96707" w:rsidP="00A73DD4">
            <w:pPr>
              <w:jc w:val="right"/>
            </w:pPr>
            <w:r w:rsidRPr="001C741A">
              <w:t>1,5–</w:t>
            </w:r>
            <w:r>
              <w:t>1,6</w:t>
            </w:r>
            <w:r w:rsidRPr="001C741A">
              <w:t xml:space="preserve"> mil.</w:t>
            </w:r>
          </w:p>
        </w:tc>
      </w:tr>
      <w:tr w:rsidR="00D96707" w:rsidRPr="005F03AE" w14:paraId="41C5BE71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755E869B" w14:textId="77777777" w:rsidR="00D96707" w:rsidRPr="00FF50A3" w:rsidRDefault="00D96707" w:rsidP="00A73DD4">
            <w:pPr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Denní uživatelé e-cigaret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465EE6B6" w14:textId="77777777" w:rsidR="00D96707" w:rsidRPr="001C741A" w:rsidRDefault="00D96707" w:rsidP="00A73DD4">
            <w:pPr>
              <w:jc w:val="right"/>
            </w:pPr>
            <w:r>
              <w:t>830</w:t>
            </w:r>
            <w:r w:rsidRPr="001C741A">
              <w:t>–</w:t>
            </w:r>
            <w:r>
              <w:t>920</w:t>
            </w:r>
            <w:r w:rsidRPr="001C741A">
              <w:t xml:space="preserve"> mil.</w:t>
            </w:r>
          </w:p>
        </w:tc>
      </w:tr>
      <w:tr w:rsidR="00D96707" w:rsidRPr="005F03AE" w14:paraId="4174F5FF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5A27C539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Denní konzumenti alkoholu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noWrap/>
          </w:tcPr>
          <w:p w14:paraId="42C6032F" w14:textId="77777777" w:rsidR="00D96707" w:rsidRPr="005F03AE" w:rsidRDefault="00D96707" w:rsidP="00A73DD4">
            <w:pPr>
              <w:jc w:val="right"/>
            </w:pPr>
            <w:r>
              <w:t>650 tis.–1 mil.</w:t>
            </w:r>
          </w:p>
        </w:tc>
      </w:tr>
      <w:tr w:rsidR="00D96707" w:rsidRPr="005F03AE" w14:paraId="17963728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3F0DFBE6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Rizikové pití alkoholu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16856C3E" w14:textId="77777777" w:rsidR="00D96707" w:rsidRPr="005F03AE" w:rsidRDefault="00D96707" w:rsidP="00A73DD4">
            <w:pPr>
              <w:jc w:val="right"/>
            </w:pPr>
            <w:r w:rsidRPr="001C741A">
              <w:t>1,3–1,6 mil.</w:t>
            </w:r>
          </w:p>
        </w:tc>
      </w:tr>
      <w:tr w:rsidR="00D96707" w:rsidRPr="005F03AE" w14:paraId="7A1875F7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78CEA895" w14:textId="77777777" w:rsidR="00D96707" w:rsidRPr="00FF50A3" w:rsidRDefault="00D96707" w:rsidP="00D967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v tom ve vysokém riziku (tzv. škodlivé pití)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noWrap/>
          </w:tcPr>
          <w:p w14:paraId="2B265F08" w14:textId="77777777" w:rsidR="00D96707" w:rsidRPr="005F03AE" w:rsidRDefault="00D96707" w:rsidP="00A73DD4">
            <w:pPr>
              <w:jc w:val="right"/>
            </w:pPr>
            <w:r w:rsidRPr="001C741A">
              <w:t>600–900 tis.</w:t>
            </w:r>
          </w:p>
        </w:tc>
      </w:tr>
      <w:tr w:rsidR="00D96707" w:rsidRPr="005F03AE" w14:paraId="68DC3C51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1772908D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Problematické užívání psychoaktivních léků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2120229A" w14:textId="77777777" w:rsidR="00D96707" w:rsidRPr="005F03AE" w:rsidRDefault="00D96707" w:rsidP="00A73DD4">
            <w:pPr>
              <w:jc w:val="right"/>
            </w:pPr>
            <w:r>
              <w:t>650 tis.</w:t>
            </w:r>
            <w:r w:rsidRPr="001C741A">
              <w:t>–1,</w:t>
            </w:r>
            <w:r>
              <w:t>1</w:t>
            </w:r>
            <w:r w:rsidRPr="001C741A">
              <w:t xml:space="preserve"> mil.</w:t>
            </w:r>
          </w:p>
        </w:tc>
      </w:tr>
      <w:tr w:rsidR="00D96707" w:rsidRPr="005F03AE" w14:paraId="189EBB81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6402EF7A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Intenzivní uživatelé konopných látek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noWrap/>
          </w:tcPr>
          <w:p w14:paraId="5FAA056B" w14:textId="77777777" w:rsidR="00D96707" w:rsidRPr="005F03AE" w:rsidRDefault="00D96707" w:rsidP="00A73DD4">
            <w:pPr>
              <w:jc w:val="right"/>
            </w:pPr>
            <w:r w:rsidRPr="001C741A">
              <w:t>350–470 tis.</w:t>
            </w:r>
          </w:p>
        </w:tc>
      </w:tr>
      <w:tr w:rsidR="00D96707" w:rsidRPr="005F03AE" w14:paraId="4BAF833E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1C8C1157" w14:textId="77777777" w:rsidR="00D96707" w:rsidRPr="00FF50A3" w:rsidRDefault="00D96707" w:rsidP="00D967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v tom ve vysokém riziku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44820967" w14:textId="77777777" w:rsidR="00D96707" w:rsidRPr="005F03AE" w:rsidRDefault="00D96707" w:rsidP="00A73DD4">
            <w:pPr>
              <w:jc w:val="right"/>
            </w:pPr>
            <w:r w:rsidRPr="001C741A">
              <w:t>160–250 tis.</w:t>
            </w:r>
          </w:p>
        </w:tc>
      </w:tr>
      <w:tr w:rsidR="00D96707" w:rsidRPr="005F03AE" w14:paraId="6B528515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274ABEA9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Lidé užívající drogy (pervitin a opioidy) rizikově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noWrap/>
          </w:tcPr>
          <w:p w14:paraId="79812AC3" w14:textId="77777777" w:rsidR="00D96707" w:rsidRPr="005F03AE" w:rsidRDefault="00D96707" w:rsidP="00A73DD4">
            <w:pPr>
              <w:jc w:val="right"/>
            </w:pPr>
            <w:r w:rsidRPr="001C741A">
              <w:t>4</w:t>
            </w:r>
            <w:r>
              <w:t>6</w:t>
            </w:r>
            <w:r w:rsidRPr="001C741A">
              <w:t>–4</w:t>
            </w:r>
            <w:r>
              <w:t>9</w:t>
            </w:r>
            <w:r w:rsidRPr="001C741A">
              <w:t xml:space="preserve"> tis.</w:t>
            </w:r>
          </w:p>
        </w:tc>
      </w:tr>
      <w:tr w:rsidR="00D96707" w:rsidRPr="005F03AE" w14:paraId="75367FBE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57C85569" w14:textId="77777777" w:rsidR="00D96707" w:rsidRPr="00FF50A3" w:rsidRDefault="00D96707" w:rsidP="00D967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cs="Segoe UI"/>
                <w:szCs w:val="20"/>
              </w:rPr>
            </w:pPr>
            <w:r w:rsidRPr="00FF50A3">
              <w:rPr>
                <w:rFonts w:cs="Segoe UI"/>
                <w:szCs w:val="20"/>
              </w:rPr>
              <w:t>uživatelé pervitinu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3B8194CE" w14:textId="77777777" w:rsidR="00D96707" w:rsidRPr="005F03AE" w:rsidRDefault="00D96707" w:rsidP="00A73DD4">
            <w:pPr>
              <w:jc w:val="right"/>
            </w:pPr>
            <w:r w:rsidRPr="001C741A">
              <w:t>3</w:t>
            </w:r>
            <w:r>
              <w:t>8</w:t>
            </w:r>
            <w:r w:rsidRPr="001C741A">
              <w:t>–3</w:t>
            </w:r>
            <w:r>
              <w:t>9</w:t>
            </w:r>
            <w:r w:rsidRPr="001C741A">
              <w:t xml:space="preserve"> tis.</w:t>
            </w:r>
          </w:p>
        </w:tc>
      </w:tr>
      <w:tr w:rsidR="00D96707" w:rsidRPr="005F03AE" w14:paraId="17778B2A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46CFA538" w14:textId="77777777" w:rsidR="00D96707" w:rsidRPr="00FF50A3" w:rsidRDefault="00D96707" w:rsidP="00D967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cs="Segoe UI"/>
                <w:szCs w:val="20"/>
              </w:rPr>
            </w:pPr>
            <w:r w:rsidRPr="00FF50A3">
              <w:rPr>
                <w:rFonts w:cs="Segoe UI"/>
                <w:szCs w:val="20"/>
              </w:rPr>
              <w:t xml:space="preserve">uživatelé </w:t>
            </w:r>
            <w:proofErr w:type="spellStart"/>
            <w:r w:rsidRPr="00FF50A3">
              <w:rPr>
                <w:rFonts w:cs="Segoe UI"/>
                <w:szCs w:val="20"/>
              </w:rPr>
              <w:t>opioidů</w:t>
            </w:r>
            <w:proofErr w:type="spellEnd"/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noWrap/>
          </w:tcPr>
          <w:p w14:paraId="27021F4D" w14:textId="77777777" w:rsidR="00D96707" w:rsidRPr="005F03AE" w:rsidRDefault="00D96707" w:rsidP="00A73DD4">
            <w:pPr>
              <w:jc w:val="right"/>
            </w:pPr>
            <w:r w:rsidRPr="001C741A">
              <w:t>9–10 tis.</w:t>
            </w:r>
          </w:p>
        </w:tc>
      </w:tr>
      <w:tr w:rsidR="00D96707" w:rsidRPr="005F03AE" w14:paraId="424662D8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60229AF4" w14:textId="77777777" w:rsidR="00D96707" w:rsidRPr="00FF50A3" w:rsidRDefault="00D96707" w:rsidP="00D967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cs="Segoe UI"/>
                <w:szCs w:val="20"/>
              </w:rPr>
            </w:pPr>
            <w:r w:rsidRPr="00FF50A3">
              <w:rPr>
                <w:rFonts w:cs="Segoe UI"/>
                <w:szCs w:val="20"/>
              </w:rPr>
              <w:t>lidé užívající drogy injekčně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2A9F7489" w14:textId="77777777" w:rsidR="00D96707" w:rsidRPr="005F03AE" w:rsidRDefault="00D96707" w:rsidP="00A73DD4">
            <w:pPr>
              <w:jc w:val="right"/>
            </w:pPr>
            <w:r w:rsidRPr="001C741A">
              <w:t>4</w:t>
            </w:r>
            <w:r>
              <w:t>2</w:t>
            </w:r>
            <w:r w:rsidRPr="001C741A">
              <w:t>–43 tis.</w:t>
            </w:r>
          </w:p>
        </w:tc>
      </w:tr>
      <w:tr w:rsidR="00D96707" w:rsidRPr="005F03AE" w14:paraId="2F325991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214ABF5A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Osoby v riziku problémového hraní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noWrap/>
          </w:tcPr>
          <w:p w14:paraId="4B9BB317" w14:textId="77777777" w:rsidR="00D96707" w:rsidRPr="005F03AE" w:rsidRDefault="00D96707" w:rsidP="00A73DD4">
            <w:pPr>
              <w:jc w:val="right"/>
            </w:pPr>
            <w:r w:rsidRPr="001C741A">
              <w:t>180–275 tis.</w:t>
            </w:r>
          </w:p>
        </w:tc>
      </w:tr>
      <w:tr w:rsidR="00D96707" w:rsidRPr="005F03AE" w14:paraId="15B48CD1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39A2CBD8" w14:textId="77777777" w:rsidR="00D96707" w:rsidRPr="00FF50A3" w:rsidRDefault="00D96707" w:rsidP="00D967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v tom ve vysokém riziku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3572F1D7" w14:textId="77777777" w:rsidR="00D96707" w:rsidRPr="005F03AE" w:rsidRDefault="00D96707" w:rsidP="00A73DD4">
            <w:pPr>
              <w:jc w:val="right"/>
            </w:pPr>
            <w:r w:rsidRPr="001C741A">
              <w:t>50–140 tis.</w:t>
            </w:r>
          </w:p>
        </w:tc>
      </w:tr>
      <w:tr w:rsidR="00D96707" w:rsidRPr="005F03AE" w14:paraId="1A339543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noWrap/>
          </w:tcPr>
          <w:p w14:paraId="4A8ADAE2" w14:textId="77777777" w:rsidR="00D96707" w:rsidRPr="00FF50A3" w:rsidRDefault="00D96707" w:rsidP="00A73DD4">
            <w:pPr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Osoby v riziku digitální závislosti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noWrap/>
          </w:tcPr>
          <w:p w14:paraId="4BFBE957" w14:textId="77777777" w:rsidR="00D96707" w:rsidRPr="005F03AE" w:rsidRDefault="00D96707" w:rsidP="00A73DD4">
            <w:pPr>
              <w:jc w:val="right"/>
            </w:pPr>
            <w:r>
              <w:t>290</w:t>
            </w:r>
            <w:r w:rsidRPr="001C741A">
              <w:t>–450 tis.</w:t>
            </w:r>
          </w:p>
        </w:tc>
      </w:tr>
      <w:tr w:rsidR="00D96707" w:rsidRPr="005F03AE" w14:paraId="1DB78881" w14:textId="77777777" w:rsidTr="00A73DD4">
        <w:trPr>
          <w:cantSplit/>
          <w:trHeight w:val="283"/>
        </w:trPr>
        <w:tc>
          <w:tcPr>
            <w:tcW w:w="3753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</w:tcPr>
          <w:p w14:paraId="47F1D8F9" w14:textId="77777777" w:rsidR="00D96707" w:rsidRPr="00FF50A3" w:rsidRDefault="00D96707" w:rsidP="00D967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Cs w:val="20"/>
              </w:rPr>
            </w:pPr>
            <w:r w:rsidRPr="00FF50A3">
              <w:rPr>
                <w:rFonts w:cs="Segoe UI"/>
                <w:szCs w:val="20"/>
              </w:rPr>
              <w:t>v tom ve vysokém riziku</w:t>
            </w:r>
          </w:p>
        </w:tc>
        <w:tc>
          <w:tcPr>
            <w:tcW w:w="1247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</w:tcPr>
          <w:p w14:paraId="241D93B0" w14:textId="77777777" w:rsidR="00D96707" w:rsidRPr="005F03AE" w:rsidRDefault="00D96707" w:rsidP="00A73DD4">
            <w:pPr>
              <w:jc w:val="right"/>
            </w:pPr>
            <w:r w:rsidRPr="001C741A">
              <w:t>120–165 tis.</w:t>
            </w:r>
          </w:p>
        </w:tc>
      </w:tr>
    </w:tbl>
    <w:p w14:paraId="24FC6DDE" w14:textId="77777777" w:rsidR="00D96707" w:rsidRPr="00FF477C" w:rsidRDefault="00D96707" w:rsidP="00D96707">
      <w:pPr>
        <w:pStyle w:val="Nadpis3"/>
      </w:pPr>
      <w:r w:rsidRPr="00FF477C">
        <w:t>Výskyt závislostního chování mezi dětmi a dospívajícími</w:t>
      </w:r>
    </w:p>
    <w:p w14:paraId="030FAF8D" w14:textId="77777777" w:rsidR="00D96707" w:rsidRPr="00990326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</w:pPr>
      <w:r w:rsidRPr="00990326">
        <w:rPr>
          <w:b/>
          <w:bCs/>
        </w:rPr>
        <w:t>6 %</w:t>
      </w:r>
      <w:r w:rsidRPr="00990326">
        <w:t xml:space="preserve"> 1</w:t>
      </w:r>
      <w:r>
        <w:t>6</w:t>
      </w:r>
      <w:r w:rsidRPr="00990326">
        <w:t>letých studentů uvádí denní nebo téměř denní kouření cigaret</w:t>
      </w:r>
      <w:r>
        <w:t xml:space="preserve"> a </w:t>
      </w:r>
      <w:r w:rsidRPr="00203171">
        <w:rPr>
          <w:b/>
          <w:bCs/>
        </w:rPr>
        <w:t>15 %</w:t>
      </w:r>
      <w:r w:rsidRPr="00CD405F">
        <w:rPr>
          <w:color w:val="00B050"/>
        </w:rPr>
        <w:t xml:space="preserve"> </w:t>
      </w:r>
      <w:r>
        <w:t>denní nebo téměř denní užívání e-cigaret</w:t>
      </w:r>
    </w:p>
    <w:p w14:paraId="0BCE55CB" w14:textId="77777777" w:rsidR="00D96707" w:rsidRPr="004A702D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</w:pPr>
      <w:r w:rsidRPr="00990326">
        <w:rPr>
          <w:b/>
        </w:rPr>
        <w:t>10 %</w:t>
      </w:r>
      <w:r w:rsidRPr="00990326">
        <w:t xml:space="preserve"> </w:t>
      </w:r>
      <w:r>
        <w:t>16letých užívá v současnosti</w:t>
      </w:r>
      <w:r w:rsidRPr="00990326">
        <w:t xml:space="preserve"> nikotinové sáčky</w:t>
      </w:r>
      <w:r>
        <w:t xml:space="preserve"> a </w:t>
      </w:r>
      <w:r w:rsidRPr="00203171">
        <w:rPr>
          <w:b/>
          <w:bCs/>
        </w:rPr>
        <w:t>7 %</w:t>
      </w:r>
      <w:r w:rsidRPr="00990326">
        <w:t xml:space="preserve"> zahřívané tabákové </w:t>
      </w:r>
      <w:r w:rsidRPr="004A702D">
        <w:t>výrobky</w:t>
      </w:r>
    </w:p>
    <w:p w14:paraId="05BE0E9D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</w:pPr>
      <w:r w:rsidRPr="00990326">
        <w:rPr>
          <w:b/>
        </w:rPr>
        <w:t>88 %</w:t>
      </w:r>
      <w:r w:rsidRPr="00990326">
        <w:t xml:space="preserve"> 16letých někdy v životě pilo alkohol, </w:t>
      </w:r>
      <w:r>
        <w:t xml:space="preserve">téměř dvě třetiny z nich </w:t>
      </w:r>
      <w:r w:rsidRPr="00990326">
        <w:t>uvedl</w:t>
      </w:r>
      <w:r>
        <w:t>y</w:t>
      </w:r>
      <w:r w:rsidRPr="00990326">
        <w:t xml:space="preserve"> pití alkoholu v</w:t>
      </w:r>
      <w:r>
        <w:t> </w:t>
      </w:r>
      <w:r w:rsidRPr="00990326">
        <w:t>posledních</w:t>
      </w:r>
      <w:r>
        <w:t xml:space="preserve"> </w:t>
      </w:r>
      <w:r w:rsidRPr="00990326">
        <w:t>30 dnech</w:t>
      </w:r>
      <w:r>
        <w:t xml:space="preserve"> (</w:t>
      </w:r>
      <w:r w:rsidRPr="00203171">
        <w:t xml:space="preserve">prevalence užití </w:t>
      </w:r>
      <w:r w:rsidRPr="00203171">
        <w:rPr>
          <w:b/>
          <w:bCs/>
        </w:rPr>
        <w:t>56 %</w:t>
      </w:r>
      <w:r w:rsidRPr="00203171">
        <w:t>)</w:t>
      </w:r>
    </w:p>
    <w:p w14:paraId="67435A8A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  <w:rPr>
          <w:bCs/>
        </w:rPr>
      </w:pPr>
      <w:r w:rsidRPr="00203171">
        <w:rPr>
          <w:b/>
        </w:rPr>
        <w:t>38 %</w:t>
      </w:r>
      <w:r w:rsidRPr="00203171">
        <w:t xml:space="preserve"> 16letých studentů pilo v posledních 30 dnech nadměrné dávky alkoholu (tj. 5 a více sklenic alkoholu při jedné příležitosti), </w:t>
      </w:r>
      <w:r w:rsidRPr="00203171">
        <w:rPr>
          <w:b/>
        </w:rPr>
        <w:t>15 %</w:t>
      </w:r>
      <w:r w:rsidRPr="00203171">
        <w:t xml:space="preserve"> přibližně jednou týdně nebo častěji</w:t>
      </w:r>
    </w:p>
    <w:p w14:paraId="1DF555F3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  <w:rPr>
          <w:bCs/>
        </w:rPr>
      </w:pPr>
      <w:r w:rsidRPr="00203171">
        <w:rPr>
          <w:b/>
        </w:rPr>
        <w:t xml:space="preserve">13 % </w:t>
      </w:r>
      <w:r w:rsidRPr="00203171">
        <w:rPr>
          <w:bCs/>
        </w:rPr>
        <w:t xml:space="preserve">šestnáctiletých užívalo někdy v životě léky na uklidnění a </w:t>
      </w:r>
      <w:r w:rsidRPr="00203171">
        <w:rPr>
          <w:b/>
        </w:rPr>
        <w:t xml:space="preserve">7 % </w:t>
      </w:r>
      <w:r w:rsidRPr="00203171">
        <w:rPr>
          <w:bCs/>
        </w:rPr>
        <w:t xml:space="preserve">antidepresiva na lékařský předpis, </w:t>
      </w:r>
      <w:r w:rsidRPr="00203171">
        <w:rPr>
          <w:b/>
        </w:rPr>
        <w:t xml:space="preserve">23 % </w:t>
      </w:r>
      <w:r w:rsidRPr="00203171">
        <w:rPr>
          <w:bCs/>
        </w:rPr>
        <w:t>uvedlo zneuž</w:t>
      </w:r>
      <w:r>
        <w:rPr>
          <w:bCs/>
        </w:rPr>
        <w:t>ívání</w:t>
      </w:r>
      <w:r w:rsidRPr="00203171">
        <w:rPr>
          <w:bCs/>
        </w:rPr>
        <w:t xml:space="preserve"> psychoaktivních léků (užívání bez lékařského předpisu, užívání za účelem dostat se do nálady, užívání v kombinaci s alkoholem)</w:t>
      </w:r>
    </w:p>
    <w:p w14:paraId="67EF1AD9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  <w:rPr>
          <w:bCs/>
        </w:rPr>
      </w:pPr>
      <w:r w:rsidRPr="00203171">
        <w:rPr>
          <w:b/>
        </w:rPr>
        <w:t>25 %</w:t>
      </w:r>
      <w:r w:rsidRPr="00203171">
        <w:t xml:space="preserve"> 16letých vyzkoušelo v životě nelegální drogu, nejčastěji (</w:t>
      </w:r>
      <w:r w:rsidRPr="00203171">
        <w:rPr>
          <w:b/>
        </w:rPr>
        <w:t>24 %</w:t>
      </w:r>
      <w:r w:rsidRPr="00203171">
        <w:t xml:space="preserve">) konopné látky; v posledních 30 dnech užilo konopí </w:t>
      </w:r>
      <w:r w:rsidRPr="00203171">
        <w:rPr>
          <w:b/>
          <w:bCs/>
        </w:rPr>
        <w:t>8 %</w:t>
      </w:r>
    </w:p>
    <w:p w14:paraId="5AE5F349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  <w:rPr>
          <w:bCs/>
        </w:rPr>
      </w:pPr>
      <w:r w:rsidRPr="00203171">
        <w:rPr>
          <w:b/>
        </w:rPr>
        <w:t>6 %</w:t>
      </w:r>
      <w:r w:rsidRPr="00203171">
        <w:t xml:space="preserve"> 16letých studentů se nachází v riziku v souvislosti s užíváním konopí, v tom </w:t>
      </w:r>
      <w:r w:rsidRPr="00203171">
        <w:rPr>
          <w:b/>
        </w:rPr>
        <w:t>3 %</w:t>
      </w:r>
      <w:r w:rsidRPr="00203171">
        <w:t xml:space="preserve"> ve vysokém riziku</w:t>
      </w:r>
    </w:p>
    <w:p w14:paraId="42B32C68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  <w:rPr>
          <w:bCs/>
        </w:rPr>
      </w:pPr>
      <w:r w:rsidRPr="00203171">
        <w:rPr>
          <w:b/>
          <w:bCs/>
        </w:rPr>
        <w:t xml:space="preserve">3 % </w:t>
      </w:r>
      <w:r w:rsidRPr="00203171">
        <w:t>šestnáctiletých alespoň jednou</w:t>
      </w:r>
      <w:r w:rsidRPr="00203171">
        <w:rPr>
          <w:b/>
          <w:bCs/>
        </w:rPr>
        <w:t xml:space="preserve"> </w:t>
      </w:r>
      <w:r w:rsidRPr="00203171">
        <w:t xml:space="preserve">vyzkoušela LSD a halucinogeny, halucinogenní houby nebo extázi, </w:t>
      </w:r>
      <w:r w:rsidRPr="00203171">
        <w:rPr>
          <w:b/>
          <w:bCs/>
        </w:rPr>
        <w:t>2 %</w:t>
      </w:r>
      <w:r w:rsidRPr="00203171">
        <w:t xml:space="preserve"> kokain a přibližně </w:t>
      </w:r>
      <w:r w:rsidRPr="00203171">
        <w:rPr>
          <w:b/>
          <w:bCs/>
        </w:rPr>
        <w:t>1 %</w:t>
      </w:r>
      <w:r w:rsidRPr="00203171">
        <w:t xml:space="preserve"> pervitin</w:t>
      </w:r>
    </w:p>
    <w:p w14:paraId="6EBB7968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  <w:rPr>
          <w:bCs/>
        </w:rPr>
      </w:pPr>
      <w:r w:rsidRPr="00203171">
        <w:rPr>
          <w:b/>
        </w:rPr>
        <w:t>23 %</w:t>
      </w:r>
      <w:r w:rsidRPr="00203171">
        <w:rPr>
          <w:bCs/>
        </w:rPr>
        <w:t xml:space="preserve"> 16letých uvedlo zkušenost s užitím </w:t>
      </w:r>
      <w:proofErr w:type="spellStart"/>
      <w:r w:rsidRPr="00203171">
        <w:rPr>
          <w:bCs/>
        </w:rPr>
        <w:t>semi</w:t>
      </w:r>
      <w:proofErr w:type="spellEnd"/>
      <w:r w:rsidRPr="00203171">
        <w:rPr>
          <w:bCs/>
        </w:rPr>
        <w:t xml:space="preserve">-syntetického kanabinoidu HHC, </w:t>
      </w:r>
      <w:r w:rsidRPr="00203171">
        <w:rPr>
          <w:b/>
        </w:rPr>
        <w:t>5 %</w:t>
      </w:r>
      <w:r w:rsidRPr="00203171">
        <w:rPr>
          <w:bCs/>
        </w:rPr>
        <w:t xml:space="preserve"> ho užilo v posledních 30 dnech</w:t>
      </w:r>
    </w:p>
    <w:p w14:paraId="292D6CA4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  <w:rPr>
          <w:bCs/>
        </w:rPr>
      </w:pPr>
      <w:r w:rsidRPr="00203171">
        <w:rPr>
          <w:b/>
        </w:rPr>
        <w:lastRenderedPageBreak/>
        <w:t>19 %</w:t>
      </w:r>
      <w:r w:rsidRPr="00203171">
        <w:rPr>
          <w:bCs/>
        </w:rPr>
        <w:t xml:space="preserve"> 16letých studentů někdy v životě užilo kratom, v současnosti ho užívá </w:t>
      </w:r>
      <w:r w:rsidRPr="00203171">
        <w:rPr>
          <w:b/>
        </w:rPr>
        <w:t>10 %</w:t>
      </w:r>
      <w:r w:rsidRPr="00203171">
        <w:rPr>
          <w:bCs/>
        </w:rPr>
        <w:t xml:space="preserve"> </w:t>
      </w:r>
    </w:p>
    <w:p w14:paraId="4EAD8BBF" w14:textId="77777777" w:rsidR="00D96707" w:rsidRPr="00203171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</w:pPr>
      <w:r w:rsidRPr="00203171">
        <w:rPr>
          <w:b/>
        </w:rPr>
        <w:t>28 %</w:t>
      </w:r>
      <w:r w:rsidRPr="00203171">
        <w:t xml:space="preserve"> 16letých studentů hraje v posledních 12 měsících hazardní hry o peníze (včetně loterií)</w:t>
      </w:r>
    </w:p>
    <w:p w14:paraId="72D6F2C1" w14:textId="77777777" w:rsidR="00D96707" w:rsidRPr="00990326" w:rsidRDefault="00D96707" w:rsidP="00D96707">
      <w:pPr>
        <w:pStyle w:val="Odstavecseseznamem"/>
        <w:numPr>
          <w:ilvl w:val="0"/>
          <w:numId w:val="4"/>
        </w:numPr>
        <w:spacing w:after="0"/>
        <w:ind w:left="470" w:hanging="357"/>
        <w:contextualSpacing w:val="0"/>
      </w:pPr>
      <w:r w:rsidRPr="00203171">
        <w:rPr>
          <w:b/>
        </w:rPr>
        <w:t xml:space="preserve">12 % </w:t>
      </w:r>
      <w:r w:rsidRPr="00203171">
        <w:t>šestnáctiletých spadá do kategorie rizika v souvislosti s hraním digitálních her,</w:t>
      </w:r>
      <w:r w:rsidRPr="00203171">
        <w:rPr>
          <w:bCs/>
        </w:rPr>
        <w:t xml:space="preserve"> </w:t>
      </w:r>
      <w:r w:rsidRPr="00203171">
        <w:rPr>
          <w:b/>
        </w:rPr>
        <w:t xml:space="preserve">29 % </w:t>
      </w:r>
      <w:r w:rsidRPr="00203171">
        <w:t>je v riziku v souvislosti s trávením času na sociálních sítích</w:t>
      </w:r>
    </w:p>
    <w:p w14:paraId="3B2BC42F" w14:textId="77777777" w:rsidR="00D96707" w:rsidRPr="00990326" w:rsidRDefault="00D96707" w:rsidP="00D96707">
      <w:pPr>
        <w:pStyle w:val="Nadpis3"/>
      </w:pPr>
      <w:r w:rsidRPr="00990326">
        <w:t>Dopady užívání návykových látek</w:t>
      </w:r>
    </w:p>
    <w:p w14:paraId="19121279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990326">
        <w:rPr>
          <w:b/>
        </w:rPr>
        <w:t>16–18 tis.</w:t>
      </w:r>
      <w:r w:rsidRPr="00990326">
        <w:rPr>
          <w:bCs/>
        </w:rPr>
        <w:t xml:space="preserve"> </w:t>
      </w:r>
      <w:r w:rsidRPr="00990326">
        <w:t>úmrtí je ročně způsobeno</w:t>
      </w:r>
      <w:r w:rsidRPr="00990326">
        <w:rPr>
          <w:bCs/>
        </w:rPr>
        <w:t xml:space="preserve"> </w:t>
      </w:r>
      <w:r w:rsidRPr="00990326">
        <w:t>kouřením tabáku</w:t>
      </w:r>
    </w:p>
    <w:p w14:paraId="655B65CD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rPr>
          <w:rFonts w:cs="Segoe UI"/>
        </w:rPr>
      </w:pPr>
      <w:r w:rsidRPr="00990326">
        <w:rPr>
          <w:rFonts w:cs="Segoe UI"/>
          <w:b/>
        </w:rPr>
        <w:t>6–7 tis.</w:t>
      </w:r>
      <w:r w:rsidRPr="00990326">
        <w:rPr>
          <w:rFonts w:cs="Segoe UI"/>
          <w:bCs/>
        </w:rPr>
        <w:t xml:space="preserve"> </w:t>
      </w:r>
      <w:r w:rsidRPr="00990326">
        <w:rPr>
          <w:rFonts w:cs="Segoe UI"/>
        </w:rPr>
        <w:t xml:space="preserve">úmrtí je ročně způsobeno pitím alkoholu, cca </w:t>
      </w:r>
      <w:r w:rsidRPr="00AF4AF1">
        <w:rPr>
          <w:rFonts w:cs="Segoe UI"/>
        </w:rPr>
        <w:t xml:space="preserve">u </w:t>
      </w:r>
      <w:r w:rsidRPr="00AF4AF1">
        <w:rPr>
          <w:rFonts w:cs="Segoe UI"/>
          <w:b/>
        </w:rPr>
        <w:t>2 tis.</w:t>
      </w:r>
      <w:r w:rsidRPr="00AF4AF1">
        <w:rPr>
          <w:rFonts w:cs="Segoe UI"/>
        </w:rPr>
        <w:t xml:space="preserve"> případů</w:t>
      </w:r>
      <w:r w:rsidRPr="00990326">
        <w:t xml:space="preserve"> je alkohol hlavní nebo jedinou příčinou úmrtí, z toho intoxikace alkoholem tvoří </w:t>
      </w:r>
      <w:r w:rsidRPr="00990326">
        <w:rPr>
          <w:b/>
        </w:rPr>
        <w:t>400–500</w:t>
      </w:r>
      <w:r w:rsidRPr="00990326">
        <w:t xml:space="preserve"> případů ročně</w:t>
      </w:r>
      <w:bookmarkStart w:id="8" w:name="_Hlk93920244"/>
    </w:p>
    <w:bookmarkEnd w:id="8"/>
    <w:p w14:paraId="7E5D4C00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347429">
        <w:rPr>
          <w:b/>
        </w:rPr>
        <w:t xml:space="preserve">60–90 </w:t>
      </w:r>
      <w:r w:rsidRPr="00347429">
        <w:t>lidí</w:t>
      </w:r>
      <w:r w:rsidRPr="00E23E5F">
        <w:t xml:space="preserve"> ročně zemře v důsledku smrtelných předávkování, z toho v </w:t>
      </w:r>
      <w:r w:rsidRPr="00E23E5F">
        <w:rPr>
          <w:b/>
        </w:rPr>
        <w:t>50–80</w:t>
      </w:r>
      <w:r w:rsidRPr="00E23E5F">
        <w:t xml:space="preserve"> případech jde</w:t>
      </w:r>
      <w:r w:rsidRPr="00990326">
        <w:t xml:space="preserve"> o předávkování nelegálními drogami nebo těkavými látkami, </w:t>
      </w:r>
      <w:r w:rsidRPr="00990326">
        <w:rPr>
          <w:b/>
        </w:rPr>
        <w:t>4–</w:t>
      </w:r>
      <w:r>
        <w:rPr>
          <w:b/>
        </w:rPr>
        <w:t>21</w:t>
      </w:r>
      <w:r w:rsidRPr="00990326">
        <w:rPr>
          <w:b/>
        </w:rPr>
        <w:t xml:space="preserve"> </w:t>
      </w:r>
      <w:r w:rsidRPr="00990326">
        <w:t>případů ročně v souvislosti s benzodiazepiny</w:t>
      </w:r>
    </w:p>
    <w:p w14:paraId="5C3996BB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990326">
        <w:rPr>
          <w:rFonts w:cs="Segoe UI"/>
          <w:b/>
        </w:rPr>
        <w:t xml:space="preserve">130–150 </w:t>
      </w:r>
      <w:r w:rsidRPr="00990326">
        <w:rPr>
          <w:rFonts w:cs="Segoe UI"/>
        </w:rPr>
        <w:t xml:space="preserve">případů úmrtí je ročně identifikováno </w:t>
      </w:r>
      <w:r w:rsidRPr="00990326">
        <w:t>pod vlivem nelegálních drog a psychoaktivních léků z jiných příčin než předávkování, z toho nejvíce v důsledku nemocí, nehod a sebevražd</w:t>
      </w:r>
    </w:p>
    <w:p w14:paraId="28587228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AF4AF1">
        <w:rPr>
          <w:b/>
        </w:rPr>
        <w:t>4–1</w:t>
      </w:r>
      <w:r>
        <w:rPr>
          <w:b/>
        </w:rPr>
        <w:t>5</w:t>
      </w:r>
      <w:r w:rsidRPr="00AF4AF1">
        <w:rPr>
          <w:b/>
        </w:rPr>
        <w:t xml:space="preserve"> </w:t>
      </w:r>
      <w:r w:rsidRPr="00AF4AF1">
        <w:t>nově</w:t>
      </w:r>
      <w:r w:rsidRPr="00990326">
        <w:t xml:space="preserve"> zjištěných případů HIV je ročně uváděno v souvislosti s injekčním užíváním drog</w:t>
      </w:r>
    </w:p>
    <w:p w14:paraId="6420236C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990326">
        <w:rPr>
          <w:b/>
        </w:rPr>
        <w:t>700–1,</w:t>
      </w:r>
      <w:r>
        <w:rPr>
          <w:b/>
        </w:rPr>
        <w:t>4</w:t>
      </w:r>
      <w:r w:rsidRPr="00990326">
        <w:rPr>
          <w:b/>
        </w:rPr>
        <w:t> tis.</w:t>
      </w:r>
      <w:r w:rsidRPr="00990326">
        <w:t xml:space="preserve"> případů virové hepatitidy typu C je hlášeno ročně, z toho </w:t>
      </w:r>
      <w:r w:rsidRPr="00990326">
        <w:rPr>
          <w:b/>
        </w:rPr>
        <w:t>300–</w:t>
      </w:r>
      <w:r>
        <w:rPr>
          <w:b/>
        </w:rPr>
        <w:t>7</w:t>
      </w:r>
      <w:r w:rsidRPr="00990326">
        <w:rPr>
          <w:b/>
        </w:rPr>
        <w:t>00</w:t>
      </w:r>
      <w:r w:rsidRPr="00990326">
        <w:t xml:space="preserve"> případů mezi lidmi užívajícími drogy injekčně</w:t>
      </w:r>
    </w:p>
    <w:p w14:paraId="3FFBDD98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990326">
        <w:rPr>
          <w:b/>
        </w:rPr>
        <w:t xml:space="preserve">14–16 tis. </w:t>
      </w:r>
      <w:r w:rsidRPr="00990326">
        <w:t xml:space="preserve">případů hospitalizací je ročně hlášeno pro úraz pod vlivem návykových látek, v tom </w:t>
      </w:r>
      <w:r w:rsidRPr="00990326">
        <w:rPr>
          <w:b/>
        </w:rPr>
        <w:t>13,5–15,5 tis.</w:t>
      </w:r>
      <w:r w:rsidRPr="00990326">
        <w:t xml:space="preserve"> osob pod vlivem alkoholu, </w:t>
      </w:r>
      <w:r w:rsidRPr="00990326">
        <w:rPr>
          <w:b/>
        </w:rPr>
        <w:t>200–</w:t>
      </w:r>
      <w:r>
        <w:rPr>
          <w:b/>
        </w:rPr>
        <w:t>4</w:t>
      </w:r>
      <w:r w:rsidRPr="00990326">
        <w:rPr>
          <w:b/>
        </w:rPr>
        <w:t>00</w:t>
      </w:r>
      <w:r w:rsidRPr="00990326">
        <w:t xml:space="preserve"> osob je ročně hospitalizováno pro úraz pod vlivem psychoaktivních léků, </w:t>
      </w:r>
      <w:r>
        <w:rPr>
          <w:b/>
        </w:rPr>
        <w:t>30</w:t>
      </w:r>
      <w:r w:rsidRPr="00990326">
        <w:rPr>
          <w:b/>
        </w:rPr>
        <w:t>0–</w:t>
      </w:r>
      <w:r>
        <w:rPr>
          <w:b/>
        </w:rPr>
        <w:t>5</w:t>
      </w:r>
      <w:r w:rsidRPr="00990326">
        <w:rPr>
          <w:b/>
        </w:rPr>
        <w:t>00</w:t>
      </w:r>
      <w:r w:rsidRPr="00990326">
        <w:t xml:space="preserve"> osob pod vlivem nelegálních drog </w:t>
      </w:r>
      <w:r>
        <w:br/>
      </w:r>
      <w:r w:rsidRPr="00990326">
        <w:t>a </w:t>
      </w:r>
      <w:r>
        <w:rPr>
          <w:b/>
        </w:rPr>
        <w:t>7</w:t>
      </w:r>
      <w:r w:rsidRPr="00990326">
        <w:rPr>
          <w:b/>
        </w:rPr>
        <w:t>–1</w:t>
      </w:r>
      <w:r>
        <w:rPr>
          <w:b/>
        </w:rPr>
        <w:t>6</w:t>
      </w:r>
      <w:r w:rsidRPr="00990326">
        <w:t xml:space="preserve"> osob pod vlivem těkavých látek</w:t>
      </w:r>
    </w:p>
    <w:p w14:paraId="3C70F79F" w14:textId="77777777" w:rsidR="00D96707" w:rsidRPr="00990326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990326">
        <w:rPr>
          <w:b/>
        </w:rPr>
        <w:t>4–5 tis.</w:t>
      </w:r>
      <w:r w:rsidRPr="00990326">
        <w:rPr>
          <w:bCs/>
        </w:rPr>
        <w:t xml:space="preserve"> </w:t>
      </w:r>
      <w:r w:rsidRPr="00990326">
        <w:t xml:space="preserve">dopravních nehod ročně je způsobeno pod vlivem alkoholu, </w:t>
      </w:r>
      <w:r w:rsidRPr="00990326">
        <w:rPr>
          <w:b/>
        </w:rPr>
        <w:t>300–400</w:t>
      </w:r>
      <w:r w:rsidRPr="00990326">
        <w:t xml:space="preserve"> pod vlivem jiných drog</w:t>
      </w:r>
    </w:p>
    <w:p w14:paraId="54D85BB6" w14:textId="77777777" w:rsidR="00D96707" w:rsidRPr="00FF477C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990326">
        <w:t xml:space="preserve">více než </w:t>
      </w:r>
      <w:r w:rsidRPr="00990326">
        <w:rPr>
          <w:b/>
        </w:rPr>
        <w:t>70 %</w:t>
      </w:r>
      <w:r w:rsidRPr="00990326">
        <w:t xml:space="preserve"> hráčů uvádí úzkostně-depresivní poruchu, </w:t>
      </w:r>
      <w:r w:rsidRPr="00990326">
        <w:rPr>
          <w:b/>
        </w:rPr>
        <w:t>44–46 %</w:t>
      </w:r>
      <w:r w:rsidRPr="00990326">
        <w:t xml:space="preserve"> hráčů myšlenky na sebevraždu a </w:t>
      </w:r>
      <w:r w:rsidRPr="00990326">
        <w:rPr>
          <w:b/>
        </w:rPr>
        <w:t>14–25 %</w:t>
      </w:r>
      <w:r w:rsidRPr="00990326">
        <w:t xml:space="preserve"> pokus o sebevražd</w:t>
      </w:r>
      <w:r w:rsidRPr="00FF477C">
        <w:t xml:space="preserve">u </w:t>
      </w:r>
    </w:p>
    <w:p w14:paraId="0B4343DD" w14:textId="77777777" w:rsidR="00D96707" w:rsidRPr="004A702D" w:rsidRDefault="00D96707" w:rsidP="00D96707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FF477C">
        <w:rPr>
          <w:b/>
        </w:rPr>
        <w:t xml:space="preserve">2–6krát </w:t>
      </w:r>
      <w:r w:rsidRPr="00FF477C">
        <w:t xml:space="preserve">častější je u dětí a dospívající v riziku digitálních závislostí zanedbávání volnočasových aktivit, problémy se spánkem nebo jídlem, problémy ve škole a dopady na čas trávený s kamarády a </w:t>
      </w:r>
      <w:r w:rsidRPr="004A702D">
        <w:t>rodinou</w:t>
      </w:r>
    </w:p>
    <w:p w14:paraId="2E8F3A98" w14:textId="77777777" w:rsidR="00D96707" w:rsidRDefault="00D96707" w:rsidP="00D96707">
      <w:pPr>
        <w:pStyle w:val="Titulek"/>
      </w:pPr>
      <w:bookmarkStart w:id="9" w:name="_Toc230934443"/>
      <w:r w:rsidRPr="00203171">
        <w:t xml:space="preserve">tabulka </w:t>
      </w:r>
      <w:fldSimple w:instr=" STYLEREF 1 \s ">
        <w:r>
          <w:rPr>
            <w:noProof/>
          </w:rPr>
          <w:t>0</w:t>
        </w:r>
      </w:fldSimple>
      <w:r>
        <w:noBreakHyphen/>
      </w:r>
      <w:fldSimple w:instr=" SEQ tabulka \* ARABIC \s 1 ">
        <w:r>
          <w:rPr>
            <w:noProof/>
          </w:rPr>
          <w:t>2</w:t>
        </w:r>
      </w:fldSimple>
      <w:r w:rsidRPr="00203171">
        <w:t>: Úmrtí způsobená ročně užíváním návykových látek v populaci ČR</w:t>
      </w:r>
      <w:bookmarkEnd w:id="9"/>
    </w:p>
    <w:tbl>
      <w:tblPr>
        <w:tblStyle w:val="hazard-Svtlstnovnzvraznn31"/>
        <w:tblW w:w="5000" w:type="pct"/>
        <w:jc w:val="center"/>
        <w:tblBorders>
          <w:top w:val="single" w:sz="4" w:space="0" w:color="9BBB59"/>
          <w:bottom w:val="single" w:sz="4" w:space="0" w:color="9BBB59"/>
          <w:insideH w:val="single" w:sz="4" w:space="0" w:color="9BBB59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2968"/>
        <w:gridCol w:w="1781"/>
        <w:gridCol w:w="2654"/>
        <w:gridCol w:w="2090"/>
      </w:tblGrid>
      <w:tr w:rsidR="00D96707" w:rsidRPr="006B355B" w14:paraId="647CEFAA" w14:textId="77777777" w:rsidTr="00A7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tcW w:w="1563" w:type="pct"/>
            <w:vMerge w:val="restart"/>
            <w:tcBorders>
              <w:bottom w:val="nil"/>
              <w:right w:val="single" w:sz="4" w:space="0" w:color="FFFFFF" w:themeColor="background1"/>
            </w:tcBorders>
            <w:shd w:val="clear" w:color="auto" w:fill="A0BF65"/>
            <w:vAlign w:val="center"/>
          </w:tcPr>
          <w:p w14:paraId="47C7B3BB" w14:textId="77777777" w:rsidR="00D96707" w:rsidRPr="006B355B" w:rsidRDefault="00D96707" w:rsidP="00A73DD4">
            <w:pPr>
              <w:keepNext/>
              <w:widowControl w:val="0"/>
              <w:tabs>
                <w:tab w:val="left" w:pos="23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eastAsia="Times New Roman" w:cs="Segoe UI"/>
                <w:bCs w:val="0"/>
                <w:sz w:val="20"/>
                <w:szCs w:val="20"/>
              </w:rPr>
            </w:pPr>
            <w:r w:rsidRPr="006B355B">
              <w:rPr>
                <w:rFonts w:eastAsia="Times New Roman" w:cs="Segoe UI"/>
                <w:sz w:val="20"/>
                <w:szCs w:val="20"/>
              </w:rPr>
              <w:t>Závislostní chování</w:t>
            </w:r>
          </w:p>
        </w:tc>
        <w:tc>
          <w:tcPr>
            <w:tcW w:w="3437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0BF65"/>
            <w:vAlign w:val="center"/>
          </w:tcPr>
          <w:p w14:paraId="5346F6F5" w14:textId="77777777" w:rsidR="00D96707" w:rsidRPr="006B355B" w:rsidRDefault="00D96707" w:rsidP="00A73DD4">
            <w:pPr>
              <w:keepNext/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6B355B">
              <w:rPr>
                <w:sz w:val="20"/>
                <w:szCs w:val="20"/>
              </w:rPr>
              <w:t>Úmrtí spojená s užíváním</w:t>
            </w:r>
          </w:p>
        </w:tc>
      </w:tr>
      <w:tr w:rsidR="00D96707" w:rsidRPr="006B355B" w14:paraId="6FA092F1" w14:textId="77777777" w:rsidTr="00A73DD4">
        <w:trPr>
          <w:cantSplit/>
          <w:trHeight w:val="20"/>
          <w:jc w:val="center"/>
        </w:trPr>
        <w:tc>
          <w:tcPr>
            <w:tcW w:w="1563" w:type="pct"/>
            <w:vMerge/>
            <w:tcBorders>
              <w:top w:val="single" w:sz="8" w:space="0" w:color="A5A5A5" w:themeColor="accent3"/>
              <w:bottom w:val="nil"/>
              <w:right w:val="single" w:sz="4" w:space="0" w:color="FFFFFF" w:themeColor="background1"/>
            </w:tcBorders>
            <w:shd w:val="clear" w:color="auto" w:fill="A0BF65"/>
            <w:vAlign w:val="center"/>
          </w:tcPr>
          <w:p w14:paraId="280344B8" w14:textId="77777777" w:rsidR="00D96707" w:rsidRPr="006B355B" w:rsidRDefault="00D96707" w:rsidP="00A73DD4">
            <w:pPr>
              <w:keepNext/>
              <w:widowControl w:val="0"/>
              <w:tabs>
                <w:tab w:val="left" w:pos="230"/>
              </w:tabs>
              <w:autoSpaceDE w:val="0"/>
              <w:autoSpaceDN w:val="0"/>
              <w:adjustRightInd w:val="0"/>
              <w:spacing w:after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0BF65"/>
            <w:vAlign w:val="center"/>
          </w:tcPr>
          <w:p w14:paraId="20701944" w14:textId="77777777" w:rsidR="00D96707" w:rsidRPr="006B355B" w:rsidRDefault="00D96707" w:rsidP="00A73DD4">
            <w:pPr>
              <w:keepNext/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6B355B">
              <w:rPr>
                <w:sz w:val="20"/>
                <w:szCs w:val="20"/>
              </w:rPr>
              <w:t>Celkem</w:t>
            </w:r>
          </w:p>
        </w:tc>
        <w:tc>
          <w:tcPr>
            <w:tcW w:w="13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0BF65"/>
            <w:vAlign w:val="center"/>
          </w:tcPr>
          <w:p w14:paraId="0786180E" w14:textId="77777777" w:rsidR="00D96707" w:rsidRPr="006B355B" w:rsidRDefault="00D96707" w:rsidP="00A73DD4">
            <w:pPr>
              <w:keepNext/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6B355B">
              <w:rPr>
                <w:sz w:val="20"/>
                <w:szCs w:val="20"/>
              </w:rPr>
              <w:t>Přímá (předávkování)</w:t>
            </w:r>
          </w:p>
        </w:tc>
        <w:tc>
          <w:tcPr>
            <w:tcW w:w="11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A0BF65"/>
            <w:vAlign w:val="center"/>
          </w:tcPr>
          <w:p w14:paraId="3E55761A" w14:textId="77777777" w:rsidR="00D96707" w:rsidRPr="006B355B" w:rsidRDefault="00D96707" w:rsidP="00A73DD4">
            <w:pPr>
              <w:keepNext/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6B355B">
              <w:rPr>
                <w:sz w:val="20"/>
                <w:szCs w:val="20"/>
              </w:rPr>
              <w:t>Úmrtí pod vlivem</w:t>
            </w:r>
          </w:p>
        </w:tc>
      </w:tr>
      <w:tr w:rsidR="00D96707" w:rsidRPr="006B355B" w14:paraId="00538665" w14:textId="77777777" w:rsidTr="00A73DD4">
        <w:trPr>
          <w:cantSplit/>
          <w:trHeight w:val="20"/>
          <w:jc w:val="center"/>
        </w:trPr>
        <w:tc>
          <w:tcPr>
            <w:tcW w:w="1563" w:type="pct"/>
            <w:tcBorders>
              <w:top w:val="nil"/>
              <w:bottom w:val="nil"/>
              <w:right w:val="single" w:sz="4" w:space="0" w:color="B2B2B2"/>
            </w:tcBorders>
            <w:vAlign w:val="center"/>
          </w:tcPr>
          <w:p w14:paraId="7E321D09" w14:textId="77777777" w:rsidR="00D96707" w:rsidRPr="006B355B" w:rsidRDefault="00D96707" w:rsidP="00A73DD4">
            <w:pPr>
              <w:keepNext/>
              <w:spacing w:after="0"/>
              <w:contextualSpacing/>
              <w:rPr>
                <w:rFonts w:cs="Segoe UI"/>
                <w:sz w:val="20"/>
                <w:szCs w:val="20"/>
              </w:rPr>
            </w:pPr>
            <w:r w:rsidRPr="006B355B">
              <w:rPr>
                <w:rFonts w:cs="Segoe UI"/>
                <w:sz w:val="20"/>
                <w:szCs w:val="20"/>
              </w:rPr>
              <w:t>Kouření</w:t>
            </w:r>
          </w:p>
        </w:tc>
        <w:tc>
          <w:tcPr>
            <w:tcW w:w="938" w:type="pct"/>
            <w:tcBorders>
              <w:top w:val="nil"/>
              <w:left w:val="single" w:sz="4" w:space="0" w:color="B2B2B2"/>
              <w:bottom w:val="nil"/>
              <w:right w:val="single" w:sz="4" w:space="0" w:color="BFBFBF" w:themeColor="background1" w:themeShade="BF"/>
            </w:tcBorders>
          </w:tcPr>
          <w:p w14:paraId="6390DB47" w14:textId="77777777" w:rsidR="00D96707" w:rsidRPr="006B355B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6B355B">
              <w:rPr>
                <w:sz w:val="20"/>
                <w:szCs w:val="20"/>
              </w:rPr>
              <w:t>16–18 tis.</w:t>
            </w:r>
          </w:p>
        </w:tc>
        <w:tc>
          <w:tcPr>
            <w:tcW w:w="1398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7391A1E" w14:textId="77777777" w:rsidR="00D96707" w:rsidRPr="006B355B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6B355B">
              <w:rPr>
                <w:sz w:val="20"/>
                <w:szCs w:val="20"/>
              </w:rPr>
              <w:t>–</w:t>
            </w:r>
          </w:p>
        </w:tc>
        <w:tc>
          <w:tcPr>
            <w:tcW w:w="1101" w:type="pct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4ABDD3E" w14:textId="77777777" w:rsidR="00D96707" w:rsidRPr="006B355B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6B355B">
              <w:rPr>
                <w:sz w:val="20"/>
                <w:szCs w:val="20"/>
              </w:rPr>
              <w:t>–</w:t>
            </w:r>
          </w:p>
        </w:tc>
      </w:tr>
      <w:tr w:rsidR="00D96707" w:rsidRPr="00D46B03" w14:paraId="11FCED1B" w14:textId="77777777" w:rsidTr="00A73DD4">
        <w:trPr>
          <w:cantSplit/>
          <w:trHeight w:val="20"/>
          <w:jc w:val="center"/>
        </w:trPr>
        <w:tc>
          <w:tcPr>
            <w:tcW w:w="1563" w:type="pct"/>
            <w:tcBorders>
              <w:top w:val="nil"/>
              <w:bottom w:val="nil"/>
              <w:right w:val="single" w:sz="4" w:space="0" w:color="B2B2B2"/>
            </w:tcBorders>
            <w:shd w:val="clear" w:color="auto" w:fill="EDEDED"/>
          </w:tcPr>
          <w:p w14:paraId="1F576F57" w14:textId="77777777" w:rsidR="00D96707" w:rsidRPr="00D46B03" w:rsidRDefault="00D96707" w:rsidP="00A73DD4">
            <w:pPr>
              <w:keepNext/>
              <w:spacing w:after="0"/>
              <w:contextualSpacing/>
              <w:rPr>
                <w:rFonts w:cs="Segoe UI"/>
                <w:sz w:val="20"/>
                <w:szCs w:val="20"/>
              </w:rPr>
            </w:pPr>
            <w:r w:rsidRPr="00D46B03">
              <w:t>Konzumace alkoholu</w:t>
            </w:r>
          </w:p>
        </w:tc>
        <w:tc>
          <w:tcPr>
            <w:tcW w:w="938" w:type="pct"/>
            <w:tcBorders>
              <w:top w:val="nil"/>
              <w:left w:val="single" w:sz="4" w:space="0" w:color="B2B2B2"/>
              <w:bottom w:val="nil"/>
              <w:right w:val="single" w:sz="4" w:space="0" w:color="BFBFBF" w:themeColor="background1" w:themeShade="BF"/>
            </w:tcBorders>
            <w:shd w:val="clear" w:color="auto" w:fill="EDEDED"/>
          </w:tcPr>
          <w:p w14:paraId="78571B3E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D46B03">
              <w:t>6–7 tis.</w:t>
            </w:r>
          </w:p>
        </w:tc>
        <w:tc>
          <w:tcPr>
            <w:tcW w:w="1398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EDEDED"/>
          </w:tcPr>
          <w:p w14:paraId="40BD226B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D46B03">
              <w:t>400–500</w:t>
            </w:r>
          </w:p>
        </w:tc>
        <w:tc>
          <w:tcPr>
            <w:tcW w:w="1101" w:type="pct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DEDED"/>
          </w:tcPr>
          <w:p w14:paraId="32DE3751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D46B03">
              <w:t>500–600*</w:t>
            </w:r>
          </w:p>
        </w:tc>
      </w:tr>
      <w:tr w:rsidR="00D96707" w:rsidRPr="00D46B03" w14:paraId="2992CAE6" w14:textId="77777777" w:rsidTr="00A73DD4">
        <w:trPr>
          <w:cantSplit/>
          <w:trHeight w:val="20"/>
          <w:jc w:val="center"/>
        </w:trPr>
        <w:tc>
          <w:tcPr>
            <w:tcW w:w="1563" w:type="pct"/>
            <w:tcBorders>
              <w:top w:val="nil"/>
              <w:bottom w:val="nil"/>
              <w:right w:val="single" w:sz="4" w:space="0" w:color="B2B2B2"/>
            </w:tcBorders>
          </w:tcPr>
          <w:p w14:paraId="2F20CDA5" w14:textId="77777777" w:rsidR="00D96707" w:rsidRPr="00D46B03" w:rsidRDefault="00D96707" w:rsidP="00A73DD4">
            <w:pPr>
              <w:keepNext/>
              <w:spacing w:after="0"/>
              <w:contextualSpacing/>
              <w:rPr>
                <w:sz w:val="20"/>
                <w:szCs w:val="20"/>
              </w:rPr>
            </w:pPr>
            <w:r w:rsidRPr="00D46B03">
              <w:t>Užívání psychoaktivních léků</w:t>
            </w:r>
          </w:p>
        </w:tc>
        <w:tc>
          <w:tcPr>
            <w:tcW w:w="938" w:type="pct"/>
            <w:tcBorders>
              <w:top w:val="nil"/>
              <w:left w:val="single" w:sz="4" w:space="0" w:color="B2B2B2"/>
              <w:bottom w:val="nil"/>
              <w:right w:val="single" w:sz="4" w:space="0" w:color="BFBFBF" w:themeColor="background1" w:themeShade="BF"/>
            </w:tcBorders>
          </w:tcPr>
          <w:p w14:paraId="187E0C8F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D46B03">
              <w:t>n. a.</w:t>
            </w:r>
          </w:p>
        </w:tc>
        <w:tc>
          <w:tcPr>
            <w:tcW w:w="1398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6B486B8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D46B03">
              <w:t>4–20**</w:t>
            </w:r>
          </w:p>
        </w:tc>
        <w:tc>
          <w:tcPr>
            <w:tcW w:w="1101" w:type="pct"/>
            <w:vMerge w:val="restart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A1003C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  <w:rPr>
                <w:sz w:val="20"/>
                <w:szCs w:val="20"/>
              </w:rPr>
            </w:pPr>
            <w:r w:rsidRPr="00D46B03">
              <w:t>130–150</w:t>
            </w:r>
          </w:p>
        </w:tc>
      </w:tr>
      <w:tr w:rsidR="00D96707" w:rsidRPr="00D46B03" w14:paraId="7ED146B3" w14:textId="77777777" w:rsidTr="00A73DD4">
        <w:trPr>
          <w:cantSplit/>
          <w:trHeight w:val="272"/>
          <w:jc w:val="center"/>
        </w:trPr>
        <w:tc>
          <w:tcPr>
            <w:tcW w:w="1563" w:type="pct"/>
            <w:tcBorders>
              <w:top w:val="nil"/>
              <w:bottom w:val="nil"/>
              <w:right w:val="single" w:sz="4" w:space="0" w:color="B2B2B2"/>
            </w:tcBorders>
            <w:shd w:val="clear" w:color="auto" w:fill="EDEDED"/>
            <w:vAlign w:val="center"/>
          </w:tcPr>
          <w:p w14:paraId="7F7EAFDE" w14:textId="77777777" w:rsidR="00D96707" w:rsidRPr="00D46B03" w:rsidRDefault="00D96707" w:rsidP="00A73DD4">
            <w:pPr>
              <w:keepNext/>
              <w:spacing w:after="0"/>
              <w:contextualSpacing/>
            </w:pPr>
            <w:r w:rsidRPr="00D46B03">
              <w:t>Užívání nelegálních drog</w:t>
            </w:r>
          </w:p>
        </w:tc>
        <w:tc>
          <w:tcPr>
            <w:tcW w:w="938" w:type="pct"/>
            <w:tcBorders>
              <w:top w:val="nil"/>
              <w:left w:val="single" w:sz="4" w:space="0" w:color="B2B2B2"/>
              <w:bottom w:val="nil"/>
              <w:right w:val="single" w:sz="4" w:space="0" w:color="BFBFBF" w:themeColor="background1" w:themeShade="BF"/>
            </w:tcBorders>
            <w:shd w:val="clear" w:color="auto" w:fill="EDEDED"/>
          </w:tcPr>
          <w:p w14:paraId="3A2DE171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</w:pPr>
            <w:r w:rsidRPr="00D46B03">
              <w:t>1,0–1,3 tis.***</w:t>
            </w:r>
          </w:p>
        </w:tc>
        <w:tc>
          <w:tcPr>
            <w:tcW w:w="1398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EDEDED"/>
          </w:tcPr>
          <w:p w14:paraId="0D2E8764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</w:pPr>
            <w:r w:rsidRPr="00D46B03">
              <w:t>50–80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EDEDED"/>
          </w:tcPr>
          <w:p w14:paraId="4D0CCAEA" w14:textId="77777777" w:rsidR="00D96707" w:rsidRPr="00D46B03" w:rsidRDefault="00D96707" w:rsidP="00A73DD4">
            <w:pPr>
              <w:keepNext/>
              <w:spacing w:after="0"/>
              <w:contextualSpacing/>
              <w:jc w:val="right"/>
            </w:pPr>
          </w:p>
        </w:tc>
      </w:tr>
    </w:tbl>
    <w:p w14:paraId="3D923D1C" w14:textId="77777777" w:rsidR="00D96707" w:rsidRPr="004A702D" w:rsidRDefault="00D96707" w:rsidP="00D96707">
      <w:pPr>
        <w:pStyle w:val="poznpodtabulkougrafem"/>
      </w:pPr>
      <w:r w:rsidRPr="004A702D">
        <w:t xml:space="preserve">Pozn.: *Údaje se vztahuje k období l. 2019–2020, novější data nejsou k dispozici. **Údaj se vztahuje pouze k benzodiazepinům, informace o přímých úmrtích v důsledku užívání ostatních psychoaktivních léků nejsou k dispozici. ***Odhad pro ČR provedený na základě globálních dat studie </w:t>
      </w:r>
      <w:proofErr w:type="spellStart"/>
      <w:r w:rsidRPr="004A702D">
        <w:t>Global</w:t>
      </w:r>
      <w:proofErr w:type="spellEnd"/>
      <w:r w:rsidRPr="004A702D">
        <w:t xml:space="preserve"> </w:t>
      </w:r>
      <w:proofErr w:type="spellStart"/>
      <w:r w:rsidRPr="004A702D">
        <w:t>Burden</w:t>
      </w:r>
      <w:proofErr w:type="spellEnd"/>
      <w:r w:rsidRPr="004A702D">
        <w:t xml:space="preserve"> of </w:t>
      </w:r>
      <w:proofErr w:type="spellStart"/>
      <w:r w:rsidRPr="004A702D">
        <w:t>Disease</w:t>
      </w:r>
      <w:proofErr w:type="spellEnd"/>
      <w:r w:rsidRPr="004A702D">
        <w:t xml:space="preserve"> pro r. 2019.</w:t>
      </w:r>
    </w:p>
    <w:p w14:paraId="2E3F2D38" w14:textId="77777777" w:rsidR="00D96707" w:rsidRPr="00FF477C" w:rsidRDefault="00D96707" w:rsidP="00D96707">
      <w:pPr>
        <w:pStyle w:val="Nadpis3"/>
      </w:pPr>
      <w:r w:rsidRPr="00FF477C">
        <w:lastRenderedPageBreak/>
        <w:t>Síť služeb pro klienty s problémem se závislostí</w:t>
      </w:r>
    </w:p>
    <w:p w14:paraId="48B69336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990326">
        <w:rPr>
          <w:b/>
        </w:rPr>
        <w:t>300–350</w:t>
      </w:r>
      <w:r w:rsidRPr="00990326">
        <w:rPr>
          <w:bCs/>
        </w:rPr>
        <w:t xml:space="preserve"> </w:t>
      </w:r>
      <w:r w:rsidRPr="00990326">
        <w:t xml:space="preserve">zařízení poskytuje specializované adiktologické služby, z nich je </w:t>
      </w:r>
      <w:r w:rsidRPr="00990326">
        <w:br/>
      </w:r>
      <w:r w:rsidRPr="00990326">
        <w:rPr>
          <w:b/>
        </w:rPr>
        <w:t xml:space="preserve">55–60 </w:t>
      </w:r>
      <w:r w:rsidRPr="00990326">
        <w:t xml:space="preserve">nízkoprahových kontaktních center, </w:t>
      </w:r>
      <w:r w:rsidRPr="00990326">
        <w:rPr>
          <w:b/>
        </w:rPr>
        <w:t xml:space="preserve">50–60 </w:t>
      </w:r>
      <w:r w:rsidRPr="00990326">
        <w:t xml:space="preserve">terénních programů, </w:t>
      </w:r>
      <w:r>
        <w:br/>
      </w:r>
      <w:r w:rsidRPr="00990326">
        <w:rPr>
          <w:b/>
        </w:rPr>
        <w:t>100–120</w:t>
      </w:r>
      <w:r w:rsidRPr="00990326">
        <w:rPr>
          <w:bCs/>
        </w:rPr>
        <w:t xml:space="preserve"> </w:t>
      </w:r>
      <w:r w:rsidRPr="00990326">
        <w:t xml:space="preserve">ambulantních léčebných programů (z toho </w:t>
      </w:r>
      <w:r w:rsidRPr="00990326">
        <w:rPr>
          <w:b/>
        </w:rPr>
        <w:t>35 </w:t>
      </w:r>
      <w:r w:rsidRPr="00990326">
        <w:t xml:space="preserve">programů pro děti a dospívající), </w:t>
      </w:r>
      <w:r w:rsidRPr="00990326">
        <w:rPr>
          <w:b/>
        </w:rPr>
        <w:t xml:space="preserve">10–15 </w:t>
      </w:r>
      <w:r w:rsidRPr="00990326">
        <w:t xml:space="preserve">detoxifikačních jednotek, </w:t>
      </w:r>
      <w:r>
        <w:rPr>
          <w:b/>
        </w:rPr>
        <w:t>2</w:t>
      </w:r>
      <w:r w:rsidRPr="00990326">
        <w:rPr>
          <w:b/>
        </w:rPr>
        <w:t>0–</w:t>
      </w:r>
      <w:r>
        <w:rPr>
          <w:b/>
        </w:rPr>
        <w:t>2</w:t>
      </w:r>
      <w:r w:rsidRPr="00990326">
        <w:rPr>
          <w:b/>
        </w:rPr>
        <w:t xml:space="preserve">5 </w:t>
      </w:r>
      <w:r w:rsidRPr="00990326">
        <w:t xml:space="preserve">oddělení lůžkové zdravotní péče, </w:t>
      </w:r>
      <w:r>
        <w:br/>
      </w:r>
      <w:r w:rsidRPr="00990326">
        <w:rPr>
          <w:b/>
        </w:rPr>
        <w:t xml:space="preserve">15–20 </w:t>
      </w:r>
      <w:r w:rsidRPr="00990326">
        <w:t xml:space="preserve">terapeutických komunit, </w:t>
      </w:r>
      <w:r w:rsidRPr="00990326">
        <w:rPr>
          <w:rFonts w:cs="Segoe UI"/>
          <w:b/>
          <w:bCs/>
        </w:rPr>
        <w:t>45–55</w:t>
      </w:r>
      <w:r w:rsidRPr="00990326">
        <w:rPr>
          <w:rFonts w:cs="Segoe UI"/>
        </w:rPr>
        <w:t xml:space="preserve"> ambulantních programů následné péče (z nich </w:t>
      </w:r>
      <w:r>
        <w:rPr>
          <w:rFonts w:cs="Segoe UI"/>
        </w:rPr>
        <w:br/>
      </w:r>
      <w:r w:rsidRPr="00990326">
        <w:rPr>
          <w:rFonts w:cs="Segoe UI"/>
          <w:b/>
          <w:bCs/>
        </w:rPr>
        <w:t>20–25</w:t>
      </w:r>
      <w:r w:rsidRPr="00990326">
        <w:rPr>
          <w:rFonts w:cs="Segoe UI"/>
        </w:rPr>
        <w:t xml:space="preserve"> s chráněným bydlením) a </w:t>
      </w:r>
      <w:r w:rsidRPr="00990326">
        <w:rPr>
          <w:b/>
        </w:rPr>
        <w:t xml:space="preserve">5–7 </w:t>
      </w:r>
      <w:r w:rsidRPr="00990326">
        <w:t>domovů se zvláštním režimem pro osoby závislé na návykových látkách</w:t>
      </w:r>
    </w:p>
    <w:p w14:paraId="1F3A5E9A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990326">
        <w:rPr>
          <w:b/>
        </w:rPr>
        <w:t>60–70</w:t>
      </w:r>
      <w:r w:rsidRPr="00990326">
        <w:rPr>
          <w:bCs/>
        </w:rPr>
        <w:t xml:space="preserve"> </w:t>
      </w:r>
      <w:r w:rsidRPr="00990326">
        <w:t xml:space="preserve">zařízení hlásí pacienty v léčbě </w:t>
      </w:r>
      <w:proofErr w:type="spellStart"/>
      <w:r w:rsidRPr="00990326">
        <w:t>opioidními</w:t>
      </w:r>
      <w:proofErr w:type="spellEnd"/>
      <w:r w:rsidRPr="00990326">
        <w:t xml:space="preserve"> agonisty, odhadem </w:t>
      </w:r>
      <w:r>
        <w:rPr>
          <w:b/>
        </w:rPr>
        <w:t>3</w:t>
      </w:r>
      <w:r w:rsidRPr="00990326">
        <w:rPr>
          <w:b/>
        </w:rPr>
        <w:t>00–</w:t>
      </w:r>
      <w:r>
        <w:rPr>
          <w:b/>
        </w:rPr>
        <w:t>4</w:t>
      </w:r>
      <w:r w:rsidRPr="00990326">
        <w:rPr>
          <w:b/>
        </w:rPr>
        <w:t>00</w:t>
      </w:r>
      <w:r w:rsidRPr="00990326">
        <w:t xml:space="preserve"> praktických lékařů poskytuje léčbu </w:t>
      </w:r>
      <w:proofErr w:type="spellStart"/>
      <w:r w:rsidRPr="00990326">
        <w:t>opioidními</w:t>
      </w:r>
      <w:proofErr w:type="spellEnd"/>
      <w:r w:rsidRPr="00990326">
        <w:t xml:space="preserve"> agonisty</w:t>
      </w:r>
    </w:p>
    <w:p w14:paraId="1D4C0793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  <w:rPr>
          <w:rFonts w:cs="Segoe UI"/>
        </w:rPr>
      </w:pPr>
      <w:r w:rsidRPr="00990326">
        <w:rPr>
          <w:b/>
        </w:rPr>
        <w:t>1/2</w:t>
      </w:r>
      <w:r w:rsidRPr="00990326">
        <w:t xml:space="preserve"> adiktologických služeb pracuje s cílovou skupinou hráčů hazardních her, více než </w:t>
      </w:r>
      <w:r w:rsidRPr="00990326">
        <w:rPr>
          <w:b/>
        </w:rPr>
        <w:t>1/3 </w:t>
      </w:r>
      <w:r w:rsidRPr="00990326">
        <w:t>služeb s osobami v riziku digitálních závislostí</w:t>
      </w:r>
    </w:p>
    <w:p w14:paraId="08CB4CC6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990326">
        <w:rPr>
          <w:b/>
        </w:rPr>
        <w:t>4</w:t>
      </w:r>
      <w:r>
        <w:rPr>
          <w:b/>
        </w:rPr>
        <w:t>1</w:t>
      </w:r>
      <w:r w:rsidRPr="00990326">
        <w:t> center poskytuje léčbu závislosti na tabáku v rámci ambulancí nemocnic,</w:t>
      </w:r>
      <w:r>
        <w:t xml:space="preserve"> odhadem</w:t>
      </w:r>
      <w:r>
        <w:br/>
      </w:r>
      <w:r w:rsidRPr="00990326">
        <w:rPr>
          <w:b/>
        </w:rPr>
        <w:t>150 </w:t>
      </w:r>
      <w:r w:rsidRPr="00990326">
        <w:t xml:space="preserve">ambulantních lékařů a přibližně </w:t>
      </w:r>
      <w:r w:rsidRPr="00990326">
        <w:rPr>
          <w:b/>
          <w:bCs/>
        </w:rPr>
        <w:t>200</w:t>
      </w:r>
      <w:r w:rsidRPr="00990326">
        <w:t> specializovaných lékáren nabízí poradenství</w:t>
      </w:r>
    </w:p>
    <w:p w14:paraId="7A4D0E82" w14:textId="77777777" w:rsidR="00D96707" w:rsidRPr="00AF4AF1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990326">
        <w:rPr>
          <w:b/>
        </w:rPr>
        <w:t>17</w:t>
      </w:r>
      <w:r w:rsidRPr="00990326">
        <w:t xml:space="preserve"> </w:t>
      </w:r>
      <w:r w:rsidRPr="00AF4AF1">
        <w:t xml:space="preserve">záchytných stanic vykazuje ročně celkem </w:t>
      </w:r>
      <w:r w:rsidRPr="00AF4AF1">
        <w:rPr>
          <w:b/>
        </w:rPr>
        <w:t>20–25 tis.</w:t>
      </w:r>
      <w:r w:rsidRPr="00AF4AF1">
        <w:t xml:space="preserve"> klientů</w:t>
      </w:r>
    </w:p>
    <w:p w14:paraId="79329579" w14:textId="77777777" w:rsidR="00D96707" w:rsidRPr="00FF477C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AF4AF1">
        <w:rPr>
          <w:b/>
        </w:rPr>
        <w:t>90–100 tis.</w:t>
      </w:r>
      <w:r w:rsidRPr="00AF4AF1">
        <w:t xml:space="preserve"> osob ročně vyhledá léčbu spojenou s užíváním návykových látek, přibližně </w:t>
      </w:r>
      <w:r>
        <w:br/>
      </w:r>
      <w:r w:rsidRPr="00AF4AF1">
        <w:rPr>
          <w:b/>
        </w:rPr>
        <w:t xml:space="preserve">500–1 </w:t>
      </w:r>
      <w:r>
        <w:rPr>
          <w:b/>
        </w:rPr>
        <w:t>000</w:t>
      </w:r>
      <w:r w:rsidRPr="00AF4AF1">
        <w:t xml:space="preserve"> </w:t>
      </w:r>
      <w:r w:rsidRPr="006A68A7">
        <w:rPr>
          <w:b/>
          <w:bCs/>
        </w:rPr>
        <w:t>osob</w:t>
      </w:r>
      <w:r w:rsidRPr="00AF4AF1">
        <w:t xml:space="preserve"> v souvislosti s kouřením, </w:t>
      </w:r>
      <w:r>
        <w:rPr>
          <w:b/>
        </w:rPr>
        <w:t>30</w:t>
      </w:r>
      <w:r w:rsidRPr="00AF4AF1">
        <w:rPr>
          <w:b/>
        </w:rPr>
        <w:t>–35 tis</w:t>
      </w:r>
      <w:r w:rsidRPr="00AF4AF1">
        <w:t xml:space="preserve">. v souvislosti s užíváním alkoholu, </w:t>
      </w:r>
      <w:r>
        <w:br/>
      </w:r>
      <w:r w:rsidRPr="00AF4AF1">
        <w:rPr>
          <w:b/>
        </w:rPr>
        <w:t>50–60 tis.</w:t>
      </w:r>
      <w:r w:rsidRPr="00AF4AF1">
        <w:t xml:space="preserve"> je v kontaktu se službami v souvislosti s užíváním nelegálních drog, </w:t>
      </w:r>
      <w:r>
        <w:br/>
      </w:r>
      <w:r w:rsidRPr="00AF4AF1">
        <w:rPr>
          <w:b/>
        </w:rPr>
        <w:t>2</w:t>
      </w:r>
      <w:r>
        <w:rPr>
          <w:b/>
        </w:rPr>
        <w:t>,5</w:t>
      </w:r>
      <w:r w:rsidRPr="00AF4AF1">
        <w:rPr>
          <w:b/>
        </w:rPr>
        <w:t>–3 tis.</w:t>
      </w:r>
      <w:r w:rsidRPr="00F32092">
        <w:rPr>
          <w:bCs/>
        </w:rPr>
        <w:t xml:space="preserve"> </w:t>
      </w:r>
      <w:r w:rsidRPr="00AF4AF1">
        <w:t xml:space="preserve">v souvislosti s užíváním psychoaktivních léků, </w:t>
      </w:r>
      <w:r w:rsidRPr="00AF4AF1">
        <w:rPr>
          <w:b/>
        </w:rPr>
        <w:t>3</w:t>
      </w:r>
      <w:r>
        <w:rPr>
          <w:b/>
        </w:rPr>
        <w:t>,5</w:t>
      </w:r>
      <w:r w:rsidRPr="00AF4AF1">
        <w:rPr>
          <w:b/>
        </w:rPr>
        <w:t>–4</w:t>
      </w:r>
      <w:r>
        <w:rPr>
          <w:b/>
        </w:rPr>
        <w:t>,5</w:t>
      </w:r>
      <w:r w:rsidRPr="00AF4AF1">
        <w:rPr>
          <w:b/>
        </w:rPr>
        <w:t xml:space="preserve"> tis.</w:t>
      </w:r>
      <w:r w:rsidRPr="00AF4AF1">
        <w:t xml:space="preserve"> vyhledá léčbu v souvislosti s hraním hazardních her a přibližně </w:t>
      </w:r>
      <w:r w:rsidRPr="00AF4AF1">
        <w:rPr>
          <w:b/>
        </w:rPr>
        <w:t>300–600 osob</w:t>
      </w:r>
      <w:r w:rsidRPr="00AF4AF1">
        <w:t xml:space="preserve"> s nadužíváním</w:t>
      </w:r>
      <w:r w:rsidRPr="00FF477C">
        <w:t xml:space="preserve"> digitálních technologií</w:t>
      </w:r>
    </w:p>
    <w:p w14:paraId="249D33BA" w14:textId="77777777" w:rsidR="00D96707" w:rsidRDefault="00D96707" w:rsidP="00D96707">
      <w:pPr>
        <w:pStyle w:val="Titulek"/>
      </w:pPr>
      <w:bookmarkStart w:id="10" w:name="_Toc230934444"/>
      <w:r w:rsidRPr="00203171">
        <w:t xml:space="preserve">tabulka </w:t>
      </w:r>
      <w:fldSimple w:instr=" STYLEREF 1 \s ">
        <w:r>
          <w:rPr>
            <w:noProof/>
          </w:rPr>
          <w:t>0</w:t>
        </w:r>
      </w:fldSimple>
      <w:r>
        <w:noBreakHyphen/>
      </w:r>
      <w:fldSimple w:instr=" SEQ tabulka \* ARABIC \s 1 ">
        <w:r>
          <w:rPr>
            <w:noProof/>
          </w:rPr>
          <w:t>3</w:t>
        </w:r>
      </w:fldSimple>
      <w:r w:rsidRPr="00203171">
        <w:t>: Odhad počtu osob ročně v kontaktu s adiktologickými službami a v léčbě závislosti v ČR</w:t>
      </w:r>
      <w:bookmarkEnd w:id="10"/>
    </w:p>
    <w:tbl>
      <w:tblPr>
        <w:tblStyle w:val="VZ2013"/>
        <w:tblW w:w="5000" w:type="pct"/>
        <w:tblBorders>
          <w:top w:val="none" w:sz="0" w:space="0" w:color="auto"/>
          <w:bottom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9"/>
        <w:gridCol w:w="5089"/>
      </w:tblGrid>
      <w:tr w:rsidR="00D96707" w:rsidRPr="00763A25" w14:paraId="77607385" w14:textId="77777777" w:rsidTr="00A7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0"/>
        </w:trPr>
        <w:tc>
          <w:tcPr>
            <w:tcW w:w="2321" w:type="pct"/>
            <w:tcBorders>
              <w:right w:val="single" w:sz="4" w:space="0" w:color="FFFFFF" w:themeColor="background1"/>
            </w:tcBorders>
            <w:shd w:val="clear" w:color="auto" w:fill="A0BF65"/>
            <w:noWrap/>
            <w:vAlign w:val="top"/>
          </w:tcPr>
          <w:p w14:paraId="3DD62848" w14:textId="77777777" w:rsidR="00D96707" w:rsidRPr="00763A25" w:rsidRDefault="00D96707" w:rsidP="00A73DD4">
            <w:pPr>
              <w:spacing w:before="0" w:after="0"/>
              <w:jc w:val="left"/>
              <w:rPr>
                <w:bCs/>
                <w:color w:val="auto"/>
              </w:rPr>
            </w:pPr>
            <w:r w:rsidRPr="00763A25">
              <w:rPr>
                <w:color w:val="auto"/>
              </w:rPr>
              <w:t>Závislostní chování</w:t>
            </w:r>
          </w:p>
        </w:tc>
        <w:tc>
          <w:tcPr>
            <w:tcW w:w="2679" w:type="pct"/>
            <w:tcBorders>
              <w:left w:val="single" w:sz="4" w:space="0" w:color="FFFFFF" w:themeColor="background1"/>
            </w:tcBorders>
            <w:shd w:val="clear" w:color="auto" w:fill="A0BF65"/>
            <w:noWrap/>
            <w:vAlign w:val="top"/>
          </w:tcPr>
          <w:p w14:paraId="5BD43775" w14:textId="77777777" w:rsidR="00D96707" w:rsidRPr="00763A25" w:rsidRDefault="00D96707" w:rsidP="00A73DD4">
            <w:pPr>
              <w:spacing w:before="0" w:after="0"/>
              <w:jc w:val="right"/>
              <w:rPr>
                <w:bCs/>
                <w:color w:val="auto"/>
              </w:rPr>
            </w:pPr>
            <w:r w:rsidRPr="00763A25">
              <w:rPr>
                <w:color w:val="auto"/>
              </w:rPr>
              <w:t>Odhadovaný počet osob v kontaktu se službami</w:t>
            </w:r>
          </w:p>
        </w:tc>
      </w:tr>
      <w:tr w:rsidR="00D96707" w:rsidRPr="005F03AE" w14:paraId="53C64A14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noWrap/>
            <w:vAlign w:val="top"/>
          </w:tcPr>
          <w:p w14:paraId="4A3CA45C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Kouření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noWrap/>
            <w:vAlign w:val="top"/>
          </w:tcPr>
          <w:p w14:paraId="137A3EC2" w14:textId="77777777" w:rsidR="00D96707" w:rsidRPr="005F03AE" w:rsidRDefault="00D96707" w:rsidP="00A73DD4">
            <w:pPr>
              <w:jc w:val="right"/>
            </w:pPr>
            <w:r>
              <w:t>0,</w:t>
            </w:r>
            <w:r w:rsidRPr="001C3D98">
              <w:t>5–1 tis.</w:t>
            </w:r>
          </w:p>
        </w:tc>
      </w:tr>
      <w:tr w:rsidR="00D96707" w:rsidRPr="005F03AE" w14:paraId="1C0B824D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7914C48B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Konzumace alkoholu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2CC4FC30" w14:textId="77777777" w:rsidR="00D96707" w:rsidRPr="005F03AE" w:rsidRDefault="00D96707" w:rsidP="00A73DD4">
            <w:pPr>
              <w:jc w:val="right"/>
            </w:pPr>
            <w:r>
              <w:t>30</w:t>
            </w:r>
            <w:r w:rsidRPr="001C3D98">
              <w:t>–35 tis.</w:t>
            </w:r>
          </w:p>
        </w:tc>
      </w:tr>
      <w:tr w:rsidR="00D96707" w:rsidRPr="005F03AE" w14:paraId="58A3EF36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noWrap/>
            <w:vAlign w:val="top"/>
          </w:tcPr>
          <w:p w14:paraId="009274AE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Užívání psychoaktivních léků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noWrap/>
            <w:vAlign w:val="top"/>
          </w:tcPr>
          <w:p w14:paraId="0D92ED3D" w14:textId="77777777" w:rsidR="00D96707" w:rsidRPr="005F03AE" w:rsidRDefault="00D96707" w:rsidP="00A73DD4">
            <w:pPr>
              <w:jc w:val="right"/>
            </w:pPr>
            <w:r w:rsidRPr="001C3D98">
              <w:t>2</w:t>
            </w:r>
            <w:r>
              <w:t>,5</w:t>
            </w:r>
            <w:r w:rsidRPr="001C3D98">
              <w:t>–3 tis.</w:t>
            </w:r>
          </w:p>
        </w:tc>
      </w:tr>
      <w:tr w:rsidR="00D96707" w:rsidRPr="005F03AE" w14:paraId="00494116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241CDCD9" w14:textId="77777777" w:rsidR="00D96707" w:rsidRPr="004B1D61" w:rsidRDefault="00D96707" w:rsidP="00A73DD4">
            <w:pPr>
              <w:rPr>
                <w:szCs w:val="20"/>
              </w:rPr>
            </w:pPr>
            <w:r w:rsidRPr="004B1D61">
              <w:t>Užívání nelegálních drog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0251341F" w14:textId="77777777" w:rsidR="00D96707" w:rsidRPr="005F03AE" w:rsidRDefault="00D96707" w:rsidP="00A73DD4">
            <w:pPr>
              <w:jc w:val="right"/>
            </w:pPr>
            <w:r w:rsidRPr="001C3D98">
              <w:t>50–60 tis.</w:t>
            </w:r>
          </w:p>
        </w:tc>
      </w:tr>
      <w:tr w:rsidR="00D96707" w:rsidRPr="005F03AE" w14:paraId="3D9280BA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noWrap/>
            <w:vAlign w:val="top"/>
          </w:tcPr>
          <w:p w14:paraId="1552A8D6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Hazardní hraní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noWrap/>
            <w:vAlign w:val="top"/>
          </w:tcPr>
          <w:p w14:paraId="1F23DAED" w14:textId="77777777" w:rsidR="00D96707" w:rsidRPr="005F03AE" w:rsidRDefault="00D96707" w:rsidP="00A73DD4">
            <w:pPr>
              <w:jc w:val="right"/>
            </w:pPr>
            <w:r w:rsidRPr="001C3D98">
              <w:t>3</w:t>
            </w:r>
            <w:r>
              <w:t>,5</w:t>
            </w:r>
            <w:r w:rsidRPr="001C3D98">
              <w:t>–4</w:t>
            </w:r>
            <w:r>
              <w:t>,5</w:t>
            </w:r>
            <w:r w:rsidRPr="001C3D98">
              <w:t xml:space="preserve"> tis.</w:t>
            </w:r>
          </w:p>
        </w:tc>
      </w:tr>
      <w:tr w:rsidR="00D96707" w:rsidRPr="005F03AE" w14:paraId="4FC9F220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3861361D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Digitální závislosti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0465C883" w14:textId="77777777" w:rsidR="00D96707" w:rsidRPr="005F03AE" w:rsidRDefault="00D96707" w:rsidP="00A73DD4">
            <w:pPr>
              <w:jc w:val="right"/>
            </w:pPr>
            <w:r w:rsidRPr="001C3D98">
              <w:t>300–600</w:t>
            </w:r>
          </w:p>
        </w:tc>
      </w:tr>
    </w:tbl>
    <w:p w14:paraId="115A99BB" w14:textId="77777777" w:rsidR="00D96707" w:rsidRPr="00990326" w:rsidRDefault="00D96707" w:rsidP="00D96707">
      <w:pPr>
        <w:pStyle w:val="Nadpis3"/>
      </w:pPr>
      <w:r w:rsidRPr="00990326">
        <w:t>Finance, trh, kriminalita</w:t>
      </w:r>
    </w:p>
    <w:p w14:paraId="5BC8682F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990326">
        <w:rPr>
          <w:b/>
        </w:rPr>
        <w:t xml:space="preserve">1 </w:t>
      </w:r>
      <w:r>
        <w:rPr>
          <w:b/>
        </w:rPr>
        <w:t>632</w:t>
      </w:r>
      <w:r w:rsidRPr="00990326">
        <w:rPr>
          <w:b/>
        </w:rPr>
        <w:t xml:space="preserve"> mil. Kč</w:t>
      </w:r>
      <w:r w:rsidRPr="00990326">
        <w:t xml:space="preserve"> činí odhad výdajů na protidrogovou politiku (síť adiktologických služeb, záchytné stanice, koordinace a výzkum), z toho </w:t>
      </w:r>
      <w:r w:rsidRPr="00990326">
        <w:rPr>
          <w:rFonts w:cs="Segoe UI"/>
          <w:b/>
          <w:bCs/>
        </w:rPr>
        <w:t>7 %</w:t>
      </w:r>
      <w:r w:rsidRPr="00990326">
        <w:rPr>
          <w:rFonts w:cs="Segoe UI"/>
        </w:rPr>
        <w:t xml:space="preserve"> tvoří výdaje na prevenci, </w:t>
      </w:r>
      <w:r w:rsidRPr="00990326">
        <w:rPr>
          <w:rFonts w:cs="Segoe UI"/>
          <w:b/>
          <w:bCs/>
        </w:rPr>
        <w:t>3</w:t>
      </w:r>
      <w:r>
        <w:rPr>
          <w:rFonts w:cs="Segoe UI"/>
          <w:b/>
          <w:bCs/>
        </w:rPr>
        <w:t>1</w:t>
      </w:r>
      <w:r w:rsidRPr="00990326">
        <w:rPr>
          <w:rFonts w:cs="Segoe UI"/>
        </w:rPr>
        <w:t xml:space="preserve"> % na služby minimalizace rizik, </w:t>
      </w:r>
      <w:r>
        <w:rPr>
          <w:rFonts w:cs="Segoe UI"/>
          <w:b/>
          <w:bCs/>
        </w:rPr>
        <w:t>28</w:t>
      </w:r>
      <w:r w:rsidRPr="00990326">
        <w:rPr>
          <w:rFonts w:cs="Segoe UI"/>
          <w:b/>
          <w:bCs/>
        </w:rPr>
        <w:t xml:space="preserve"> %</w:t>
      </w:r>
      <w:r w:rsidRPr="00990326">
        <w:rPr>
          <w:rFonts w:cs="Segoe UI"/>
        </w:rPr>
        <w:t xml:space="preserve"> na ambulantní a rezidenční léčbu, </w:t>
      </w:r>
      <w:r w:rsidRPr="00990326">
        <w:rPr>
          <w:rFonts w:cs="Segoe UI"/>
          <w:b/>
          <w:bCs/>
        </w:rPr>
        <w:t>10 %</w:t>
      </w:r>
      <w:r w:rsidRPr="00990326">
        <w:rPr>
          <w:rFonts w:cs="Segoe UI"/>
        </w:rPr>
        <w:t xml:space="preserve"> na služby následné péče, </w:t>
      </w:r>
      <w:r w:rsidRPr="00990326">
        <w:rPr>
          <w:rFonts w:cs="Segoe UI"/>
          <w:b/>
          <w:bCs/>
        </w:rPr>
        <w:t xml:space="preserve">13 % </w:t>
      </w:r>
      <w:r w:rsidRPr="00990326">
        <w:rPr>
          <w:rFonts w:cs="Segoe UI"/>
        </w:rPr>
        <w:t xml:space="preserve">na provoz záchytných stanic, </w:t>
      </w:r>
      <w:r>
        <w:rPr>
          <w:rFonts w:cs="Segoe UI"/>
          <w:b/>
          <w:bCs/>
        </w:rPr>
        <w:t>10</w:t>
      </w:r>
      <w:r w:rsidRPr="00990326">
        <w:rPr>
          <w:rFonts w:cs="Segoe UI"/>
          <w:b/>
          <w:bCs/>
        </w:rPr>
        <w:t> %</w:t>
      </w:r>
      <w:r w:rsidRPr="00990326">
        <w:rPr>
          <w:rFonts w:cs="Segoe UI"/>
        </w:rPr>
        <w:t xml:space="preserve"> na provoz domovů se zvláštním režimem a méně než </w:t>
      </w:r>
      <w:r w:rsidRPr="00990326">
        <w:rPr>
          <w:rFonts w:cs="Segoe UI"/>
          <w:b/>
          <w:bCs/>
        </w:rPr>
        <w:t>1 %</w:t>
      </w:r>
      <w:r w:rsidRPr="00990326">
        <w:rPr>
          <w:rFonts w:cs="Segoe UI"/>
        </w:rPr>
        <w:t xml:space="preserve"> na koordinaci a výzkumné aktivity</w:t>
      </w:r>
    </w:p>
    <w:p w14:paraId="3251B754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  <w:rPr>
          <w:bCs/>
        </w:rPr>
      </w:pPr>
      <w:r w:rsidRPr="00990326">
        <w:rPr>
          <w:b/>
        </w:rPr>
        <w:t xml:space="preserve">1 </w:t>
      </w:r>
      <w:r>
        <w:rPr>
          <w:b/>
        </w:rPr>
        <w:t>592</w:t>
      </w:r>
      <w:r w:rsidRPr="00990326">
        <w:rPr>
          <w:b/>
        </w:rPr>
        <w:t xml:space="preserve"> mil. Kč</w:t>
      </w:r>
      <w:r w:rsidRPr="00990326">
        <w:t xml:space="preserve"> tvořily výdaje zdravotní pojišťovny (VZP) na léčbu uživatelů návykových látek v r. 202</w:t>
      </w:r>
      <w:r>
        <w:t>4</w:t>
      </w:r>
      <w:r w:rsidRPr="00990326">
        <w:rPr>
          <w:b/>
          <w:bCs/>
        </w:rPr>
        <w:t xml:space="preserve">, </w:t>
      </w:r>
      <w:r w:rsidRPr="00990326">
        <w:t>nejčastěji na léčbu poruch spojených s užíváním alkoholu (</w:t>
      </w:r>
      <w:r w:rsidRPr="00990326">
        <w:rPr>
          <w:b/>
          <w:bCs/>
        </w:rPr>
        <w:t>1 004 mil. Kč</w:t>
      </w:r>
      <w:r w:rsidRPr="00990326">
        <w:t xml:space="preserve">), </w:t>
      </w:r>
      <w:r w:rsidRPr="00990326">
        <w:rPr>
          <w:b/>
          <w:bCs/>
        </w:rPr>
        <w:t>527 mil. Kč</w:t>
      </w:r>
      <w:r w:rsidRPr="00990326">
        <w:t xml:space="preserve"> s užíváním nelegálních drog, </w:t>
      </w:r>
      <w:r w:rsidRPr="00990326">
        <w:rPr>
          <w:b/>
          <w:bCs/>
        </w:rPr>
        <w:t>49 mil. Kč</w:t>
      </w:r>
      <w:r w:rsidRPr="00990326">
        <w:t xml:space="preserve"> s užíváním sedativ/hypnotik </w:t>
      </w:r>
      <w:r>
        <w:t>a </w:t>
      </w:r>
      <w:r w:rsidRPr="00990326">
        <w:rPr>
          <w:b/>
          <w:bCs/>
        </w:rPr>
        <w:t>11</w:t>
      </w:r>
      <w:r>
        <w:rPr>
          <w:b/>
          <w:bCs/>
        </w:rPr>
        <w:t> </w:t>
      </w:r>
      <w:r w:rsidRPr="00990326">
        <w:rPr>
          <w:b/>
          <w:bCs/>
        </w:rPr>
        <w:t>mil.</w:t>
      </w:r>
      <w:r>
        <w:rPr>
          <w:b/>
          <w:bCs/>
        </w:rPr>
        <w:t> </w:t>
      </w:r>
      <w:r w:rsidRPr="00990326">
        <w:rPr>
          <w:b/>
          <w:bCs/>
        </w:rPr>
        <w:t>Kč</w:t>
      </w:r>
      <w:r w:rsidRPr="00990326">
        <w:t xml:space="preserve"> s užíváním tabáku</w:t>
      </w:r>
    </w:p>
    <w:p w14:paraId="03F2ECB5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  <w:rPr>
          <w:bCs/>
        </w:rPr>
      </w:pPr>
      <w:r w:rsidRPr="00990326">
        <w:rPr>
          <w:b/>
        </w:rPr>
        <w:t>5</w:t>
      </w:r>
      <w:r>
        <w:rPr>
          <w:b/>
        </w:rPr>
        <w:t>9</w:t>
      </w:r>
      <w:r w:rsidRPr="00990326">
        <w:rPr>
          <w:b/>
        </w:rPr>
        <w:t xml:space="preserve"> mld. Kč</w:t>
      </w:r>
      <w:r w:rsidRPr="00990326">
        <w:t xml:space="preserve"> ročně vybere stát na spotřební dani z tabákových výrobků, </w:t>
      </w:r>
      <w:r w:rsidRPr="00990326">
        <w:rPr>
          <w:b/>
        </w:rPr>
        <w:t>14 mld. Kč</w:t>
      </w:r>
      <w:r w:rsidRPr="00990326">
        <w:rPr>
          <w:bCs/>
        </w:rPr>
        <w:t xml:space="preserve"> </w:t>
      </w:r>
      <w:r w:rsidRPr="00990326">
        <w:t>na spotřební dani z alkoholických nápojů</w:t>
      </w:r>
    </w:p>
    <w:p w14:paraId="196F9168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990326">
        <w:rPr>
          <w:b/>
        </w:rPr>
        <w:lastRenderedPageBreak/>
        <w:t>11,5</w:t>
      </w:r>
      <w:r w:rsidRPr="00FF477C">
        <w:rPr>
          <w:b/>
        </w:rPr>
        <w:t>–</w:t>
      </w:r>
      <w:r w:rsidRPr="00990326">
        <w:rPr>
          <w:b/>
        </w:rPr>
        <w:t>12,</w:t>
      </w:r>
      <w:r>
        <w:rPr>
          <w:b/>
        </w:rPr>
        <w:t>5</w:t>
      </w:r>
      <w:r w:rsidRPr="00990326">
        <w:rPr>
          <w:b/>
        </w:rPr>
        <w:t xml:space="preserve"> miliard</w:t>
      </w:r>
      <w:r w:rsidRPr="00990326">
        <w:t xml:space="preserve"> kusů cigaret je ročně spotřebováno v ČR, což odpovídá v přepočtu cca </w:t>
      </w:r>
      <w:r w:rsidRPr="00FE38B3">
        <w:rPr>
          <w:b/>
          <w:bCs/>
        </w:rPr>
        <w:t>1,1–1,5</w:t>
      </w:r>
      <w:r>
        <w:t xml:space="preserve"> </w:t>
      </w:r>
      <w:r w:rsidRPr="00990326">
        <w:rPr>
          <w:b/>
        </w:rPr>
        <w:t>tis. </w:t>
      </w:r>
      <w:r w:rsidRPr="00990326">
        <w:t>cigaret na 1 obyvatele za rok</w:t>
      </w:r>
    </w:p>
    <w:p w14:paraId="6829F85A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 w:rsidRPr="00990326">
        <w:rPr>
          <w:b/>
        </w:rPr>
        <w:t>1</w:t>
      </w:r>
      <w:r>
        <w:rPr>
          <w:b/>
        </w:rPr>
        <w:t>56</w:t>
      </w:r>
      <w:r w:rsidRPr="00990326">
        <w:rPr>
          <w:b/>
        </w:rPr>
        <w:t xml:space="preserve"> l</w:t>
      </w:r>
      <w:r w:rsidRPr="00990326">
        <w:t xml:space="preserve"> alkoholu na 1 obyvatele je spotřebováno ročně, což odpovídá </w:t>
      </w:r>
      <w:r w:rsidRPr="00990326">
        <w:rPr>
          <w:b/>
        </w:rPr>
        <w:t>9 l</w:t>
      </w:r>
      <w:r w:rsidRPr="00990326">
        <w:t xml:space="preserve"> čistého alkoholu na osobu</w:t>
      </w:r>
    </w:p>
    <w:p w14:paraId="2D299007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ind w:left="714" w:hanging="357"/>
        <w:contextualSpacing w:val="0"/>
      </w:pPr>
      <w:r>
        <w:rPr>
          <w:b/>
        </w:rPr>
        <w:t>64</w:t>
      </w:r>
      <w:r w:rsidRPr="00990326">
        <w:rPr>
          <w:b/>
        </w:rPr>
        <w:t xml:space="preserve"> mld. Kč</w:t>
      </w:r>
      <w:r w:rsidRPr="00990326">
        <w:t xml:space="preserve"> prohráli hráči v hazardních hrách v ČR</w:t>
      </w:r>
    </w:p>
    <w:p w14:paraId="2E8735A2" w14:textId="77777777" w:rsidR="00D96707" w:rsidRPr="00990326" w:rsidRDefault="00D96707" w:rsidP="00D96707">
      <w:pPr>
        <w:pStyle w:val="Odstavecseseznamem"/>
        <w:numPr>
          <w:ilvl w:val="0"/>
          <w:numId w:val="6"/>
        </w:numPr>
        <w:spacing w:after="0"/>
        <w:contextualSpacing w:val="0"/>
      </w:pPr>
      <w:r w:rsidRPr="00990326">
        <w:rPr>
          <w:b/>
        </w:rPr>
        <w:t>15</w:t>
      </w:r>
      <w:r>
        <w:rPr>
          <w:b/>
        </w:rPr>
        <w:t>,6</w:t>
      </w:r>
      <w:r w:rsidRPr="00990326">
        <w:rPr>
          <w:b/>
        </w:rPr>
        <w:t xml:space="preserve"> tis.</w:t>
      </w:r>
      <w:r w:rsidRPr="00990326">
        <w:rPr>
          <w:bCs/>
        </w:rPr>
        <w:t xml:space="preserve"> </w:t>
      </w:r>
      <w:r w:rsidRPr="00990326">
        <w:t xml:space="preserve">trestných činů bylo spácháno pod vlivem návykových látek (z toho </w:t>
      </w:r>
      <w:r>
        <w:rPr>
          <w:b/>
        </w:rPr>
        <w:t>65</w:t>
      </w:r>
      <w:r w:rsidRPr="00990326">
        <w:rPr>
          <w:b/>
        </w:rPr>
        <w:t xml:space="preserve"> %</w:t>
      </w:r>
      <w:r w:rsidRPr="00990326">
        <w:t xml:space="preserve"> pod vlivem alkoholu a </w:t>
      </w:r>
      <w:r>
        <w:rPr>
          <w:b/>
        </w:rPr>
        <w:t>35</w:t>
      </w:r>
      <w:r w:rsidRPr="00990326">
        <w:rPr>
          <w:b/>
        </w:rPr>
        <w:t xml:space="preserve"> %</w:t>
      </w:r>
      <w:r w:rsidRPr="00990326">
        <w:t xml:space="preserve"> pod vlivem nealkoholových drog)</w:t>
      </w:r>
    </w:p>
    <w:p w14:paraId="14216092" w14:textId="77777777" w:rsidR="00D96707" w:rsidRDefault="00D96707" w:rsidP="00D96707">
      <w:pPr>
        <w:pStyle w:val="Titulek"/>
      </w:pPr>
      <w:bookmarkStart w:id="11" w:name="_Toc230934445"/>
      <w:r w:rsidRPr="00FE38B3">
        <w:t xml:space="preserve">tabulka </w:t>
      </w:r>
      <w:fldSimple w:instr=" STYLEREF 1 \s ">
        <w:r>
          <w:rPr>
            <w:noProof/>
          </w:rPr>
          <w:t>0</w:t>
        </w:r>
      </w:fldSimple>
      <w:r>
        <w:noBreakHyphen/>
      </w:r>
      <w:fldSimple w:instr=" SEQ tabulka \* ARABIC \s 1 ">
        <w:r>
          <w:rPr>
            <w:noProof/>
          </w:rPr>
          <w:t>4</w:t>
        </w:r>
      </w:fldSimple>
      <w:r w:rsidRPr="00FE38B3">
        <w:t>: Odhad společenských nákladů v souvislosti se závislostním chováním v ČR</w:t>
      </w:r>
      <w:bookmarkEnd w:id="11"/>
    </w:p>
    <w:tbl>
      <w:tblPr>
        <w:tblStyle w:val="VZ2013"/>
        <w:tblW w:w="5000" w:type="pct"/>
        <w:tblBorders>
          <w:top w:val="none" w:sz="0" w:space="0" w:color="auto"/>
          <w:bottom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9"/>
        <w:gridCol w:w="5089"/>
      </w:tblGrid>
      <w:tr w:rsidR="00D96707" w:rsidRPr="004B1D61" w14:paraId="6E90B903" w14:textId="77777777" w:rsidTr="00A7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0"/>
        </w:trPr>
        <w:tc>
          <w:tcPr>
            <w:tcW w:w="2321" w:type="pct"/>
            <w:tcBorders>
              <w:right w:val="single" w:sz="4" w:space="0" w:color="FFFFFF" w:themeColor="background1"/>
            </w:tcBorders>
            <w:shd w:val="clear" w:color="auto" w:fill="A0BF65"/>
            <w:noWrap/>
            <w:vAlign w:val="top"/>
          </w:tcPr>
          <w:p w14:paraId="5F8276E9" w14:textId="77777777" w:rsidR="00D96707" w:rsidRPr="004B1D61" w:rsidRDefault="00D96707" w:rsidP="00A73DD4">
            <w:pPr>
              <w:spacing w:before="0" w:after="0"/>
              <w:jc w:val="left"/>
              <w:rPr>
                <w:bCs/>
                <w:color w:val="auto"/>
              </w:rPr>
            </w:pPr>
            <w:r w:rsidRPr="004B1D61">
              <w:rPr>
                <w:color w:val="auto"/>
              </w:rPr>
              <w:t>Závislostní chování</w:t>
            </w:r>
          </w:p>
        </w:tc>
        <w:tc>
          <w:tcPr>
            <w:tcW w:w="2679" w:type="pct"/>
            <w:tcBorders>
              <w:left w:val="single" w:sz="4" w:space="0" w:color="FFFFFF" w:themeColor="background1"/>
            </w:tcBorders>
            <w:shd w:val="clear" w:color="auto" w:fill="A0BF65"/>
            <w:noWrap/>
            <w:vAlign w:val="top"/>
          </w:tcPr>
          <w:p w14:paraId="2B18B97D" w14:textId="77777777" w:rsidR="00D96707" w:rsidRPr="004B1D61" w:rsidRDefault="00D96707" w:rsidP="00A73DD4">
            <w:pPr>
              <w:spacing w:before="0" w:after="0"/>
              <w:jc w:val="right"/>
              <w:rPr>
                <w:bCs/>
                <w:color w:val="auto"/>
              </w:rPr>
            </w:pPr>
            <w:r w:rsidRPr="004B1D61">
              <w:rPr>
                <w:color w:val="auto"/>
              </w:rPr>
              <w:t>Společenské náklady (v Kč)</w:t>
            </w:r>
          </w:p>
        </w:tc>
      </w:tr>
      <w:tr w:rsidR="00D96707" w:rsidRPr="005F03AE" w14:paraId="59332036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noWrap/>
            <w:vAlign w:val="top"/>
          </w:tcPr>
          <w:p w14:paraId="4116A8AB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Kouření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noWrap/>
            <w:vAlign w:val="top"/>
          </w:tcPr>
          <w:p w14:paraId="1D517646" w14:textId="77777777" w:rsidR="00D96707" w:rsidRPr="005F03AE" w:rsidRDefault="00D96707" w:rsidP="00A73DD4">
            <w:pPr>
              <w:jc w:val="right"/>
            </w:pPr>
            <w:r w:rsidRPr="00972A77">
              <w:t>100–170 mld.</w:t>
            </w:r>
          </w:p>
        </w:tc>
      </w:tr>
      <w:tr w:rsidR="00D96707" w:rsidRPr="005F03AE" w14:paraId="1AE624F9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1967AE15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Konzumace alkoholu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398E15C6" w14:textId="77777777" w:rsidR="00D96707" w:rsidRPr="005F03AE" w:rsidRDefault="00D96707" w:rsidP="00A73DD4">
            <w:pPr>
              <w:jc w:val="right"/>
            </w:pPr>
            <w:r w:rsidRPr="00972A77">
              <w:t>50–57 mld.</w:t>
            </w:r>
          </w:p>
        </w:tc>
      </w:tr>
      <w:tr w:rsidR="00D96707" w:rsidRPr="005F03AE" w14:paraId="0C2D6096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noWrap/>
            <w:vAlign w:val="top"/>
          </w:tcPr>
          <w:p w14:paraId="0A252858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Užívání psychoaktivních léků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noWrap/>
            <w:vAlign w:val="top"/>
          </w:tcPr>
          <w:p w14:paraId="4E89812C" w14:textId="77777777" w:rsidR="00D96707" w:rsidRPr="005F03AE" w:rsidRDefault="00D96707" w:rsidP="00A73DD4">
            <w:pPr>
              <w:jc w:val="right"/>
            </w:pPr>
            <w:r w:rsidRPr="00972A77">
              <w:t>n. a.</w:t>
            </w:r>
          </w:p>
        </w:tc>
      </w:tr>
      <w:tr w:rsidR="00D96707" w:rsidRPr="005F03AE" w14:paraId="6233DDC6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43DF07AD" w14:textId="77777777" w:rsidR="00D96707" w:rsidRPr="004B1D61" w:rsidRDefault="00D96707" w:rsidP="00A73DD4">
            <w:pPr>
              <w:rPr>
                <w:szCs w:val="20"/>
              </w:rPr>
            </w:pPr>
            <w:r w:rsidRPr="004B1D61">
              <w:t>Užívání nelegálních drog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shd w:val="clear" w:color="auto" w:fill="EDEDED"/>
            <w:noWrap/>
            <w:vAlign w:val="top"/>
          </w:tcPr>
          <w:p w14:paraId="5E363FA1" w14:textId="77777777" w:rsidR="00D96707" w:rsidRPr="005F03AE" w:rsidRDefault="00D96707" w:rsidP="00A73DD4">
            <w:pPr>
              <w:jc w:val="right"/>
            </w:pPr>
            <w:r w:rsidRPr="00972A77">
              <w:t>6–7 mld.</w:t>
            </w:r>
          </w:p>
        </w:tc>
      </w:tr>
      <w:tr w:rsidR="00D96707" w:rsidRPr="005F03AE" w14:paraId="36200F89" w14:textId="77777777" w:rsidTr="00A73DD4">
        <w:trPr>
          <w:cantSplit/>
          <w:trHeight w:val="280"/>
        </w:trPr>
        <w:tc>
          <w:tcPr>
            <w:tcW w:w="2321" w:type="pct"/>
            <w:tcBorders>
              <w:right w:val="single" w:sz="4" w:space="0" w:color="BFBFBF" w:themeColor="background1" w:themeShade="BF"/>
            </w:tcBorders>
            <w:noWrap/>
            <w:vAlign w:val="top"/>
          </w:tcPr>
          <w:p w14:paraId="7ACFF069" w14:textId="77777777" w:rsidR="00D96707" w:rsidRPr="00FF50A3" w:rsidRDefault="00D96707" w:rsidP="00A73DD4">
            <w:pPr>
              <w:rPr>
                <w:szCs w:val="20"/>
              </w:rPr>
            </w:pPr>
            <w:r w:rsidRPr="001C3D98">
              <w:t>Hazardní hraní</w:t>
            </w:r>
          </w:p>
        </w:tc>
        <w:tc>
          <w:tcPr>
            <w:tcW w:w="2679" w:type="pct"/>
            <w:tcBorders>
              <w:left w:val="single" w:sz="4" w:space="0" w:color="BFBFBF" w:themeColor="background1" w:themeShade="BF"/>
            </w:tcBorders>
            <w:noWrap/>
            <w:vAlign w:val="top"/>
          </w:tcPr>
          <w:p w14:paraId="1646D32C" w14:textId="77777777" w:rsidR="00D96707" w:rsidRPr="005F03AE" w:rsidRDefault="00D96707" w:rsidP="00A73DD4">
            <w:pPr>
              <w:jc w:val="right"/>
            </w:pPr>
            <w:r w:rsidRPr="00972A77">
              <w:t>14–16 mld.</w:t>
            </w:r>
          </w:p>
        </w:tc>
      </w:tr>
      <w:bookmarkEnd w:id="1"/>
    </w:tbl>
    <w:p w14:paraId="0700B85D" w14:textId="77777777" w:rsidR="00D96707" w:rsidRDefault="00D96707" w:rsidP="00D96707">
      <w:pPr>
        <w:rPr>
          <w:lang w:eastAsia="x-none"/>
        </w:rPr>
      </w:pPr>
    </w:p>
    <w:p w14:paraId="02013109" w14:textId="77777777" w:rsidR="00392295" w:rsidRDefault="00392295" w:rsidP="00046D34">
      <w:pPr>
        <w:pStyle w:val="Pracovnpodklad-text"/>
      </w:pPr>
    </w:p>
    <w:p w14:paraId="4FADEC44" w14:textId="0495CDB4" w:rsidR="00046D34" w:rsidRDefault="00046D34" w:rsidP="00E83830">
      <w:pPr>
        <w:pStyle w:val="Pracovnpodklad-text"/>
        <w:spacing w:before="600"/>
      </w:pPr>
      <w:r>
        <w:rPr>
          <w:noProof/>
        </w:rPr>
        <w:drawing>
          <wp:inline distT="0" distB="0" distL="0" distR="0" wp14:anchorId="3EE18CB2" wp14:editId="6DDF69C5">
            <wp:extent cx="244800" cy="421200"/>
            <wp:effectExtent l="0" t="0" r="3175" b="0"/>
            <wp:docPr id="20577379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E4DC2A5" w14:textId="2CC2A543" w:rsidR="00046D34" w:rsidRDefault="00046D34" w:rsidP="00046D34">
      <w:r w:rsidRPr="005303B6">
        <w:t xml:space="preserve">Tento </w:t>
      </w:r>
      <w:r w:rsidR="00486CB5">
        <w:t>přehled situace</w:t>
      </w:r>
      <w:r w:rsidRPr="005303B6">
        <w:t xml:space="preserve"> byl připraven na základě </w:t>
      </w:r>
      <w:hyperlink r:id="rId9" w:history="1">
        <w:r w:rsidR="006415C5">
          <w:rPr>
            <w:i/>
            <w:iCs/>
          </w:rPr>
          <w:t>Souhrnné zprávy o závislostech</w:t>
        </w:r>
        <w:r w:rsidRPr="000D49FD">
          <w:rPr>
            <w:i/>
            <w:iCs/>
          </w:rPr>
          <w:t xml:space="preserve"> v České republice 202</w:t>
        </w:r>
      </w:hyperlink>
      <w:r w:rsidRPr="000D49FD">
        <w:rPr>
          <w:i/>
          <w:iCs/>
        </w:rPr>
        <w:t>5</w:t>
      </w:r>
      <w:r w:rsidRPr="005303B6">
        <w:t xml:space="preserve">, kterou zpracovalo Národní monitorovací středisko pro drogy a závislosti (pracoviště Úřadu vlády České republiky). </w:t>
      </w:r>
    </w:p>
    <w:p w14:paraId="68311AE4" w14:textId="77777777" w:rsidR="00046D34" w:rsidRPr="005303B6" w:rsidRDefault="00046D34" w:rsidP="00046D34">
      <w:r w:rsidRPr="005303B6">
        <w:t xml:space="preserve">Všechny zprávy o situaci v oblasti závislostí (od r. 2002) jsou zveřejněny na stránkách </w:t>
      </w:r>
      <w:hyperlink r:id="rId10" w:history="1">
        <w:r w:rsidRPr="00B82624">
          <w:rPr>
            <w:rStyle w:val="Hypertextovodkaz"/>
            <w:szCs w:val="20"/>
          </w:rPr>
          <w:t>https://www.drogy-info.cz</w:t>
        </w:r>
      </w:hyperlink>
      <w:r w:rsidRPr="005303B6">
        <w:t>.</w:t>
      </w:r>
    </w:p>
    <w:p w14:paraId="31DF6F84" w14:textId="455783F5" w:rsidR="00046D34" w:rsidRDefault="00A45EC1" w:rsidP="00A45EC1">
      <w:pPr>
        <w:jc w:val="right"/>
        <w:rPr>
          <w:lang w:eastAsia="x-none"/>
        </w:rPr>
      </w:pPr>
      <w:r w:rsidRPr="00B94DEC">
        <w:rPr>
          <w:noProof/>
        </w:rPr>
        <w:drawing>
          <wp:inline distT="0" distB="0" distL="0" distR="0" wp14:anchorId="496E2B97" wp14:editId="228B14AD">
            <wp:extent cx="288000" cy="288000"/>
            <wp:effectExtent l="0" t="0" r="0" b="0"/>
            <wp:docPr id="108542376" name="Obrázek 1" descr="Obsah obrázku symbol, Grafika, řada/pruh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68873" name="Obrázek 1" descr="Obsah obrázku symbol, Grafika, řada/pruh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A7BB" w14:textId="77777777" w:rsidR="007527E6" w:rsidRDefault="007527E6"/>
    <w:sectPr w:rsidR="007527E6" w:rsidSect="008C70C6">
      <w:headerReference w:type="default" r:id="rId11"/>
      <w:footerReference w:type="default" r:id="rId12"/>
      <w:headerReference w:type="first" r:id="rId13"/>
      <w:pgSz w:w="11906" w:h="16838"/>
      <w:pgMar w:top="1417" w:right="991" w:bottom="993" w:left="1417" w:header="56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0BBE" w14:textId="77777777" w:rsidR="00205150" w:rsidRDefault="00205150" w:rsidP="00392295">
      <w:pPr>
        <w:spacing w:after="0" w:line="240" w:lineRule="auto"/>
      </w:pPr>
      <w:r>
        <w:separator/>
      </w:r>
    </w:p>
  </w:endnote>
  <w:endnote w:type="continuationSeparator" w:id="0">
    <w:p w14:paraId="4FB04607" w14:textId="77777777" w:rsidR="00205150" w:rsidRDefault="00205150" w:rsidP="003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MS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B64A" w14:textId="01EA132A" w:rsidR="00392295" w:rsidRPr="00392295" w:rsidRDefault="00392295">
    <w:pPr>
      <w:pStyle w:val="Zpat"/>
      <w:rPr>
        <w:sz w:val="20"/>
        <w:szCs w:val="20"/>
      </w:rPr>
    </w:pPr>
    <w:sdt>
      <w:sdtPr>
        <w:rPr>
          <w:sz w:val="20"/>
          <w:szCs w:val="20"/>
        </w:rPr>
        <w:id w:val="-196552333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t>Souhrnná zprá</w:t>
        </w:r>
        <w:r w:rsidRPr="002E046E">
          <w:rPr>
            <w:sz w:val="20"/>
            <w:szCs w:val="20"/>
          </w:rPr>
          <w:t xml:space="preserve">va o </w:t>
        </w:r>
        <w:r>
          <w:rPr>
            <w:sz w:val="20"/>
            <w:szCs w:val="20"/>
          </w:rPr>
          <w:t>závislostech</w:t>
        </w:r>
        <w:r w:rsidRPr="002E046E">
          <w:rPr>
            <w:sz w:val="20"/>
            <w:szCs w:val="20"/>
          </w:rPr>
          <w:t xml:space="preserve"> v České republice 2025 – </w:t>
        </w:r>
        <w:r>
          <w:rPr>
            <w:sz w:val="20"/>
            <w:szCs w:val="20"/>
          </w:rPr>
          <w:t>přehled situace</w:t>
        </w:r>
        <w:r w:rsidRPr="002E046E">
          <w:rPr>
            <w:sz w:val="20"/>
            <w:szCs w:val="20"/>
          </w:rPr>
          <w:tab/>
          <w:t xml:space="preserve">str. </w:t>
        </w:r>
        <w:r w:rsidRPr="002E046E">
          <w:rPr>
            <w:sz w:val="20"/>
            <w:szCs w:val="20"/>
          </w:rPr>
          <w:fldChar w:fldCharType="begin"/>
        </w:r>
        <w:r w:rsidRPr="002E046E">
          <w:rPr>
            <w:sz w:val="20"/>
            <w:szCs w:val="20"/>
          </w:rPr>
          <w:instrText>PAGE   \* MERGEFORMAT</w:instrText>
        </w:r>
        <w:r w:rsidRPr="002E046E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10</w:t>
        </w:r>
        <w:r w:rsidRPr="002E046E">
          <w:rPr>
            <w:sz w:val="20"/>
            <w:szCs w:val="20"/>
          </w:rPr>
          <w:fldChar w:fldCharType="end"/>
        </w:r>
      </w:sdtContent>
    </w:sdt>
    <w:r w:rsidRPr="002E046E">
      <w:rPr>
        <w:sz w:val="20"/>
        <w:szCs w:val="20"/>
      </w:rPr>
      <w:t xml:space="preserve"> / celkem </w:t>
    </w:r>
    <w:r w:rsidRPr="002E046E">
      <w:rPr>
        <w:sz w:val="20"/>
        <w:szCs w:val="20"/>
      </w:rPr>
      <w:fldChar w:fldCharType="begin"/>
    </w:r>
    <w:r w:rsidRPr="002E046E">
      <w:rPr>
        <w:sz w:val="20"/>
        <w:szCs w:val="20"/>
      </w:rPr>
      <w:instrText xml:space="preserve"> NUMPAGES   \* MERGEFORMAT </w:instrText>
    </w:r>
    <w:r w:rsidRPr="002E046E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2E046E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F214" w14:textId="77777777" w:rsidR="00205150" w:rsidRDefault="00205150" w:rsidP="00392295">
      <w:pPr>
        <w:spacing w:after="0" w:line="240" w:lineRule="auto"/>
      </w:pPr>
      <w:r>
        <w:separator/>
      </w:r>
    </w:p>
  </w:footnote>
  <w:footnote w:type="continuationSeparator" w:id="0">
    <w:p w14:paraId="708F2DB2" w14:textId="77777777" w:rsidR="00205150" w:rsidRDefault="00205150" w:rsidP="003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83DE" w14:textId="7BE0C3F7" w:rsidR="0089744C" w:rsidRDefault="0089744C" w:rsidP="0010628E">
    <w:pPr>
      <w:pStyle w:val="Zhlav"/>
      <w:ind w:hanging="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5A5C" w14:textId="78CAC546" w:rsidR="004E14DD" w:rsidRDefault="004E14DD">
    <w:pPr>
      <w:pStyle w:val="Zhlav"/>
    </w:pPr>
    <w:r>
      <w:rPr>
        <w:noProof/>
        <w14:ligatures w14:val="standardContextual"/>
      </w:rPr>
      <w:drawing>
        <wp:inline distT="0" distB="0" distL="0" distR="0" wp14:anchorId="15FF1A06" wp14:editId="08E91088">
          <wp:extent cx="6031230" cy="1035050"/>
          <wp:effectExtent l="0" t="0" r="7620" b="0"/>
          <wp:docPr id="18139102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8775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103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0pt;height:300pt" o:bullet="t">
        <v:imagedata r:id="rId1" o:title="ikony_01_krizek_maly_zeleny"/>
      </v:shape>
    </w:pict>
  </w:numPicBullet>
  <w:numPicBullet w:numPicBulletId="1">
    <w:pict>
      <v:shape id="_x0000_i1026" type="#_x0000_t75" style="width:11.25pt;height:19.5pt" o:bullet="t">
        <v:imagedata r:id="rId2" o:title="sipka_small"/>
      </v:shape>
    </w:pict>
  </w:numPicBullet>
  <w:abstractNum w:abstractNumId="0" w15:restartNumberingAfterBreak="0">
    <w:nsid w:val="1A5B4286"/>
    <w:multiLevelType w:val="hybridMultilevel"/>
    <w:tmpl w:val="C0ECA50A"/>
    <w:lvl w:ilvl="0" w:tplc="C6D20BC2">
      <w:start w:val="1"/>
      <w:numFmt w:val="bullet"/>
      <w:lvlText w:val=""/>
      <w:lvlPicBulletId w:val="1"/>
      <w:lvlJc w:val="left"/>
      <w:pPr>
        <w:ind w:left="47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43A14254"/>
    <w:multiLevelType w:val="hybridMultilevel"/>
    <w:tmpl w:val="A1DC12FA"/>
    <w:lvl w:ilvl="0" w:tplc="C6D20BC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7B"/>
    <w:multiLevelType w:val="hybridMultilevel"/>
    <w:tmpl w:val="5A420522"/>
    <w:lvl w:ilvl="0" w:tplc="3FFE7AD8">
      <w:start w:val="1"/>
      <w:numFmt w:val="bullet"/>
      <w:pStyle w:val="Zdroj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006CD"/>
    <w:multiLevelType w:val="hybridMultilevel"/>
    <w:tmpl w:val="3A728CA2"/>
    <w:lvl w:ilvl="0" w:tplc="C6D20BC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A6D87"/>
    <w:multiLevelType w:val="hybridMultilevel"/>
    <w:tmpl w:val="2D4C419A"/>
    <w:lvl w:ilvl="0" w:tplc="C6D20BC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0C3D"/>
    <w:multiLevelType w:val="hybridMultilevel"/>
    <w:tmpl w:val="013499E6"/>
    <w:lvl w:ilvl="0" w:tplc="184222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33536">
    <w:abstractNumId w:val="2"/>
  </w:num>
  <w:num w:numId="2" w16cid:durableId="1174610818">
    <w:abstractNumId w:val="0"/>
  </w:num>
  <w:num w:numId="3" w16cid:durableId="1174690934">
    <w:abstractNumId w:val="5"/>
  </w:num>
  <w:num w:numId="4" w16cid:durableId="1144733358">
    <w:abstractNumId w:val="3"/>
  </w:num>
  <w:num w:numId="5" w16cid:durableId="1825006447">
    <w:abstractNumId w:val="1"/>
  </w:num>
  <w:num w:numId="6" w16cid:durableId="1253659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07"/>
    <w:rsid w:val="00046D34"/>
    <w:rsid w:val="00055F2B"/>
    <w:rsid w:val="0010628E"/>
    <w:rsid w:val="0013709B"/>
    <w:rsid w:val="00205150"/>
    <w:rsid w:val="00315AE6"/>
    <w:rsid w:val="00392295"/>
    <w:rsid w:val="003E7533"/>
    <w:rsid w:val="00424D03"/>
    <w:rsid w:val="00486CB5"/>
    <w:rsid w:val="004E14DD"/>
    <w:rsid w:val="00500F8E"/>
    <w:rsid w:val="00586604"/>
    <w:rsid w:val="006415C5"/>
    <w:rsid w:val="006616E0"/>
    <w:rsid w:val="006B37E8"/>
    <w:rsid w:val="007527E6"/>
    <w:rsid w:val="008650B2"/>
    <w:rsid w:val="0089744C"/>
    <w:rsid w:val="008C70C6"/>
    <w:rsid w:val="008E75E5"/>
    <w:rsid w:val="008F16A8"/>
    <w:rsid w:val="009F6B5F"/>
    <w:rsid w:val="00A03D7E"/>
    <w:rsid w:val="00A25DEF"/>
    <w:rsid w:val="00A45EC1"/>
    <w:rsid w:val="00B205A0"/>
    <w:rsid w:val="00B23B47"/>
    <w:rsid w:val="00B715E2"/>
    <w:rsid w:val="00BD2331"/>
    <w:rsid w:val="00C539EA"/>
    <w:rsid w:val="00D96707"/>
    <w:rsid w:val="00E23FFC"/>
    <w:rsid w:val="00E57E54"/>
    <w:rsid w:val="00E83830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E33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707"/>
    <w:pPr>
      <w:spacing w:after="120" w:line="276" w:lineRule="auto"/>
    </w:pPr>
    <w:rPr>
      <w:rFonts w:ascii="Segoe UI" w:hAnsi="Segoe UI" w:cs="Times New Roman"/>
      <w:kern w:val="0"/>
      <w:szCs w:val="24"/>
      <w14:ligatures w14:val="none"/>
    </w:rPr>
  </w:style>
  <w:style w:type="paragraph" w:styleId="Nadpis1">
    <w:name w:val="heading 1"/>
    <w:aliases w:val="Nadpis 1 Char Char,Styl Nadpis 1,Nadpis 1 bez číslování,Nadpis 1 - bez číslování"/>
    <w:basedOn w:val="Normln"/>
    <w:next w:val="Normln"/>
    <w:link w:val="Nadpis1Char"/>
    <w:qFormat/>
    <w:rsid w:val="00D9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aliases w:val="Nadpis 2 Char Char52,Nadpis 2 Char Char61,Nadpis 2 - ne na nove strane,Nadpis 2 Char Char"/>
    <w:basedOn w:val="Normln"/>
    <w:next w:val="Normln"/>
    <w:link w:val="Nadpis2Char"/>
    <w:uiPriority w:val="9"/>
    <w:unhideWhenUsed/>
    <w:qFormat/>
    <w:rsid w:val="00D96707"/>
    <w:pPr>
      <w:keepNext/>
      <w:keepLines/>
      <w:spacing w:before="240"/>
      <w:outlineLvl w:val="1"/>
    </w:pPr>
    <w:rPr>
      <w:rFonts w:ascii="Segoe UI Semibold" w:eastAsiaTheme="majorEastAsia" w:hAnsi="Segoe UI Semibold" w:cstheme="majorBidi"/>
      <w:bCs/>
      <w:color w:val="3C8225"/>
      <w:sz w:val="40"/>
      <w:szCs w:val="26"/>
    </w:rPr>
  </w:style>
  <w:style w:type="paragraph" w:styleId="Nadpis3">
    <w:name w:val="heading 3"/>
    <w:aliases w:val="Nadpis 3 Char Char Char52,Nadpis 3132,Nadpis 3 Char42,Nadpis 3 Char1 Char32,Nadpis 3 Char Char Char Char32,Nadpis 3 Char Char Char61,Nadpis 3 Char Char Char,Nadpis 31,Nadpis 3 Char1 Char,Nadpis 3 Char Char Char Char,Nadpis 3 Char Char"/>
    <w:basedOn w:val="Normln"/>
    <w:next w:val="Normln"/>
    <w:link w:val="Nadpis3Char"/>
    <w:uiPriority w:val="99"/>
    <w:unhideWhenUsed/>
    <w:qFormat/>
    <w:rsid w:val="00D96707"/>
    <w:pPr>
      <w:keepNext/>
      <w:keepLines/>
      <w:spacing w:before="200"/>
      <w:outlineLvl w:val="2"/>
    </w:pPr>
    <w:rPr>
      <w:rFonts w:ascii="Segoe UI Semibold" w:eastAsia="Calibri" w:hAnsi="Segoe UI Semibold"/>
      <w:bCs/>
      <w:color w:val="878787"/>
      <w:sz w:val="26"/>
      <w:szCs w:val="20"/>
      <w:lang w:eastAsia="x-none"/>
    </w:rPr>
  </w:style>
  <w:style w:type="paragraph" w:styleId="Nadpis4">
    <w:name w:val="heading 4"/>
    <w:aliases w:val="nad 4 Char Char"/>
    <w:basedOn w:val="Normln"/>
    <w:next w:val="Normln"/>
    <w:link w:val="Nadpis4Char"/>
    <w:unhideWhenUsed/>
    <w:qFormat/>
    <w:rsid w:val="00D9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D967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9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Nadpis 7 Char42,Nadpis 7 Char132,Nadpis 7 Char Char32,Nadpis 71 Char42,Nadpis 7132,Nadpis 7 Char1 Char Char32,Nadpis 7222,Nadpis 7 Char222,Nadpis 7 Char1122,Nadpis 7 Char Char122,Nadpis 71 Char122,Nadpis 71122,Nadpis 71 Char2 Char2"/>
    <w:basedOn w:val="Normln"/>
    <w:next w:val="Normln"/>
    <w:link w:val="Nadpis7Char"/>
    <w:uiPriority w:val="9"/>
    <w:unhideWhenUsed/>
    <w:qFormat/>
    <w:rsid w:val="00D9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9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9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 Char Char,Styl Nadpis 1 Char,Nadpis 1 bez číslování Char,Nadpis 1 - bez číslování Char"/>
    <w:basedOn w:val="Standardnpsmoodstavce"/>
    <w:link w:val="Nadpis1"/>
    <w:rsid w:val="00D967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aliases w:val="Nadpis 2 Char Char52 Char,Nadpis 2 Char Char61 Char,Nadpis 2 - ne na nove strane Char,Nadpis 2 Char Char Char"/>
    <w:basedOn w:val="Standardnpsmoodstavce"/>
    <w:link w:val="Nadpis2"/>
    <w:uiPriority w:val="9"/>
    <w:rsid w:val="00D96707"/>
    <w:rPr>
      <w:rFonts w:ascii="Segoe UI Semibold" w:eastAsiaTheme="majorEastAsia" w:hAnsi="Segoe UI Semibold" w:cstheme="majorBidi"/>
      <w:bCs/>
      <w:color w:val="3C8225"/>
      <w:kern w:val="0"/>
      <w:sz w:val="40"/>
      <w:szCs w:val="26"/>
      <w14:ligatures w14:val="none"/>
    </w:rPr>
  </w:style>
  <w:style w:type="character" w:customStyle="1" w:styleId="Nadpis3Char">
    <w:name w:val="Nadpis 3 Char"/>
    <w:aliases w:val="Nadpis 3 Char Char Char52 Char,Nadpis 3132 Char,Nadpis 3 Char42 Char,Nadpis 3 Char1 Char32 Char,Nadpis 3 Char Char Char Char32 Char,Nadpis 3 Char Char Char61 Char,Nadpis 3 Char Char Char Char1,Nadpis 31 Char,Nadpis 3 Char1 Char Char"/>
    <w:basedOn w:val="Standardnpsmoodstavce"/>
    <w:link w:val="Nadpis3"/>
    <w:uiPriority w:val="99"/>
    <w:rsid w:val="00D96707"/>
    <w:rPr>
      <w:rFonts w:ascii="Segoe UI Semibold" w:eastAsia="Calibri" w:hAnsi="Segoe UI Semibold" w:cs="Times New Roman"/>
      <w:bCs/>
      <w:color w:val="878787"/>
      <w:kern w:val="0"/>
      <w:sz w:val="26"/>
      <w:szCs w:val="20"/>
      <w:lang w:eastAsia="x-none"/>
      <w14:ligatures w14:val="none"/>
    </w:rPr>
  </w:style>
  <w:style w:type="character" w:customStyle="1" w:styleId="Nadpis4Char">
    <w:name w:val="Nadpis 4 Char"/>
    <w:aliases w:val="nad 4 Char Char Char"/>
    <w:basedOn w:val="Standardnpsmoodstavce"/>
    <w:link w:val="Nadpis4"/>
    <w:uiPriority w:val="9"/>
    <w:semiHidden/>
    <w:rsid w:val="00D9670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670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67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Nadpis 7 Char42 Char,Nadpis 7 Char132 Char,Nadpis 7 Char Char32 Char,Nadpis 71 Char42 Char,Nadpis 7132 Char,Nadpis 7 Char1 Char Char32 Char,Nadpis 7222 Char,Nadpis 7 Char222 Char,Nadpis 7 Char1122 Char,Nadpis 7 Char Char122 Char"/>
    <w:basedOn w:val="Standardnpsmoodstavce"/>
    <w:link w:val="Nadpis7"/>
    <w:uiPriority w:val="9"/>
    <w:semiHidden/>
    <w:rsid w:val="00D967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67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67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6707"/>
    <w:rPr>
      <w:i/>
      <w:iCs/>
      <w:color w:val="404040" w:themeColor="text1" w:themeTint="BF"/>
    </w:rPr>
  </w:style>
  <w:style w:type="paragraph" w:styleId="Odstavecseseznamem">
    <w:name w:val="List Paragraph"/>
    <w:aliases w:val="References,Odstavec se seznamem2,List Paragraph,Text odrážek,List Paragraph (Czech Tourism),Conclusion de partie,Odstavec se seznamem a odrážkou,1 úroveň Odstavec se seznamem,Odstavec_muj,A-Odrážky1,Nad,_Odstavec se seznamem,Nad1"/>
    <w:basedOn w:val="Normln"/>
    <w:link w:val="OdstavecseseznamemChar"/>
    <w:uiPriority w:val="34"/>
    <w:qFormat/>
    <w:rsid w:val="00D967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670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67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670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6707"/>
    <w:rPr>
      <w:b/>
      <w:bCs/>
      <w:smallCaps/>
      <w:color w:val="2E74B5" w:themeColor="accent1" w:themeShade="BF"/>
      <w:spacing w:val="5"/>
    </w:rPr>
  </w:style>
  <w:style w:type="paragraph" w:styleId="Titulek">
    <w:name w:val="caption"/>
    <w:aliases w:val="Titulek Char,Titulek Char Char Char,Titulek1 Char Char,Titulek1 Char Char Char,Titulek1 Char,Titulek2,Titulek Char1,Titulek Char Char Char1,Titulek1 Char Char1,Titulek1 Char Char Char1 Char Char Char,Titulek1 Char Char Char1 Char"/>
    <w:basedOn w:val="Normln"/>
    <w:next w:val="Normln"/>
    <w:link w:val="TitulekChar2"/>
    <w:uiPriority w:val="35"/>
    <w:qFormat/>
    <w:rsid w:val="00D96707"/>
    <w:pPr>
      <w:keepNext/>
      <w:spacing w:before="120"/>
    </w:pPr>
    <w:rPr>
      <w:rFonts w:ascii="Segoe UI Semibold" w:eastAsia="SimSun" w:hAnsi="Segoe UI Semibold"/>
      <w:bCs/>
      <w:color w:val="575756"/>
      <w:sz w:val="20"/>
      <w:szCs w:val="18"/>
    </w:rPr>
  </w:style>
  <w:style w:type="character" w:customStyle="1" w:styleId="TitulekChar2">
    <w:name w:val="Titulek Char2"/>
    <w:aliases w:val="Titulek Char Char,Titulek Char Char Char Char,Titulek1 Char Char Char1,Titulek1 Char Char Char Char,Titulek1 Char Char2,Titulek2 Char,Titulek Char1 Char,Titulek Char Char Char1 Char,Titulek1 Char Char1 Char"/>
    <w:link w:val="Titulek"/>
    <w:uiPriority w:val="35"/>
    <w:rsid w:val="00D96707"/>
    <w:rPr>
      <w:rFonts w:ascii="Segoe UI Semibold" w:eastAsia="SimSun" w:hAnsi="Segoe UI Semibold" w:cs="Times New Roman"/>
      <w:bCs/>
      <w:color w:val="575756"/>
      <w:kern w:val="0"/>
      <w:sz w:val="20"/>
      <w:szCs w:val="18"/>
      <w14:ligatures w14:val="none"/>
    </w:rPr>
  </w:style>
  <w:style w:type="paragraph" w:customStyle="1" w:styleId="Zdroj">
    <w:name w:val="Zdroj"/>
    <w:basedOn w:val="Normln"/>
    <w:autoRedefine/>
    <w:qFormat/>
    <w:rsid w:val="00D96707"/>
    <w:pPr>
      <w:keepLines/>
      <w:numPr>
        <w:numId w:val="1"/>
      </w:numPr>
      <w:spacing w:after="240"/>
    </w:pPr>
    <w:rPr>
      <w:rFonts w:cs="Segoe UI"/>
      <w:i/>
      <w:iCs/>
      <w:sz w:val="20"/>
      <w:szCs w:val="16"/>
    </w:rPr>
  </w:style>
  <w:style w:type="table" w:customStyle="1" w:styleId="VZ2013">
    <w:name w:val="VZ 2013"/>
    <w:basedOn w:val="Normlntabulka"/>
    <w:uiPriority w:val="99"/>
    <w:rsid w:val="00D96707"/>
    <w:pPr>
      <w:keepNext/>
      <w:keepLines/>
      <w:spacing w:after="0" w:line="240" w:lineRule="auto"/>
      <w:contextualSpacing/>
    </w:pPr>
    <w:rPr>
      <w:rFonts w:ascii="Segoe UI" w:hAnsi="Segoe UI"/>
      <w:kern w:val="0"/>
      <w:sz w:val="20"/>
      <w14:ligatures w14:val="none"/>
    </w:rPr>
    <w:tblPr>
      <w:tblStyleRowBandSize w:val="2"/>
      <w:tblStyleColBandSize w:val="1"/>
      <w:tblBorders>
        <w:top w:val="single" w:sz="4" w:space="0" w:color="93B24C"/>
        <w:bottom w:val="single" w:sz="4" w:space="0" w:color="93B24C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  <w:jc w:val="center"/>
      </w:pPr>
      <w:rPr>
        <w:rFonts w:ascii="Segoe UI" w:hAnsi="Segoe UI"/>
        <w:b/>
        <w:color w:val="A2C452"/>
        <w:sz w:val="20"/>
      </w:rPr>
      <w:tblPr/>
      <w:tcPr>
        <w:tcBorders>
          <w:top w:val="single" w:sz="4" w:space="0" w:color="A2C452"/>
          <w:bottom w:val="single" w:sz="4" w:space="0" w:color="A2C452"/>
        </w:tcBorders>
      </w:tcPr>
    </w:tblStylePr>
    <w:tblStylePr w:type="la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right"/>
      </w:pPr>
      <w:rPr>
        <w:rFonts w:ascii="Segoe UI" w:hAnsi="Segoe UI"/>
        <w:b/>
        <w:color w:val="A2C452"/>
        <w:sz w:val="20"/>
      </w:rPr>
      <w:tblPr/>
      <w:tcPr>
        <w:tcBorders>
          <w:top w:val="single" w:sz="4" w:space="0" w:color="A2C452"/>
          <w:bottom w:val="single" w:sz="8" w:space="0" w:color="A2C452"/>
        </w:tcBorders>
      </w:tcPr>
    </w:tblStylePr>
  </w:style>
  <w:style w:type="table" w:customStyle="1" w:styleId="hazard-Svtlstnovnzvraznn31">
    <w:name w:val="hazard - Světlé stínování – zvýraznění 31"/>
    <w:basedOn w:val="Normlntabulka"/>
    <w:next w:val="Svtlstnovnzvraznn3"/>
    <w:uiPriority w:val="60"/>
    <w:rsid w:val="00D96707"/>
    <w:pPr>
      <w:spacing w:after="0" w:line="240" w:lineRule="auto"/>
    </w:pPr>
    <w:rPr>
      <w:rFonts w:ascii="Segoe UI" w:hAnsi="Segoe UI" w:cs="Times New Roman"/>
      <w:kern w:val="0"/>
      <w:sz w:val="18"/>
      <w:szCs w:val="24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OdstavecseseznamemChar">
    <w:name w:val="Odstavec se seznamem Char"/>
    <w:aliases w:val="References Char,Odstavec se seznamem2 Char,List Paragraph Char,Text odrážek Char,List Paragraph (Czech Tourism) Char,Conclusion de partie Char,Odstavec se seznamem a odrážkou Char,1 úroveň Odstavec se seznamem Char,Nad Char"/>
    <w:basedOn w:val="Standardnpsmoodstavce"/>
    <w:link w:val="Odstavecseseznamem"/>
    <w:uiPriority w:val="34"/>
    <w:qFormat/>
    <w:rsid w:val="00D96707"/>
  </w:style>
  <w:style w:type="paragraph" w:customStyle="1" w:styleId="Nadpis2-bezslovn">
    <w:name w:val="Nadpis 2 - bez číslování"/>
    <w:basedOn w:val="Nadpis2"/>
    <w:next w:val="Normln"/>
    <w:qFormat/>
    <w:rsid w:val="00B23B47"/>
    <w:rPr>
      <w:rFonts w:ascii="Segoe UI" w:hAnsi="Segoe UI" w:cs="Segoe UI"/>
      <w:b/>
      <w:bCs w:val="0"/>
      <w:sz w:val="32"/>
      <w:szCs w:val="32"/>
      <w:lang w:eastAsia="cs-CZ"/>
    </w:rPr>
  </w:style>
  <w:style w:type="paragraph" w:customStyle="1" w:styleId="poznpodtabulkougrafem">
    <w:name w:val="pozn. pod tabulkou/grafem"/>
    <w:basedOn w:val="Zdroj"/>
    <w:link w:val="poznpodtabulkougrafemChar"/>
    <w:qFormat/>
    <w:rsid w:val="00D96707"/>
  </w:style>
  <w:style w:type="character" w:customStyle="1" w:styleId="poznpodtabulkougrafemChar">
    <w:name w:val="pozn. pod tabulkou/grafem Char"/>
    <w:basedOn w:val="Standardnpsmoodstavce"/>
    <w:link w:val="poznpodtabulkougrafem"/>
    <w:rsid w:val="00D96707"/>
    <w:rPr>
      <w:rFonts w:ascii="Segoe UI" w:hAnsi="Segoe UI" w:cs="Segoe UI"/>
      <w:i/>
      <w:iCs/>
      <w:kern w:val="0"/>
      <w:sz w:val="20"/>
      <w:szCs w:val="16"/>
      <w14:ligatures w14:val="none"/>
    </w:rPr>
  </w:style>
  <w:style w:type="table" w:styleId="Svtlstnovnzvraznn3">
    <w:name w:val="Light Shading Accent 3"/>
    <w:basedOn w:val="Normlntabulka"/>
    <w:uiPriority w:val="60"/>
    <w:semiHidden/>
    <w:unhideWhenUsed/>
    <w:rsid w:val="00D9670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Pracovnpodklad-text">
    <w:name w:val="Pracovní podklad - text"/>
    <w:basedOn w:val="Normln"/>
    <w:link w:val="Pracovnpodklad-textChar"/>
    <w:qFormat/>
    <w:rsid w:val="00046D34"/>
    <w:pPr>
      <w:spacing w:after="240" w:line="240" w:lineRule="auto"/>
      <w:jc w:val="both"/>
    </w:pPr>
    <w:rPr>
      <w:rFonts w:ascii="Arial" w:eastAsia="Times New Roman" w:hAnsi="Arial" w:cs="Arial"/>
      <w:color w:val="000000"/>
      <w:szCs w:val="22"/>
      <w:lang w:eastAsia="cs-CZ"/>
    </w:rPr>
  </w:style>
  <w:style w:type="character" w:customStyle="1" w:styleId="Pracovnpodklad-textChar">
    <w:name w:val="Pracovní podklad - text Char"/>
    <w:link w:val="Pracovnpodklad-text"/>
    <w:rsid w:val="00046D34"/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qFormat/>
    <w:rsid w:val="00046D34"/>
    <w:rPr>
      <w:rFonts w:ascii="Segoe UI" w:hAnsi="Segoe UI"/>
      <w:color w:val="759D2F"/>
      <w:u w:val="none"/>
    </w:rPr>
  </w:style>
  <w:style w:type="paragraph" w:styleId="Zhlav">
    <w:name w:val="header"/>
    <w:basedOn w:val="Normln"/>
    <w:link w:val="ZhlavChar"/>
    <w:uiPriority w:val="99"/>
    <w:unhideWhenUsed/>
    <w:rsid w:val="0039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295"/>
    <w:rPr>
      <w:rFonts w:ascii="Segoe UI" w:hAnsi="Segoe UI" w:cs="Times New Roman"/>
      <w:kern w:val="0"/>
      <w:szCs w:val="24"/>
      <w14:ligatures w14:val="none"/>
    </w:rPr>
  </w:style>
  <w:style w:type="paragraph" w:styleId="Zpat">
    <w:name w:val="footer"/>
    <w:basedOn w:val="Normln"/>
    <w:link w:val="ZpatChar"/>
    <w:unhideWhenUsed/>
    <w:rsid w:val="0039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92295"/>
    <w:rPr>
      <w:rFonts w:ascii="Segoe UI" w:hAnsi="Segoe UI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rogy-inf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gy-info.cz/publikace/vyrocni-zpravy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3734</Words>
  <Characters>22037</Characters>
  <Application>Microsoft Office Word</Application>
  <DocSecurity>0</DocSecurity>
  <Lines>183</Lines>
  <Paragraphs>51</Paragraphs>
  <ScaleCrop>false</ScaleCrop>
  <Company/>
  <LinksUpToDate>false</LinksUpToDate>
  <CharactersWithSpaces>25720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2026-06-15T11:14:00Z</dcterms:created>
  <dcterms:modified xsi:type="dcterms:W3CDTF">2026-06-15T11:15:00Z</dcterms:modified>
</cp:coreProperties>
</file>