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06C5" w14:textId="77777777" w:rsidR="00F9267F" w:rsidRDefault="00F9267F" w:rsidP="00325095"/>
    <w:p w14:paraId="02537475" w14:textId="77777777" w:rsidR="00F9267F" w:rsidRPr="00C7131D" w:rsidRDefault="00F9267F" w:rsidP="00E428C5">
      <w:pPr>
        <w:pStyle w:val="Nzev"/>
      </w:pPr>
      <w:r w:rsidRPr="00C7131D">
        <w:t xml:space="preserve">Průzkum zaměstnávání </w:t>
      </w:r>
      <w:r w:rsidRPr="00C7131D">
        <w:br/>
        <w:t xml:space="preserve">osob se zdravotním postižením </w:t>
      </w:r>
      <w:r w:rsidRPr="00C7131D">
        <w:br/>
        <w:t>ve vybraných úřadech státní správy v roce 2019</w:t>
      </w:r>
    </w:p>
    <w:p w14:paraId="56A76B84" w14:textId="77777777" w:rsidR="00F9267F" w:rsidRDefault="00F9267F" w:rsidP="00325095">
      <w:r>
        <w:br w:type="page"/>
      </w:r>
    </w:p>
    <w:p w14:paraId="6FD49DF0" w14:textId="230159D5" w:rsidR="0086545E" w:rsidRPr="00FC03F4" w:rsidRDefault="00381DA0" w:rsidP="0044337E">
      <w:pPr>
        <w:tabs>
          <w:tab w:val="left" w:pos="7890"/>
        </w:tabs>
        <w:rPr>
          <w:b/>
          <w:bCs/>
          <w:sz w:val="36"/>
          <w:szCs w:val="32"/>
        </w:rPr>
      </w:pPr>
      <w:r w:rsidRPr="00FC03F4">
        <w:rPr>
          <w:b/>
          <w:bCs/>
          <w:sz w:val="36"/>
          <w:szCs w:val="32"/>
        </w:rPr>
        <w:lastRenderedPageBreak/>
        <w:t>Obsah</w:t>
      </w:r>
      <w:r w:rsidR="0044337E">
        <w:rPr>
          <w:b/>
          <w:bCs/>
          <w:sz w:val="36"/>
          <w:szCs w:val="32"/>
        </w:rPr>
        <w:tab/>
      </w:r>
    </w:p>
    <w:sdt>
      <w:sdtPr>
        <w:rPr>
          <w:rFonts w:cstheme="minorBidi"/>
          <w:szCs w:val="22"/>
        </w:rPr>
        <w:id w:val="-1177269131"/>
        <w:docPartObj>
          <w:docPartGallery w:val="Table of Contents"/>
          <w:docPartUnique/>
        </w:docPartObj>
      </w:sdtPr>
      <w:sdtEndPr>
        <w:rPr>
          <w:rFonts w:cs="Arial"/>
          <w:szCs w:val="20"/>
        </w:rPr>
      </w:sdtEndPr>
      <w:sdtContent>
        <w:p w14:paraId="7DF7DB65" w14:textId="77777777" w:rsidR="00B5102D" w:rsidRDefault="001D0C56" w:rsidP="00B5102D">
          <w:pPr>
            <w:pStyle w:val="Obsah1"/>
            <w:rPr>
              <w:rFonts w:eastAsiaTheme="minorEastAsia" w:cstheme="minorBidi"/>
              <w:b w:val="0"/>
              <w:noProof/>
              <w:szCs w:val="22"/>
            </w:rPr>
          </w:pPr>
          <w:r>
            <w:rPr>
              <w:color w:val="000000" w:themeColor="text1"/>
              <w:sz w:val="32"/>
            </w:rPr>
            <w:fldChar w:fldCharType="begin"/>
          </w:r>
          <w:r w:rsidRPr="00DA0AF7">
            <w:rPr>
              <w:color w:val="000000" w:themeColor="text1"/>
              <w:sz w:val="32"/>
            </w:rPr>
            <w:instrText xml:space="preserve"> TOC \o "1-2" \h \z \u </w:instrText>
          </w:r>
          <w:r>
            <w:rPr>
              <w:color w:val="000000" w:themeColor="text1"/>
              <w:sz w:val="32"/>
            </w:rPr>
            <w:fldChar w:fldCharType="separate"/>
          </w:r>
          <w:hyperlink w:anchor="_Toc45513045" w:history="1">
            <w:r w:rsidR="00B5102D" w:rsidRPr="009E4A2C">
              <w:rPr>
                <w:rStyle w:val="Hypertextovodkaz"/>
                <w:noProof/>
              </w:rPr>
              <w:t>1</w:t>
            </w:r>
            <w:r w:rsidR="00B5102D">
              <w:rPr>
                <w:rFonts w:eastAsiaTheme="minorEastAsia" w:cstheme="minorBidi"/>
                <w:b w:val="0"/>
                <w:noProof/>
                <w:szCs w:val="22"/>
              </w:rPr>
              <w:tab/>
            </w:r>
            <w:r w:rsidR="00B5102D" w:rsidRPr="009E4A2C">
              <w:rPr>
                <w:rStyle w:val="Hypertextovodkaz"/>
                <w:noProof/>
              </w:rPr>
              <w:t>Úvod</w:t>
            </w:r>
            <w:r w:rsidR="00B5102D">
              <w:rPr>
                <w:noProof/>
                <w:webHidden/>
              </w:rPr>
              <w:tab/>
            </w:r>
            <w:r w:rsidR="00B5102D">
              <w:rPr>
                <w:noProof/>
                <w:webHidden/>
              </w:rPr>
              <w:fldChar w:fldCharType="begin"/>
            </w:r>
            <w:r w:rsidR="00B5102D">
              <w:rPr>
                <w:noProof/>
                <w:webHidden/>
              </w:rPr>
              <w:instrText xml:space="preserve"> PAGEREF _Toc45513045 \h </w:instrText>
            </w:r>
            <w:r w:rsidR="00B5102D">
              <w:rPr>
                <w:noProof/>
                <w:webHidden/>
              </w:rPr>
            </w:r>
            <w:r w:rsidR="00B5102D"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3</w:t>
            </w:r>
            <w:r w:rsidR="00B5102D">
              <w:rPr>
                <w:noProof/>
                <w:webHidden/>
              </w:rPr>
              <w:fldChar w:fldCharType="end"/>
            </w:r>
          </w:hyperlink>
        </w:p>
        <w:p w14:paraId="28A89D97" w14:textId="77777777" w:rsidR="00B5102D" w:rsidRDefault="00B5102D" w:rsidP="00B5102D">
          <w:pPr>
            <w:pStyle w:val="Obsah1"/>
            <w:rPr>
              <w:rFonts w:eastAsiaTheme="minorEastAsia" w:cstheme="minorBidi"/>
              <w:b w:val="0"/>
              <w:noProof/>
              <w:szCs w:val="22"/>
            </w:rPr>
          </w:pPr>
          <w:hyperlink w:anchor="_Toc45513046" w:history="1">
            <w:r w:rsidRPr="009E4A2C">
              <w:rPr>
                <w:rStyle w:val="Hypertextovodkaz"/>
                <w:noProof/>
              </w:rPr>
              <w:t>2</w:t>
            </w:r>
            <w:r>
              <w:rPr>
                <w:rFonts w:eastAsiaTheme="minorEastAsia" w:cstheme="minorBidi"/>
                <w:b w:val="0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Zaměstnávání osob se zdravotním postižením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272E9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47" w:history="1">
            <w:r w:rsidRPr="009E4A2C">
              <w:rPr>
                <w:rStyle w:val="Hypertextovodkaz"/>
                <w:noProof/>
              </w:rPr>
              <w:t>2.1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Osoby se zdravotním postižením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F324E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48" w:history="1">
            <w:r w:rsidRPr="009E4A2C">
              <w:rPr>
                <w:rStyle w:val="Hypertextovodkaz"/>
                <w:noProof/>
              </w:rPr>
              <w:t>2.2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Podpora zaměstnávání osob se zdravotním postižením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9B61F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49" w:history="1">
            <w:r w:rsidRPr="009E4A2C">
              <w:rPr>
                <w:rStyle w:val="Hypertextovodkaz"/>
                <w:noProof/>
              </w:rPr>
              <w:t>2.3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Povinnosti zaměstnavatelů osob se zdravotním postižením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CB0A8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50" w:history="1">
            <w:r w:rsidRPr="009E4A2C">
              <w:rPr>
                <w:rStyle w:val="Hypertextovodkaz"/>
                <w:noProof/>
              </w:rPr>
              <w:t>2.4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Problémy při zaměstnávání osob se zdravotním postižením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1FE5D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51" w:history="1">
            <w:r w:rsidRPr="009E4A2C">
              <w:rPr>
                <w:rStyle w:val="Hypertextovodkaz"/>
                <w:noProof/>
              </w:rPr>
              <w:t>2.5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Předpoklady zaměstnávání osob se zdravotním postižením ve státní správě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80DC0" w14:textId="77777777" w:rsidR="00B5102D" w:rsidRDefault="00B5102D" w:rsidP="00B5102D">
          <w:pPr>
            <w:pStyle w:val="Obsah1"/>
            <w:rPr>
              <w:rFonts w:eastAsiaTheme="minorEastAsia" w:cstheme="minorBidi"/>
              <w:b w:val="0"/>
              <w:noProof/>
              <w:szCs w:val="22"/>
            </w:rPr>
          </w:pPr>
          <w:hyperlink w:anchor="_Toc45513052" w:history="1">
            <w:r w:rsidRPr="009E4A2C">
              <w:rPr>
                <w:rStyle w:val="Hypertextovodkaz"/>
                <w:noProof/>
              </w:rPr>
              <w:t>3</w:t>
            </w:r>
            <w:r>
              <w:rPr>
                <w:rFonts w:eastAsiaTheme="minorEastAsia" w:cstheme="minorBidi"/>
                <w:b w:val="0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Statistická data o osobách se zdravotním postižením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46207" w14:textId="77777777" w:rsidR="00B5102D" w:rsidRDefault="00B5102D" w:rsidP="00B5102D">
          <w:pPr>
            <w:pStyle w:val="Obsah1"/>
            <w:rPr>
              <w:rFonts w:eastAsiaTheme="minorEastAsia" w:cstheme="minorBidi"/>
              <w:b w:val="0"/>
              <w:noProof/>
              <w:szCs w:val="22"/>
            </w:rPr>
          </w:pPr>
          <w:hyperlink w:anchor="_Toc45513053" w:history="1">
            <w:r w:rsidRPr="009E4A2C">
              <w:rPr>
                <w:rStyle w:val="Hypertextovodkaz"/>
                <w:noProof/>
              </w:rPr>
              <w:t>4</w:t>
            </w:r>
            <w:r>
              <w:rPr>
                <w:rFonts w:eastAsiaTheme="minorEastAsia" w:cstheme="minorBidi"/>
                <w:b w:val="0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Analýza počtu zaměstnaných osob se zdravotním postižením v úřadech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19A3C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54" w:history="1">
            <w:r w:rsidRPr="009E4A2C">
              <w:rPr>
                <w:rStyle w:val="Hypertextovodkaz"/>
                <w:noProof/>
              </w:rPr>
              <w:t>4.1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Počet zaměstnanců v úřadech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6B4A8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55" w:history="1">
            <w:r w:rsidRPr="009E4A2C">
              <w:rPr>
                <w:rStyle w:val="Hypertextovodkaz"/>
                <w:noProof/>
              </w:rPr>
              <w:t>4.2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Počet zaměstnanců se zdravotním postižením v úřadech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D6818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56" w:history="1">
            <w:r w:rsidRPr="009E4A2C">
              <w:rPr>
                <w:rStyle w:val="Hypertextovodkaz"/>
                <w:noProof/>
              </w:rPr>
              <w:t>4.3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Počet zaměstnanců se zdravotním postižením dle uznaného stupně invalidity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F6377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57" w:history="1">
            <w:r w:rsidRPr="009E4A2C">
              <w:rPr>
                <w:rStyle w:val="Hypertextovodkaz"/>
                <w:noProof/>
              </w:rPr>
              <w:t>4.4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Počet zaměstnanců se zdravotním postižením dle platových tříd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7CB15" w14:textId="77777777" w:rsidR="00B5102D" w:rsidRDefault="00B5102D" w:rsidP="00B5102D">
          <w:pPr>
            <w:pStyle w:val="Obsah1"/>
            <w:rPr>
              <w:rFonts w:eastAsiaTheme="minorEastAsia" w:cstheme="minorBidi"/>
              <w:b w:val="0"/>
              <w:noProof/>
              <w:szCs w:val="22"/>
            </w:rPr>
          </w:pPr>
          <w:hyperlink w:anchor="_Toc45513058" w:history="1">
            <w:r w:rsidRPr="009E4A2C">
              <w:rPr>
                <w:rStyle w:val="Hypertextovodkaz"/>
                <w:noProof/>
              </w:rPr>
              <w:t>5</w:t>
            </w:r>
            <w:r>
              <w:rPr>
                <w:rFonts w:eastAsiaTheme="minorEastAsia" w:cstheme="minorBidi"/>
                <w:b w:val="0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Analýza výsledků dotazníkového šetření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6D266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59" w:history="1">
            <w:r w:rsidRPr="009E4A2C">
              <w:rPr>
                <w:rStyle w:val="Hypertextovodkaz"/>
                <w:noProof/>
              </w:rPr>
              <w:t>5.1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Zhodnocení přístupnosti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270DE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60" w:history="1">
            <w:r w:rsidRPr="009E4A2C">
              <w:rPr>
                <w:rStyle w:val="Hypertextovodkaz"/>
                <w:noProof/>
              </w:rPr>
              <w:t>5.2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Agenda týkající se podpory zaměstnávání osob se zdravotním postižením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0B802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61" w:history="1">
            <w:r w:rsidRPr="009E4A2C">
              <w:rPr>
                <w:rStyle w:val="Hypertextovodkaz"/>
                <w:noProof/>
              </w:rPr>
              <w:t>5.3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Mapování a vyhledávání pozic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009E1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62" w:history="1">
            <w:r w:rsidRPr="009E4A2C">
              <w:rPr>
                <w:rStyle w:val="Hypertextovodkaz"/>
                <w:noProof/>
              </w:rPr>
              <w:t>5.4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Způsob zveřejňování inzerátů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7DED2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63" w:history="1">
            <w:r w:rsidRPr="009E4A2C">
              <w:rPr>
                <w:rStyle w:val="Hypertextovodkaz"/>
                <w:noProof/>
              </w:rPr>
              <w:t>5.5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Informace o vhodnosti služebního/pracovního místa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BEF37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64" w:history="1">
            <w:r w:rsidRPr="009E4A2C">
              <w:rPr>
                <w:rStyle w:val="Hypertextovodkaz"/>
                <w:noProof/>
              </w:rPr>
              <w:t>5.6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Spolupráce se školami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4CB0D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65" w:history="1">
            <w:r w:rsidRPr="009E4A2C">
              <w:rPr>
                <w:rStyle w:val="Hypertextovodkaz"/>
                <w:noProof/>
              </w:rPr>
              <w:t>5.7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Míra fluktuace zaměstnanců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E82CC" w14:textId="77777777" w:rsidR="00B5102D" w:rsidRDefault="00B5102D" w:rsidP="00B5102D">
          <w:pPr>
            <w:pStyle w:val="Obsah2"/>
            <w:tabs>
              <w:tab w:val="left" w:pos="660"/>
              <w:tab w:val="right" w:leader="dot" w:pos="9062"/>
            </w:tabs>
            <w:spacing w:line="240" w:lineRule="auto"/>
            <w:rPr>
              <w:rFonts w:eastAsiaTheme="minorEastAsia" w:cstheme="minorBidi"/>
              <w:noProof/>
              <w:szCs w:val="22"/>
            </w:rPr>
          </w:pPr>
          <w:hyperlink w:anchor="_Toc45513066" w:history="1">
            <w:r w:rsidRPr="009E4A2C">
              <w:rPr>
                <w:rStyle w:val="Hypertextovodkaz"/>
                <w:noProof/>
              </w:rPr>
              <w:t>5.8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Opatření ke zvýšení zaměstnanosti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C941E" w14:textId="77777777" w:rsidR="00B5102D" w:rsidRDefault="00B5102D" w:rsidP="00B5102D">
          <w:pPr>
            <w:pStyle w:val="Obsah1"/>
            <w:rPr>
              <w:rFonts w:eastAsiaTheme="minorEastAsia" w:cstheme="minorBidi"/>
              <w:b w:val="0"/>
              <w:noProof/>
              <w:szCs w:val="22"/>
            </w:rPr>
          </w:pPr>
          <w:hyperlink w:anchor="_Toc45513067" w:history="1">
            <w:r w:rsidRPr="009E4A2C">
              <w:rPr>
                <w:rStyle w:val="Hypertextovodkaz"/>
                <w:noProof/>
              </w:rPr>
              <w:t>6</w:t>
            </w:r>
            <w:r>
              <w:rPr>
                <w:rFonts w:eastAsiaTheme="minorEastAsia" w:cstheme="minorBidi"/>
                <w:b w:val="0"/>
                <w:noProof/>
                <w:szCs w:val="22"/>
              </w:rPr>
              <w:tab/>
            </w:r>
            <w:r w:rsidRPr="009E4A2C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B0BBB" w14:textId="77777777" w:rsidR="00B5102D" w:rsidRDefault="00B5102D" w:rsidP="00B5102D">
          <w:pPr>
            <w:pStyle w:val="Obsah1"/>
            <w:rPr>
              <w:rFonts w:eastAsiaTheme="minorEastAsia" w:cstheme="minorBidi"/>
              <w:b w:val="0"/>
              <w:noProof/>
              <w:szCs w:val="22"/>
            </w:rPr>
          </w:pPr>
          <w:hyperlink w:anchor="_Toc45513068" w:history="1">
            <w:r w:rsidRPr="009E4A2C">
              <w:rPr>
                <w:rStyle w:val="Hypertextovodkaz"/>
                <w:noProof/>
              </w:rPr>
              <w:t>Seznam tabulek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DCDB1" w14:textId="77777777" w:rsidR="00B5102D" w:rsidRDefault="00B5102D" w:rsidP="00B5102D">
          <w:pPr>
            <w:pStyle w:val="Obsah1"/>
            <w:rPr>
              <w:rFonts w:eastAsiaTheme="minorEastAsia" w:cstheme="minorBidi"/>
              <w:b w:val="0"/>
              <w:noProof/>
              <w:szCs w:val="22"/>
            </w:rPr>
          </w:pPr>
          <w:hyperlink w:anchor="_Toc45513069" w:history="1">
            <w:r w:rsidRPr="009E4A2C">
              <w:rPr>
                <w:rStyle w:val="Hypertextovodkaz"/>
                <w:noProof/>
              </w:rPr>
              <w:t>Seznam grafů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72AB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F8231" w14:textId="7702BFCF" w:rsidR="00381DA0" w:rsidRDefault="001D0C56" w:rsidP="00B5102D">
          <w:pPr>
            <w:pStyle w:val="Obsah1"/>
          </w:pPr>
          <w:r>
            <w:rPr>
              <w:color w:val="000000" w:themeColor="text1"/>
              <w:sz w:val="32"/>
            </w:rPr>
            <w:fldChar w:fldCharType="end"/>
          </w:r>
        </w:p>
      </w:sdtContent>
    </w:sdt>
    <w:p w14:paraId="7E5268B7" w14:textId="491D6485" w:rsidR="00555840" w:rsidRPr="000D5666" w:rsidRDefault="00555840" w:rsidP="00325095">
      <w:bookmarkStart w:id="0" w:name="_Toc40198721"/>
      <w:r>
        <w:br w:type="page"/>
      </w:r>
    </w:p>
    <w:p w14:paraId="3A88294B" w14:textId="77777777" w:rsidR="003558D4" w:rsidRPr="003A78DB" w:rsidRDefault="003558D4" w:rsidP="000F72AB">
      <w:pPr>
        <w:pStyle w:val="Nadpis1"/>
      </w:pPr>
      <w:bookmarkStart w:id="1" w:name="_Toc45513045"/>
      <w:bookmarkEnd w:id="0"/>
      <w:r w:rsidRPr="003A78DB">
        <w:lastRenderedPageBreak/>
        <w:t>Úvod</w:t>
      </w:r>
      <w:bookmarkEnd w:id="1"/>
    </w:p>
    <w:p w14:paraId="14A502FB" w14:textId="77777777" w:rsidR="00381DA0" w:rsidRPr="00325095" w:rsidRDefault="00381DA0" w:rsidP="00325095">
      <w:r w:rsidRPr="00325095">
        <w:t>Existence zdravotního postižení zásadním způsobem ovlivňuje život člověka a má dopady nejen na samotné osoby se zdravotním postižením, ale také na jejich rodiny. Zejména u osob s těžšími formami zdravotního postižení dochází k výrazným změnám v možnostech jejich plnohodnotné účasti a zapojení jak v soukromých aktivitách, tak i ve veřejném životě. N</w:t>
      </w:r>
      <w:r w:rsidR="002B3DF8" w:rsidRPr="00325095">
        <w:t>epříznivé důsledky je však možné</w:t>
      </w:r>
      <w:r w:rsidRPr="00325095">
        <w:t xml:space="preserve"> do určité míry eliminovat systémem prointegračních opatření. Mnohá omezení nejsou totiž dána jen samotnou existencí zdravotního postižení, ale právě nastavením a uspořádáním okolního prostředí. Problémem tedy nemusí být prioritně samotné fyzické, smyslové či jiné zdravotní postižení, nýbrž situace, kdy okolní prostředí nepočítá s existencí zdravotního postižení a osob se zdravotním postižením</w:t>
      </w:r>
      <w:r w:rsidR="002B3DF8" w:rsidRPr="00325095">
        <w:t xml:space="preserve"> </w:t>
      </w:r>
      <w:r w:rsidR="00143137" w:rsidRPr="00325095">
        <w:t>(dále i </w:t>
      </w:r>
      <w:r w:rsidR="002B3DF8" w:rsidRPr="00325095">
        <w:t xml:space="preserve">jako </w:t>
      </w:r>
      <w:r w:rsidR="00143137" w:rsidRPr="00325095">
        <w:t>„</w:t>
      </w:r>
      <w:r w:rsidR="002B3DF8" w:rsidRPr="00325095">
        <w:t>OZP</w:t>
      </w:r>
      <w:r w:rsidR="00143137" w:rsidRPr="00325095">
        <w:t>“</w:t>
      </w:r>
      <w:r w:rsidR="002B3DF8" w:rsidRPr="00325095">
        <w:t>)</w:t>
      </w:r>
      <w:r w:rsidRPr="00325095">
        <w:t xml:space="preserve"> jako integrální součástí společnosti.</w:t>
      </w:r>
    </w:p>
    <w:p w14:paraId="19701DC5" w14:textId="77777777" w:rsidR="00381DA0" w:rsidRPr="00325095" w:rsidRDefault="00381DA0" w:rsidP="00325095">
      <w:r w:rsidRPr="00325095">
        <w:t>Nalezení vhodného pracovního uplatnění a získání odpovídajícího zaměstnání je pro osoby se zdravotním postižením mimořádně důležité, neboť jim pomáhá zajišťovat nejen potřebnou ekonomickou nezávislost, ale také udržet si duševní rovnováhu, </w:t>
      </w:r>
      <w:r w:rsidR="00ED4869" w:rsidRPr="00325095">
        <w:t>získat pocit sebeuplatnění a </w:t>
      </w:r>
      <w:r w:rsidRPr="00325095">
        <w:t>společenské potřebnosti. To vše prokazatelně při</w:t>
      </w:r>
      <w:r w:rsidR="00ED4869" w:rsidRPr="00325095">
        <w:t>spívá k jejich plnohodnotnému a </w:t>
      </w:r>
      <w:r w:rsidRPr="00325095">
        <w:t xml:space="preserve">rovnoprávnému postavení ve společnosti. </w:t>
      </w:r>
    </w:p>
    <w:p w14:paraId="7D32C616" w14:textId="77777777" w:rsidR="00381DA0" w:rsidRPr="00325095" w:rsidRDefault="00381DA0" w:rsidP="00325095">
      <w:r w:rsidRPr="00325095">
        <w:t xml:space="preserve">Vzhledem k nedostatku známých příkladů dobré praxe a malému zájmu zaměstnavatelů zaměstnat OZP, a to často i z okruhu státních institucí, stát, v jehož eminentním zájmu by měl být co nejvyšší počet zaměstnaných OZP, které jsou schopné a motivované, by měl být příkladem i pro zaměstnavatele ze soukromého sektoru.  </w:t>
      </w:r>
    </w:p>
    <w:p w14:paraId="1FE62AB0" w14:textId="77777777" w:rsidR="00381DA0" w:rsidRPr="00325095" w:rsidRDefault="00381DA0" w:rsidP="00325095">
      <w:r w:rsidRPr="00325095">
        <w:t>Národní plán podpory rovných příležitostí pro osoby se zdrav</w:t>
      </w:r>
      <w:r w:rsidR="009F4E27" w:rsidRPr="00325095">
        <w:t>otním postižením na roky 2015–</w:t>
      </w:r>
      <w:r w:rsidRPr="00325095">
        <w:t xml:space="preserve">2020 stanoví ve svém opatření 13.9 povinnost ústředním orgánům státní správy včetně </w:t>
      </w:r>
      <w:r w:rsidR="009F4E27" w:rsidRPr="00325095">
        <w:t>jejich</w:t>
      </w:r>
      <w:r w:rsidRPr="00325095">
        <w:t xml:space="preserve"> organizačních složek usilovat o podporu přímého zaměstnávání osob se zdravotním postižením. </w:t>
      </w:r>
    </w:p>
    <w:p w14:paraId="3876D955" w14:textId="77777777" w:rsidR="000C5093" w:rsidRDefault="00381DA0" w:rsidP="00325095">
      <w:r w:rsidRPr="00325095">
        <w:t xml:space="preserve">Na základě těchto skutečností realizoval sekretariát Vládního výboru pro osoby se zdravotním postižením (dále jen </w:t>
      </w:r>
      <w:r w:rsidR="009F4E27" w:rsidRPr="00325095">
        <w:t>„</w:t>
      </w:r>
      <w:r w:rsidRPr="00325095">
        <w:t>VVOZP</w:t>
      </w:r>
      <w:r w:rsidR="009F4E27" w:rsidRPr="00325095">
        <w:t>“</w:t>
      </w:r>
      <w:r w:rsidRPr="00325095">
        <w:t>) průzkum</w:t>
      </w:r>
      <w:r w:rsidR="009F4E27" w:rsidRPr="00325095">
        <w:t xml:space="preserve"> v oblasti zaměstnávání osob se </w:t>
      </w:r>
      <w:r w:rsidRPr="00325095">
        <w:t xml:space="preserve">zdravotním postižením ve </w:t>
      </w:r>
      <w:r w:rsidR="00ED2977" w:rsidRPr="00325095">
        <w:t xml:space="preserve">státní </w:t>
      </w:r>
      <w:r w:rsidRPr="00325095">
        <w:t xml:space="preserve">správě. </w:t>
      </w:r>
      <w:r w:rsidR="000C5093">
        <w:t>P</w:t>
      </w:r>
      <w:r w:rsidR="000C5093" w:rsidRPr="00325095">
        <w:t xml:space="preserve">růzkumu </w:t>
      </w:r>
      <w:r w:rsidR="000C5093">
        <w:t xml:space="preserve">se </w:t>
      </w:r>
      <w:r w:rsidR="000C5093" w:rsidRPr="00325095">
        <w:t xml:space="preserve">zúčastnilo </w:t>
      </w:r>
      <w:r w:rsidR="000C5093">
        <w:t xml:space="preserve">celkem </w:t>
      </w:r>
      <w:r w:rsidR="000C5093" w:rsidRPr="00325095">
        <w:t>81 úřadů (Příloha č. 1), které poskytovaly data na přelomu roku 2018 a 2019.</w:t>
      </w:r>
    </w:p>
    <w:p w14:paraId="45D52509" w14:textId="685DD2FF" w:rsidR="001A6A4B" w:rsidRDefault="00381DA0" w:rsidP="00325095">
      <w:r w:rsidRPr="00325095">
        <w:t xml:space="preserve">Cílem </w:t>
      </w:r>
      <w:r w:rsidR="00F94C02">
        <w:t xml:space="preserve">průzkumu </w:t>
      </w:r>
      <w:r w:rsidRPr="00325095">
        <w:t>bylo zmapování zkušeností a zjištění aktuálního stavu v oblasti zaměstnávání osob se zdravotním postižením v jednotlivých ministerstvech, </w:t>
      </w:r>
      <w:r w:rsidR="006254C1" w:rsidRPr="00325095">
        <w:t xml:space="preserve">jejich </w:t>
      </w:r>
      <w:r w:rsidRPr="00325095">
        <w:t xml:space="preserve">vybraných organizačních složkách a dalších ústředních orgánech státní správy (dále jen „úřady“), a to </w:t>
      </w:r>
      <w:r w:rsidRPr="00325095">
        <w:lastRenderedPageBreak/>
        <w:t>ve služebním i</w:t>
      </w:r>
      <w:r w:rsidR="000C5093">
        <w:t> </w:t>
      </w:r>
      <w:r w:rsidRPr="00325095">
        <w:t>pracovním poměru</w:t>
      </w:r>
      <w:r w:rsidR="009F4E27" w:rsidRPr="00325095">
        <w:t xml:space="preserve"> a na základě dohod o pracích konaných mimo pracovní poměr</w:t>
      </w:r>
      <w:r w:rsidR="0063319E">
        <w:t xml:space="preserve"> </w:t>
      </w:r>
      <w:r w:rsidR="0063319E" w:rsidRPr="00427569">
        <w:t>(dále jen „dohody“)</w:t>
      </w:r>
      <w:r w:rsidRPr="00325095">
        <w:t>.</w:t>
      </w:r>
      <w:r w:rsidR="00ED2977" w:rsidRPr="00325095">
        <w:t xml:space="preserve"> </w:t>
      </w:r>
      <w:r w:rsidR="001A6A4B">
        <w:t xml:space="preserve">Pro účely určení povinného podílu zaměstnávání </w:t>
      </w:r>
      <w:r w:rsidR="00E30DA0">
        <w:t>osob se</w:t>
      </w:r>
      <w:r w:rsidR="00F94C02">
        <w:t> </w:t>
      </w:r>
      <w:r w:rsidR="00E30DA0">
        <w:t>zdravotním postižením</w:t>
      </w:r>
      <w:r w:rsidR="001A6A4B">
        <w:t xml:space="preserve"> se však zaměstnanci </w:t>
      </w:r>
      <w:r w:rsidR="000C5093">
        <w:t xml:space="preserve">pracující na základě dohod </w:t>
      </w:r>
      <w:r w:rsidR="001A6A4B">
        <w:t>nezapočítávají</w:t>
      </w:r>
      <w:r w:rsidR="001A6A4B">
        <w:rPr>
          <w:rStyle w:val="Znakapoznpodarou"/>
          <w:szCs w:val="22"/>
        </w:rPr>
        <w:footnoteReference w:id="2"/>
      </w:r>
      <w:r w:rsidR="001A6A4B">
        <w:t>, ne všechny úřady proto informace o</w:t>
      </w:r>
      <w:r w:rsidR="000C5093">
        <w:t> </w:t>
      </w:r>
      <w:r w:rsidR="001A6A4B">
        <w:t>počtu</w:t>
      </w:r>
      <w:r w:rsidR="00D14EA7">
        <w:t xml:space="preserve"> takto</w:t>
      </w:r>
      <w:r w:rsidR="001A6A4B">
        <w:t xml:space="preserve"> zaměstnaných </w:t>
      </w:r>
      <w:r w:rsidR="00E30DA0">
        <w:t xml:space="preserve">OZP </w:t>
      </w:r>
      <w:r w:rsidR="00D14EA7">
        <w:t xml:space="preserve">sledují a </w:t>
      </w:r>
      <w:r w:rsidR="001A6A4B">
        <w:t xml:space="preserve">evidují. </w:t>
      </w:r>
      <w:r w:rsidR="00AA641C">
        <w:t>P</w:t>
      </w:r>
      <w:r w:rsidR="001A6A4B">
        <w:t>ro</w:t>
      </w:r>
      <w:r w:rsidR="00F94C02">
        <w:t> </w:t>
      </w:r>
      <w:r w:rsidR="001A6A4B">
        <w:t xml:space="preserve">účely průzkumu </w:t>
      </w:r>
      <w:r w:rsidR="00AA641C">
        <w:t xml:space="preserve">tak nebylo možné </w:t>
      </w:r>
      <w:r w:rsidR="001A6A4B">
        <w:t>získat</w:t>
      </w:r>
      <w:r w:rsidR="00D14EA7">
        <w:t xml:space="preserve"> v </w:t>
      </w:r>
      <w:r w:rsidR="00912172">
        <w:t>t</w:t>
      </w:r>
      <w:r w:rsidR="00D14EA7">
        <w:t>éto oblasti</w:t>
      </w:r>
      <w:r w:rsidR="001A6A4B">
        <w:t xml:space="preserve"> </w:t>
      </w:r>
      <w:r w:rsidR="00AA641C">
        <w:t xml:space="preserve">relevantní údaje </w:t>
      </w:r>
      <w:r w:rsidR="00D14EA7">
        <w:t>a</w:t>
      </w:r>
      <w:r w:rsidR="00AA641C">
        <w:t xml:space="preserve"> </w:t>
      </w:r>
      <w:r w:rsidR="00D14EA7">
        <w:t>informace o</w:t>
      </w:r>
      <w:r w:rsidR="00F94C02">
        <w:t> </w:t>
      </w:r>
      <w:r w:rsidR="00D14EA7">
        <w:t>po</w:t>
      </w:r>
      <w:r w:rsidR="00912172">
        <w:t>č</w:t>
      </w:r>
      <w:r w:rsidR="00D14EA7">
        <w:t xml:space="preserve">tu osob se zdravotním postižením </w:t>
      </w:r>
      <w:r w:rsidR="00F94C02">
        <w:t xml:space="preserve">vykonávajících práci </w:t>
      </w:r>
      <w:r w:rsidR="00D14EA7">
        <w:t xml:space="preserve">na základě dohod </w:t>
      </w:r>
      <w:r w:rsidR="007806BA">
        <w:t xml:space="preserve">jsou </w:t>
      </w:r>
      <w:r w:rsidR="001A6A4B">
        <w:t>uváděny samostatně a nejsou zahrn</w:t>
      </w:r>
      <w:r w:rsidR="00DD174F">
        <w:t>ovány</w:t>
      </w:r>
      <w:r w:rsidR="001A6A4B">
        <w:t xml:space="preserve"> do</w:t>
      </w:r>
      <w:r w:rsidR="00D14EA7">
        <w:t> </w:t>
      </w:r>
      <w:r w:rsidR="001A6A4B">
        <w:t>celkových výsledků.</w:t>
      </w:r>
      <w:r w:rsidR="00AA641C">
        <w:t xml:space="preserve"> </w:t>
      </w:r>
    </w:p>
    <w:p w14:paraId="14ED88C4" w14:textId="7417F53E" w:rsidR="00381DA0" w:rsidRPr="00325095" w:rsidRDefault="00381DA0" w:rsidP="00325095">
      <w:r w:rsidRPr="00325095">
        <w:t>Průzkum byl realizován metodou šetření, jehož sou</w:t>
      </w:r>
      <w:r w:rsidR="00F93939" w:rsidRPr="00325095">
        <w:t>částí byla tabulka (Příloha č. 2</w:t>
      </w:r>
      <w:r w:rsidRPr="00325095">
        <w:t>) pro zaznamenání počtu zaměstnanců dle určených kritérií včetně rozdělení na počet žen a mužů a dotazník</w:t>
      </w:r>
      <w:r w:rsidR="00F93939" w:rsidRPr="00325095">
        <w:t xml:space="preserve"> (Příloha č. 3</w:t>
      </w:r>
      <w:r w:rsidRPr="00325095">
        <w:t xml:space="preserve">) zjišťující míru přístupnosti jednotlivých úřadů a jejich postoje k otázkám zaměstnávání OZP. </w:t>
      </w:r>
    </w:p>
    <w:p w14:paraId="77A4949A" w14:textId="77777777" w:rsidR="00381DA0" w:rsidRPr="00325095" w:rsidRDefault="006254C1" w:rsidP="00325095">
      <w:r w:rsidRPr="00325095">
        <w:t xml:space="preserve">Materiál </w:t>
      </w:r>
      <w:r w:rsidR="00ED2977" w:rsidRPr="00325095">
        <w:t xml:space="preserve">je rozdělen do </w:t>
      </w:r>
      <w:r w:rsidR="00F93939" w:rsidRPr="00325095">
        <w:t>šesti částí. První část obsahuje důvod a účel provedeného průzkumu, druhá část</w:t>
      </w:r>
      <w:r w:rsidR="00ED2977" w:rsidRPr="00325095">
        <w:t xml:space="preserve"> </w:t>
      </w:r>
      <w:r w:rsidR="00381DA0" w:rsidRPr="00325095">
        <w:t>stručně p</w:t>
      </w:r>
      <w:r w:rsidR="00F93939" w:rsidRPr="00325095">
        <w:t>opisuje</w:t>
      </w:r>
      <w:r w:rsidRPr="00325095">
        <w:t xml:space="preserve"> současnou právní úpravu</w:t>
      </w:r>
      <w:r w:rsidR="00381DA0" w:rsidRPr="00325095">
        <w:t xml:space="preserve"> </w:t>
      </w:r>
      <w:r w:rsidR="00143137" w:rsidRPr="00325095">
        <w:t>zaměstnávání osob se </w:t>
      </w:r>
      <w:r w:rsidR="00B30FAF" w:rsidRPr="00325095">
        <w:t xml:space="preserve">zdravotním postižením </w:t>
      </w:r>
      <w:r w:rsidR="00381DA0" w:rsidRPr="00325095">
        <w:t>v České republice</w:t>
      </w:r>
      <w:r w:rsidR="00ED2977" w:rsidRPr="00325095">
        <w:t xml:space="preserve">, </w:t>
      </w:r>
      <w:r w:rsidR="00F93939" w:rsidRPr="00325095">
        <w:t>třetí</w:t>
      </w:r>
      <w:r w:rsidR="00ED2977" w:rsidRPr="00325095">
        <w:t xml:space="preserve"> část o</w:t>
      </w:r>
      <w:r w:rsidR="00143137" w:rsidRPr="00325095">
        <w:t>bsahuje statistické informace o </w:t>
      </w:r>
      <w:r w:rsidR="00ED2977" w:rsidRPr="00325095">
        <w:t xml:space="preserve">počtu a struktuře </w:t>
      </w:r>
      <w:r w:rsidR="00F93939" w:rsidRPr="00325095">
        <w:t>osob se zdravotním postižením. Část čtvrtá</w:t>
      </w:r>
      <w:r w:rsidR="00381DA0" w:rsidRPr="00325095">
        <w:t xml:space="preserve"> </w:t>
      </w:r>
      <w:r w:rsidR="00F93939" w:rsidRPr="00325095">
        <w:t>a pátá</w:t>
      </w:r>
      <w:r w:rsidR="00ED2977" w:rsidRPr="00325095">
        <w:t xml:space="preserve"> </w:t>
      </w:r>
      <w:r w:rsidR="00F93939" w:rsidRPr="00325095">
        <w:t>obsahují</w:t>
      </w:r>
      <w:r w:rsidR="00381DA0" w:rsidRPr="00325095">
        <w:t xml:space="preserve"> zevrubnou analýzu v</w:t>
      </w:r>
      <w:r w:rsidR="00ED2977" w:rsidRPr="00325095">
        <w:t>ýsledků</w:t>
      </w:r>
      <w:r w:rsidR="00381DA0" w:rsidRPr="00325095">
        <w:t xml:space="preserve"> </w:t>
      </w:r>
      <w:r w:rsidR="00F93939" w:rsidRPr="00325095">
        <w:t>průzkumu</w:t>
      </w:r>
      <w:r w:rsidR="00ED2977" w:rsidRPr="00325095">
        <w:t>, a to jak tabulky, tak dotazníkového šetření</w:t>
      </w:r>
      <w:r w:rsidR="00381DA0" w:rsidRPr="00325095">
        <w:t>.</w:t>
      </w:r>
      <w:r w:rsidR="00ED2977" w:rsidRPr="00325095">
        <w:t xml:space="preserve"> </w:t>
      </w:r>
      <w:r w:rsidR="005E16BB" w:rsidRPr="00325095">
        <w:t>Šestá</w:t>
      </w:r>
      <w:r w:rsidR="00ED2977" w:rsidRPr="00325095">
        <w:t xml:space="preserve"> závěrečná část shrnuje nejdůležitější zjištění průzkumu.</w:t>
      </w:r>
    </w:p>
    <w:p w14:paraId="57D1B9A0" w14:textId="77777777" w:rsidR="00165441" w:rsidRDefault="00165441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32"/>
          <w:szCs w:val="28"/>
        </w:rPr>
      </w:pPr>
      <w:r>
        <w:br w:type="page"/>
      </w:r>
    </w:p>
    <w:p w14:paraId="7FE5CA22" w14:textId="22635572" w:rsidR="003558D4" w:rsidRPr="00667329" w:rsidRDefault="003558D4" w:rsidP="000F72AB">
      <w:pPr>
        <w:pStyle w:val="Nadpis1"/>
      </w:pPr>
      <w:bookmarkStart w:id="2" w:name="_Toc45513046"/>
      <w:r w:rsidRPr="00667329">
        <w:lastRenderedPageBreak/>
        <w:t>Zaměstnávání osob se zdravotním postižením</w:t>
      </w:r>
      <w:bookmarkEnd w:id="2"/>
    </w:p>
    <w:p w14:paraId="2D8873A9" w14:textId="77777777" w:rsidR="00EE50BC" w:rsidRPr="00F64F8B" w:rsidRDefault="00AD7229" w:rsidP="00325095">
      <w:r w:rsidRPr="00AD7229">
        <w:t>Pracovní uplatnění nepředstavuje pro osoby se zdravotním postižením pouze zdroj příjmu, je i jedním z nejdůležitějších nástrojů integrace a prevence sociálního vyloučení. Vzhledem k tomu, že tyto osoby patří na trhu práce mezi nejzranitelně</w:t>
      </w:r>
      <w:r w:rsidR="008907AC">
        <w:t>jší skupinu, Česká republika od </w:t>
      </w:r>
      <w:r w:rsidRPr="00AD7229">
        <w:t>90. let podporuje integraci OZP na trh práce, čímž dochází i k naplň</w:t>
      </w:r>
      <w:r w:rsidR="008907AC">
        <w:t xml:space="preserve">ování mezinárodních závazků a </w:t>
      </w:r>
      <w:r w:rsidRPr="00AD7229">
        <w:t>politiky Evropské unie v oblasti zaměstnanosti směřující k podpoře jedince znevýhodněného na trhu práce.</w:t>
      </w:r>
      <w:bookmarkStart w:id="3" w:name="_Toc40198723"/>
    </w:p>
    <w:p w14:paraId="66C9F73B" w14:textId="77777777" w:rsidR="003558D4" w:rsidRPr="005C63A5" w:rsidRDefault="003558D4" w:rsidP="009B209E">
      <w:pPr>
        <w:pStyle w:val="Nadpis2"/>
        <w:rPr>
          <w:color w:val="76923C" w:themeColor="accent3" w:themeShade="BF"/>
        </w:rPr>
      </w:pPr>
      <w:bookmarkStart w:id="4" w:name="_Toc45513047"/>
      <w:r w:rsidRPr="005C63A5">
        <w:rPr>
          <w:color w:val="76923C" w:themeColor="accent3" w:themeShade="BF"/>
        </w:rPr>
        <w:t>Osoby se zdravotním postižením</w:t>
      </w:r>
      <w:bookmarkEnd w:id="4"/>
    </w:p>
    <w:p w14:paraId="6D1E6E4B" w14:textId="77777777" w:rsidR="00AD7229" w:rsidRDefault="00AD7229" w:rsidP="00325095">
      <w:pPr>
        <w:rPr>
          <w:rFonts w:eastAsiaTheme="minorHAnsi"/>
          <w:lang w:eastAsia="en-US"/>
        </w:rPr>
      </w:pPr>
      <w:r w:rsidRPr="00B30FAF">
        <w:rPr>
          <w:rFonts w:eastAsiaTheme="minorHAnsi"/>
          <w:lang w:eastAsia="en-US"/>
        </w:rPr>
        <w:t xml:space="preserve">Osobou se zdravotním postižením je dle ustanovení § 67 </w:t>
      </w:r>
      <w:r w:rsidR="00143137">
        <w:t>zákona č. 435/2004 Sb., o </w:t>
      </w:r>
      <w:r w:rsidRPr="003A38F4">
        <w:t>zaměstnanosti, ve znění pozdějších předpisů</w:t>
      </w:r>
      <w:r w:rsidR="00506E55">
        <w:t>,</w:t>
      </w:r>
      <w:r w:rsidRPr="003A38F4">
        <w:t xml:space="preserve"> (dál</w:t>
      </w:r>
      <w:r>
        <w:t xml:space="preserve">e jen „zákon o zaměstnanosti“) </w:t>
      </w:r>
      <w:r w:rsidRPr="00B30FAF">
        <w:rPr>
          <w:rFonts w:eastAsiaTheme="minorHAnsi"/>
          <w:lang w:eastAsia="en-US"/>
        </w:rPr>
        <w:t>fyzická osoba, která je orgánem sociálního zabezpečení uznána invalidní ve třetím, druhém nebo prvním stupni nebo</w:t>
      </w:r>
      <w:r w:rsidR="00E62D15">
        <w:rPr>
          <w:rFonts w:eastAsiaTheme="minorHAnsi"/>
          <w:lang w:eastAsia="en-US"/>
        </w:rPr>
        <w:t xml:space="preserve"> </w:t>
      </w:r>
      <w:r w:rsidR="006E238F">
        <w:rPr>
          <w:rFonts w:eastAsiaTheme="minorHAnsi"/>
          <w:lang w:eastAsia="en-US"/>
        </w:rPr>
        <w:t xml:space="preserve">je </w:t>
      </w:r>
      <w:r w:rsidR="00E62D15">
        <w:rPr>
          <w:rFonts w:eastAsiaTheme="minorHAnsi"/>
          <w:lang w:eastAsia="en-US"/>
        </w:rPr>
        <w:t>osobou</w:t>
      </w:r>
      <w:r w:rsidRPr="00B30FAF">
        <w:rPr>
          <w:rFonts w:eastAsiaTheme="minorHAnsi"/>
          <w:lang w:eastAsia="en-US"/>
        </w:rPr>
        <w:t xml:space="preserve"> zdravotně znevýhodněnou. Osoby zdravotně znevýhodněné jsou specifickou skupinou osob se zdravotním postižením, jejichž dlouhodobě nepříznivý zdravotní stav jim omezuje schopnost pracovního uplatnění. </w:t>
      </w:r>
    </w:p>
    <w:p w14:paraId="437A279C" w14:textId="77777777" w:rsidR="003558D4" w:rsidRPr="006E11D9" w:rsidRDefault="003558D4" w:rsidP="009B209E">
      <w:pPr>
        <w:pStyle w:val="Nadpis2"/>
        <w:rPr>
          <w:color w:val="76923C" w:themeColor="accent3" w:themeShade="BF"/>
        </w:rPr>
      </w:pPr>
      <w:bookmarkStart w:id="5" w:name="_Toc45513048"/>
      <w:bookmarkEnd w:id="3"/>
      <w:r w:rsidRPr="006E11D9">
        <w:rPr>
          <w:color w:val="76923C" w:themeColor="accent3" w:themeShade="BF"/>
        </w:rPr>
        <w:t>Podpora zaměstnávání osob se zdravotním postižením</w:t>
      </w:r>
      <w:bookmarkEnd w:id="5"/>
    </w:p>
    <w:p w14:paraId="404E68F5" w14:textId="77777777" w:rsidR="00381DA0" w:rsidRPr="00624BA9" w:rsidRDefault="00381DA0" w:rsidP="00325095">
      <w:r w:rsidRPr="00624BA9">
        <w:rPr>
          <w:iCs/>
        </w:rPr>
        <w:t>Státní</w:t>
      </w:r>
      <w:r w:rsidRPr="00624BA9">
        <w:t xml:space="preserve"> politika zaměstnanosti jako hlavní nástroj státní podpory zaměstnanosti OZP je uplatňována c</w:t>
      </w:r>
      <w:r w:rsidR="00435434" w:rsidRPr="00624BA9">
        <w:t>elou řadou podpůrných nástrojů, např. podporou</w:t>
      </w:r>
      <w:r w:rsidRPr="00624BA9">
        <w:t xml:space="preserve"> konkrétních programů, poskytováním informací fyzickým osobám</w:t>
      </w:r>
      <w:r w:rsidR="00435434" w:rsidRPr="00624BA9">
        <w:t xml:space="preserve"> i zaměstnavatelům, podporou</w:t>
      </w:r>
      <w:r w:rsidRPr="00624BA9">
        <w:t xml:space="preserve"> rekvalifikace, zřizováním školících a poradenských středisek a zejména pak opatřeními obsaženými v části třetí zákona o zaměstnanosti</w:t>
      </w:r>
      <w:r w:rsidR="00AD7229" w:rsidRPr="00624BA9">
        <w:t xml:space="preserve">, </w:t>
      </w:r>
      <w:r w:rsidRPr="00624BA9">
        <w:t xml:space="preserve">která upravuje zaměstnávání osob se zdravotním postižením. </w:t>
      </w:r>
    </w:p>
    <w:p w14:paraId="1B1D5E51" w14:textId="77777777" w:rsidR="00381DA0" w:rsidRDefault="00381DA0" w:rsidP="00325095">
      <w:r w:rsidRPr="003A38F4">
        <w:t>V rámci aktivní politiky zaměstnanosti jsou podporovány oba základní trendy zaměstnávání OZP – chráněný trh práce i volný trh práce. Prostřednictvím chráněného trhu práce jsou formou příspěvků podporováni specializovaní zaměstnavatelé, kteří zaměstnávají více než 50</w:t>
      </w:r>
      <w:r w:rsidR="00F575A5">
        <w:t xml:space="preserve"> %</w:t>
      </w:r>
      <w:r w:rsidRPr="003A38F4">
        <w:t xml:space="preserve"> OZP. Zákon o zaměstnanosti počítá s finanční podporou i pro ostatní zaměstnavatele, kte</w:t>
      </w:r>
      <w:r w:rsidR="00624BA9">
        <w:t>ří se rozhodnou OZP zaměstnat.</w:t>
      </w:r>
    </w:p>
    <w:p w14:paraId="50B7FEB3" w14:textId="77777777" w:rsidR="00624BA9" w:rsidRPr="006E11D9" w:rsidRDefault="00624BA9" w:rsidP="009B209E">
      <w:pPr>
        <w:pStyle w:val="Nadpis2"/>
        <w:rPr>
          <w:color w:val="76923C" w:themeColor="accent3" w:themeShade="BF"/>
        </w:rPr>
      </w:pPr>
      <w:bookmarkStart w:id="6" w:name="_Toc45513049"/>
      <w:r w:rsidRPr="006E11D9">
        <w:rPr>
          <w:color w:val="76923C" w:themeColor="accent3" w:themeShade="BF"/>
        </w:rPr>
        <w:t>Povinnosti zaměstnavatelů osob se zdravotním postižením</w:t>
      </w:r>
      <w:bookmarkEnd w:id="6"/>
    </w:p>
    <w:p w14:paraId="3DB2F87D" w14:textId="77777777" w:rsidR="00860AC8" w:rsidRDefault="00381DA0" w:rsidP="00325095">
      <w:r w:rsidRPr="003A38F4">
        <w:rPr>
          <w:rFonts w:eastAsiaTheme="minorHAnsi"/>
          <w:lang w:eastAsia="en-US"/>
        </w:rPr>
        <w:t>Vedle pozitivně motivačních opatření zákon o zaměstnanosti obsahuje také okruh</w:t>
      </w:r>
      <w:r w:rsidRPr="003A38F4">
        <w:t xml:space="preserve"> </w:t>
      </w:r>
      <w:r w:rsidRPr="00AD7229">
        <w:t>povinností, které platí při zaměstnávání OZP pro všechny zaměstnavatele, s výjimkou ozbrojených složek.</w:t>
      </w:r>
      <w:r w:rsidR="00B30FAF" w:rsidRPr="00AD7229">
        <w:t xml:space="preserve"> </w:t>
      </w:r>
    </w:p>
    <w:p w14:paraId="15F396A0" w14:textId="77777777" w:rsidR="00860AC8" w:rsidRPr="00AD7229" w:rsidRDefault="00860AC8" w:rsidP="00325095">
      <w:pPr>
        <w:rPr>
          <w:rFonts w:eastAsiaTheme="minorHAnsi"/>
          <w:lang w:eastAsia="en-US"/>
        </w:rPr>
      </w:pPr>
      <w:r w:rsidRPr="00B30FAF">
        <w:rPr>
          <w:rFonts w:eastAsiaTheme="minorHAnsi"/>
          <w:lang w:eastAsia="en-US"/>
        </w:rPr>
        <w:lastRenderedPageBreak/>
        <w:t>Pro plnění povinného podílu zaměstnávání</w:t>
      </w:r>
      <w:r>
        <w:rPr>
          <w:rFonts w:eastAsiaTheme="minorHAnsi"/>
          <w:lang w:eastAsia="en-US"/>
        </w:rPr>
        <w:t xml:space="preserve"> o</w:t>
      </w:r>
      <w:r w:rsidR="00143137">
        <w:rPr>
          <w:rFonts w:eastAsiaTheme="minorHAnsi"/>
          <w:lang w:eastAsia="en-US"/>
        </w:rPr>
        <w:t>sob se zdravotním postižením je </w:t>
      </w:r>
      <w:r w:rsidRPr="00B30FAF">
        <w:rPr>
          <w:rFonts w:eastAsiaTheme="minorHAnsi"/>
          <w:lang w:eastAsia="en-US"/>
        </w:rPr>
        <w:t xml:space="preserve">zaměstnavatel </w:t>
      </w:r>
      <w:r w:rsidRPr="00AD7229">
        <w:t xml:space="preserve">s více než 25 zaměstnanci v pracovním poměru </w:t>
      </w:r>
      <w:r>
        <w:t xml:space="preserve">povinen </w:t>
      </w:r>
      <w:r>
        <w:rPr>
          <w:rFonts w:eastAsiaTheme="minorHAnsi"/>
          <w:lang w:eastAsia="en-US"/>
        </w:rPr>
        <w:t xml:space="preserve">zaměstnávat </w:t>
      </w:r>
      <w:r w:rsidRPr="00B30FAF">
        <w:rPr>
          <w:rFonts w:eastAsiaTheme="minorHAnsi"/>
          <w:lang w:eastAsia="en-US"/>
        </w:rPr>
        <w:t>4</w:t>
      </w:r>
      <w:r w:rsidR="006507C7">
        <w:rPr>
          <w:rFonts w:eastAsiaTheme="minorHAnsi"/>
          <w:lang w:eastAsia="en-US"/>
        </w:rPr>
        <w:t xml:space="preserve"> </w:t>
      </w:r>
      <w:r w:rsidR="00ED4869">
        <w:rPr>
          <w:rFonts w:eastAsiaTheme="minorHAnsi"/>
          <w:lang w:eastAsia="en-US"/>
        </w:rPr>
        <w:t>% osob se </w:t>
      </w:r>
      <w:r w:rsidRPr="00B30FAF">
        <w:rPr>
          <w:rFonts w:eastAsiaTheme="minorHAnsi"/>
          <w:lang w:eastAsia="en-US"/>
        </w:rPr>
        <w:t xml:space="preserve">zdravotním znevýhodněním nebo se zdravotním postižením v prvním, druhém nebo třetím stupni invalidity. </w:t>
      </w:r>
    </w:p>
    <w:p w14:paraId="3CE628FB" w14:textId="77777777" w:rsidR="00381DA0" w:rsidRPr="003F4933" w:rsidRDefault="00B30FAF" w:rsidP="00325095">
      <w:r w:rsidRPr="00AD7229">
        <w:t xml:space="preserve">Osoby se zdravotním postižením </w:t>
      </w:r>
      <w:r w:rsidR="00860AC8" w:rsidRPr="00AD7229">
        <w:t xml:space="preserve">ve 3. stupni invalidity </w:t>
      </w:r>
      <w:r w:rsidR="00AD7229" w:rsidRPr="00AD7229">
        <w:t>se dle vyhlášky č. 518/2004 Sb., kterou se provádí zákon č. 435/2004 Sb.,</w:t>
      </w:r>
      <w:r w:rsidR="004B1B1F">
        <w:t xml:space="preserve"> </w:t>
      </w:r>
      <w:r w:rsidR="00AD7229" w:rsidRPr="003F4933">
        <w:t>o zaměstnanosti</w:t>
      </w:r>
      <w:r w:rsidR="003F4933">
        <w:t xml:space="preserve">, </w:t>
      </w:r>
      <w:r w:rsidR="006E238F">
        <w:t xml:space="preserve">ve znění pozdějších předpisů, </w:t>
      </w:r>
      <w:r w:rsidRPr="003F4933">
        <w:t>započítávají při výpočtu povinného podílu 3x.</w:t>
      </w:r>
    </w:p>
    <w:p w14:paraId="64BEE924" w14:textId="77777777" w:rsidR="00381DA0" w:rsidRPr="006E238F" w:rsidRDefault="00381DA0" w:rsidP="00325095">
      <w:pPr>
        <w:rPr>
          <w:rFonts w:eastAsiaTheme="minorHAnsi"/>
          <w:lang w:eastAsia="en-US"/>
        </w:rPr>
      </w:pPr>
      <w:r w:rsidRPr="003A38F4">
        <w:rPr>
          <w:rFonts w:eastAsiaTheme="minorHAnsi"/>
          <w:lang w:eastAsia="en-US"/>
        </w:rPr>
        <w:t>Povinný podíl zaměstnavatelé plní</w:t>
      </w:r>
      <w:r w:rsidR="006E238F">
        <w:rPr>
          <w:rFonts w:eastAsiaTheme="minorHAnsi"/>
          <w:lang w:eastAsia="en-US"/>
        </w:rPr>
        <w:t>:</w:t>
      </w:r>
    </w:p>
    <w:p w14:paraId="0B03009E" w14:textId="77777777" w:rsidR="006E238F" w:rsidRPr="006E238F" w:rsidRDefault="006E238F" w:rsidP="00427569">
      <w:pPr>
        <w:pStyle w:val="Odstavecseseznamem"/>
        <w:numPr>
          <w:ilvl w:val="0"/>
          <w:numId w:val="36"/>
        </w:numPr>
      </w:pPr>
      <w:r w:rsidRPr="00325095">
        <w:rPr>
          <w:rFonts w:eastAsiaTheme="minorHAnsi"/>
          <w:lang w:eastAsia="en-US"/>
        </w:rPr>
        <w:t xml:space="preserve">přímo prostřednictvím </w:t>
      </w:r>
      <w:r w:rsidRPr="00325095">
        <w:rPr>
          <w:rFonts w:eastAsiaTheme="minorHAnsi"/>
        </w:rPr>
        <w:t>zaměstnávání osob se zdravotním postižením,</w:t>
      </w:r>
    </w:p>
    <w:p w14:paraId="0D3B6E84" w14:textId="77777777" w:rsidR="00381DA0" w:rsidRPr="003A38F4" w:rsidRDefault="00381DA0" w:rsidP="00427569">
      <w:pPr>
        <w:pStyle w:val="Odstavecseseznamem"/>
        <w:numPr>
          <w:ilvl w:val="0"/>
          <w:numId w:val="36"/>
        </w:numPr>
      </w:pPr>
      <w:r w:rsidRPr="00325095">
        <w:rPr>
          <w:rFonts w:eastAsiaTheme="minorHAnsi"/>
        </w:rPr>
        <w:t xml:space="preserve">odebíráním výrobků nebo služeb od zaměstnavatelů, se kterými úřad práce uzavřel dohodu o uznání zaměstnavatele, nebo zadáváním zakázek těmto zaměstnavatelům nebo odebíráním výrobků nebo služeb od osob se zdravotním postižením, které jsou osobami samostatně výdělečně činnými a nezaměstnávají žádné zaměstnance, nebo zadáváním zakázek těmto osobám (tzv. náhradní plnění), </w:t>
      </w:r>
    </w:p>
    <w:p w14:paraId="3C0B6B83" w14:textId="77777777" w:rsidR="00381DA0" w:rsidRPr="003A38F4" w:rsidRDefault="00381DA0" w:rsidP="00427569">
      <w:pPr>
        <w:pStyle w:val="Odstavecseseznamem"/>
        <w:numPr>
          <w:ilvl w:val="0"/>
          <w:numId w:val="36"/>
        </w:numPr>
      </w:pPr>
      <w:r w:rsidRPr="00325095">
        <w:rPr>
          <w:rFonts w:eastAsiaTheme="minorHAnsi"/>
        </w:rPr>
        <w:t xml:space="preserve">odvodem do státního rozpočtu nebo </w:t>
      </w:r>
    </w:p>
    <w:p w14:paraId="1D2844DA" w14:textId="77777777" w:rsidR="00381DA0" w:rsidRPr="003A38F4" w:rsidRDefault="00381DA0" w:rsidP="00427569">
      <w:pPr>
        <w:pStyle w:val="Odstavecseseznamem"/>
        <w:numPr>
          <w:ilvl w:val="0"/>
          <w:numId w:val="36"/>
        </w:numPr>
      </w:pPr>
      <w:r w:rsidRPr="00325095">
        <w:rPr>
          <w:rFonts w:eastAsiaTheme="minorHAnsi"/>
        </w:rPr>
        <w:t>vzájemnou kombinací třech výše uvedených způsobů.</w:t>
      </w:r>
    </w:p>
    <w:p w14:paraId="1421A2BC" w14:textId="06DC18F1" w:rsidR="00FC03F4" w:rsidRDefault="00381DA0" w:rsidP="00165441">
      <w:pPr>
        <w:rPr>
          <w:rFonts w:eastAsiaTheme="minorHAnsi"/>
          <w:lang w:eastAsia="en-US"/>
        </w:rPr>
      </w:pPr>
      <w:r w:rsidRPr="003A38F4">
        <w:rPr>
          <w:rFonts w:eastAsiaTheme="minorHAnsi"/>
          <w:lang w:eastAsia="en-US"/>
        </w:rPr>
        <w:t xml:space="preserve">Výše odvodu do státního rozpočtu činí za každou osobu se zdravotním postižením, kterou by zaměstnavatel měl zaměstnat, 2,5násobek průměrné měsíční mzdy v národním hospodářství za první až třetí čtvrtletí kalendářního roku, v němž povinnost plnit povinný podíl osob se zdravotním postižením vznikla. </w:t>
      </w:r>
    </w:p>
    <w:p w14:paraId="696CB55A" w14:textId="77777777" w:rsidR="00381DA0" w:rsidRPr="003A38F4" w:rsidRDefault="00381DA0" w:rsidP="00325095">
      <w:pPr>
        <w:rPr>
          <w:rFonts w:eastAsiaTheme="minorHAnsi"/>
        </w:rPr>
      </w:pPr>
      <w:r w:rsidRPr="003A38F4">
        <w:rPr>
          <w:rFonts w:eastAsiaTheme="minorHAnsi"/>
          <w:lang w:eastAsia="en-US"/>
        </w:rPr>
        <w:t xml:space="preserve">Zaměstnavatelé jsou </w:t>
      </w:r>
      <w:r w:rsidRPr="003A38F4">
        <w:t xml:space="preserve">dále </w:t>
      </w:r>
      <w:r>
        <w:rPr>
          <w:rFonts w:eastAsiaTheme="minorHAnsi"/>
          <w:lang w:eastAsia="en-US"/>
        </w:rPr>
        <w:t>povinni:</w:t>
      </w:r>
    </w:p>
    <w:p w14:paraId="0A761A3C" w14:textId="77777777" w:rsidR="00325095" w:rsidRDefault="00381DA0" w:rsidP="00427569">
      <w:pPr>
        <w:pStyle w:val="Odstavecseseznamem"/>
        <w:numPr>
          <w:ilvl w:val="0"/>
          <w:numId w:val="37"/>
        </w:numPr>
        <w:rPr>
          <w:rFonts w:eastAsiaTheme="minorHAnsi"/>
          <w:lang w:eastAsia="en-US"/>
        </w:rPr>
      </w:pPr>
      <w:r w:rsidRPr="00325095">
        <w:rPr>
          <w:rFonts w:eastAsiaTheme="minorHAnsi"/>
          <w:lang w:eastAsia="en-US"/>
        </w:rPr>
        <w:t>rozšiřovat podle svých podmínek a ve spolupráci s lékařem závodní preventivní péče možnost zaměstnávání osob se zdravotním postižením individuálním přizpůsobováním pracovních míst a pracovních podmínek a vyhrazováním pracovních míst pro osoby se zdravotním postižením,</w:t>
      </w:r>
    </w:p>
    <w:p w14:paraId="6FD92FC8" w14:textId="77777777" w:rsidR="00381DA0" w:rsidRPr="00325095" w:rsidRDefault="00381DA0" w:rsidP="00427569">
      <w:pPr>
        <w:pStyle w:val="Odstavecseseznamem"/>
        <w:numPr>
          <w:ilvl w:val="0"/>
          <w:numId w:val="37"/>
        </w:numPr>
        <w:rPr>
          <w:rFonts w:eastAsiaTheme="minorHAnsi"/>
          <w:lang w:eastAsia="en-US"/>
        </w:rPr>
      </w:pPr>
      <w:r w:rsidRPr="00325095">
        <w:rPr>
          <w:rFonts w:eastAsiaTheme="minorHAnsi"/>
          <w:lang w:eastAsia="en-US"/>
        </w:rPr>
        <w:t>spolupracovat s krajskou pobočkou Úřadu práce při zajišťování pracovní rehabilitace,</w:t>
      </w:r>
    </w:p>
    <w:p w14:paraId="7A0B1080" w14:textId="77777777" w:rsidR="00381DA0" w:rsidRPr="00325095" w:rsidRDefault="00381DA0" w:rsidP="00427569">
      <w:pPr>
        <w:pStyle w:val="Odstavecseseznamem"/>
        <w:numPr>
          <w:ilvl w:val="0"/>
          <w:numId w:val="37"/>
        </w:numPr>
        <w:rPr>
          <w:rFonts w:eastAsiaTheme="minorHAnsi"/>
          <w:lang w:eastAsia="en-US"/>
        </w:rPr>
      </w:pPr>
      <w:r w:rsidRPr="00325095">
        <w:rPr>
          <w:rFonts w:eastAsiaTheme="minorHAnsi"/>
          <w:lang w:eastAsia="en-US"/>
        </w:rPr>
        <w:t xml:space="preserve">vést evidenci zaměstnávaných osob se zdravotním postižením, </w:t>
      </w:r>
    </w:p>
    <w:p w14:paraId="158500A7" w14:textId="77777777" w:rsidR="00381DA0" w:rsidRPr="00325095" w:rsidRDefault="00381DA0" w:rsidP="00427569">
      <w:pPr>
        <w:pStyle w:val="Odstavecseseznamem"/>
        <w:numPr>
          <w:ilvl w:val="0"/>
          <w:numId w:val="37"/>
        </w:numPr>
        <w:rPr>
          <w:rFonts w:eastAsiaTheme="minorHAnsi"/>
          <w:lang w:eastAsia="en-US"/>
        </w:rPr>
      </w:pPr>
      <w:r w:rsidRPr="00325095">
        <w:rPr>
          <w:rFonts w:eastAsiaTheme="minorHAnsi"/>
          <w:lang w:eastAsia="en-US"/>
        </w:rPr>
        <w:t>vést evidenci pracovních míst vyhrazených pro osoby se zdravotním postižením.</w:t>
      </w:r>
    </w:p>
    <w:p w14:paraId="4DCF60FE" w14:textId="77777777" w:rsidR="00522D18" w:rsidRDefault="00522D18">
      <w:pPr>
        <w:spacing w:before="0" w:after="200" w:line="276" w:lineRule="auto"/>
        <w:jc w:val="left"/>
        <w:rPr>
          <w:rFonts w:asciiTheme="majorHAnsi" w:eastAsiaTheme="minorHAnsi" w:hAnsiTheme="majorHAnsi"/>
          <w:b/>
          <w:bCs/>
          <w:color w:val="76923C" w:themeColor="accent3" w:themeShade="BF"/>
          <w:sz w:val="26"/>
          <w:szCs w:val="22"/>
          <w:lang w:eastAsia="en-US"/>
        </w:rPr>
      </w:pPr>
      <w:r>
        <w:br w:type="page"/>
      </w:r>
    </w:p>
    <w:p w14:paraId="2A76CDC7" w14:textId="499E0269" w:rsidR="00624BA9" w:rsidRPr="006E11D9" w:rsidRDefault="00624BA9" w:rsidP="009B209E">
      <w:pPr>
        <w:pStyle w:val="Nadpis2"/>
        <w:rPr>
          <w:color w:val="76923C" w:themeColor="accent3" w:themeShade="BF"/>
        </w:rPr>
      </w:pPr>
      <w:bookmarkStart w:id="7" w:name="_Toc45513050"/>
      <w:r w:rsidRPr="006E11D9">
        <w:rPr>
          <w:color w:val="76923C" w:themeColor="accent3" w:themeShade="BF"/>
        </w:rPr>
        <w:lastRenderedPageBreak/>
        <w:t>Problémy při zaměstnávání osob se zdravotním postižením</w:t>
      </w:r>
      <w:bookmarkEnd w:id="7"/>
    </w:p>
    <w:p w14:paraId="2AC10D3B" w14:textId="77777777" w:rsidR="00381DA0" w:rsidRPr="00BD7BB6" w:rsidRDefault="002E5FFC" w:rsidP="0032509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 přes přijímaná opatření a výraznou</w:t>
      </w:r>
      <w:r w:rsidRPr="00BD7BB6">
        <w:rPr>
          <w:rFonts w:eastAsiaTheme="minorHAnsi"/>
          <w:lang w:eastAsia="en-US"/>
        </w:rPr>
        <w:t xml:space="preserve"> finanční podpo</w:t>
      </w:r>
      <w:r w:rsidR="00422D4C">
        <w:rPr>
          <w:rFonts w:eastAsiaTheme="minorHAnsi"/>
          <w:lang w:eastAsia="en-US"/>
        </w:rPr>
        <w:t>ru zaměstnavatelů (především na </w:t>
      </w:r>
      <w:r w:rsidRPr="00BD7BB6">
        <w:rPr>
          <w:rFonts w:eastAsiaTheme="minorHAnsi"/>
          <w:lang w:eastAsia="en-US"/>
        </w:rPr>
        <w:t>chráněném trhu</w:t>
      </w:r>
      <w:r>
        <w:rPr>
          <w:rFonts w:eastAsiaTheme="minorHAnsi"/>
          <w:lang w:eastAsia="en-US"/>
        </w:rPr>
        <w:t xml:space="preserve"> práce</w:t>
      </w:r>
      <w:r w:rsidRPr="00BD7BB6">
        <w:rPr>
          <w:rFonts w:eastAsiaTheme="minorHAnsi"/>
          <w:lang w:eastAsia="en-US"/>
        </w:rPr>
        <w:t>)</w:t>
      </w:r>
      <w:r w:rsidR="00381DA0" w:rsidRPr="00BD7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se již míra</w:t>
      </w:r>
      <w:r w:rsidR="00381DA0" w:rsidRPr="00BD7BB6">
        <w:rPr>
          <w:rFonts w:eastAsiaTheme="minorHAnsi"/>
          <w:lang w:eastAsia="en-US"/>
        </w:rPr>
        <w:t xml:space="preserve"> zaměstnanost</w:t>
      </w:r>
      <w:r>
        <w:rPr>
          <w:rFonts w:eastAsiaTheme="minorHAnsi"/>
          <w:lang w:eastAsia="en-US"/>
        </w:rPr>
        <w:t>i osob se zdravotním postižením výrazněji nezvyšuje</w:t>
      </w:r>
      <w:r w:rsidR="00381DA0" w:rsidRPr="00BD7BB6">
        <w:rPr>
          <w:rFonts w:eastAsiaTheme="minorHAnsi"/>
          <w:lang w:eastAsia="en-US"/>
        </w:rPr>
        <w:t>. Zaměstnávání osob se zdravotním postižením je přitom typickým projevem společensky odpovědného chování.</w:t>
      </w:r>
    </w:p>
    <w:p w14:paraId="4B256447" w14:textId="77777777" w:rsidR="00381DA0" w:rsidRPr="00BD7BB6" w:rsidRDefault="00327953" w:rsidP="00325095">
      <w:r>
        <w:t xml:space="preserve">Problémem je zejména </w:t>
      </w:r>
      <w:r w:rsidR="00381DA0" w:rsidRPr="00BD7BB6">
        <w:t>nedostatek veřejně známých příkladů dobré praxe, rezignace části o</w:t>
      </w:r>
      <w:r>
        <w:t>sob</w:t>
      </w:r>
      <w:r w:rsidR="00381DA0" w:rsidRPr="00BD7BB6">
        <w:t xml:space="preserve"> se zdravotním postižením na možnost pracovního uplatnění a na osobní a profesní rozvoj, nedůvěra zaměstnavatelů v možnost využití potenciálu OZP jako zdroje pracovních sil. Nepřímým důsledkem je i růst veřejných výdajů na plošně působící nástroje podpory.</w:t>
      </w:r>
    </w:p>
    <w:p w14:paraId="7484DB72" w14:textId="77777777" w:rsidR="00381DA0" w:rsidRPr="00BD7BB6" w:rsidRDefault="00381DA0" w:rsidP="00325095">
      <w:pPr>
        <w:rPr>
          <w:rFonts w:eastAsiaTheme="minorHAnsi"/>
          <w:lang w:eastAsia="en-US"/>
        </w:rPr>
      </w:pPr>
      <w:r w:rsidRPr="00BD7BB6">
        <w:rPr>
          <w:rFonts w:eastAsiaTheme="minorHAnsi"/>
          <w:lang w:eastAsia="en-US"/>
        </w:rPr>
        <w:t>Zákonem nastavená liberální úprava možností plnění povinného podílu při zaměstnávání OZP není pro zaměstnavatele dostatečně motivační k</w:t>
      </w:r>
      <w:r w:rsidR="005E1CC0">
        <w:rPr>
          <w:rFonts w:eastAsiaTheme="minorHAnsi"/>
          <w:lang w:eastAsia="en-US"/>
        </w:rPr>
        <w:t> jejich přímému zaměstnávání</w:t>
      </w:r>
      <w:r w:rsidRPr="00BD7BB6">
        <w:rPr>
          <w:rFonts w:eastAsiaTheme="minorHAnsi"/>
          <w:lang w:eastAsia="en-US"/>
        </w:rPr>
        <w:t xml:space="preserve">, raději využívají ostatní zákonem stanovené náhradní způsoby. Z praxe vyplývá, že OZP schopné </w:t>
      </w:r>
      <w:r w:rsidR="00422D4C">
        <w:rPr>
          <w:rFonts w:eastAsiaTheme="minorHAnsi"/>
          <w:lang w:eastAsia="en-US"/>
        </w:rPr>
        <w:t>a </w:t>
      </w:r>
      <w:r w:rsidRPr="00BD7BB6">
        <w:rPr>
          <w:rFonts w:eastAsiaTheme="minorHAnsi"/>
          <w:lang w:eastAsia="en-US"/>
        </w:rPr>
        <w:t xml:space="preserve">ochotné pracovat na volném trhu </w:t>
      </w:r>
      <w:r w:rsidR="004D2619">
        <w:rPr>
          <w:rFonts w:eastAsiaTheme="minorHAnsi"/>
          <w:lang w:eastAsia="en-US"/>
        </w:rPr>
        <w:t xml:space="preserve">často </w:t>
      </w:r>
      <w:r w:rsidRPr="00BD7BB6">
        <w:rPr>
          <w:rFonts w:eastAsiaTheme="minorHAnsi"/>
          <w:lang w:eastAsia="en-US"/>
        </w:rPr>
        <w:t xml:space="preserve">mohou </w:t>
      </w:r>
      <w:r w:rsidR="004D2619">
        <w:rPr>
          <w:rFonts w:eastAsiaTheme="minorHAnsi"/>
          <w:lang w:eastAsia="en-US"/>
        </w:rPr>
        <w:t xml:space="preserve">jen velice obtížně </w:t>
      </w:r>
      <w:r w:rsidRPr="00BD7BB6">
        <w:rPr>
          <w:rFonts w:eastAsiaTheme="minorHAnsi"/>
          <w:lang w:eastAsia="en-US"/>
        </w:rPr>
        <w:t xml:space="preserve">nalézt odpovídající pracovní uplatnění. </w:t>
      </w:r>
    </w:p>
    <w:p w14:paraId="27E39495" w14:textId="77777777" w:rsidR="00381DA0" w:rsidRDefault="00381DA0" w:rsidP="00325095">
      <w:r w:rsidRPr="004670D9">
        <w:t>Z</w:t>
      </w:r>
      <w:r w:rsidR="00CE2037" w:rsidRPr="004670D9">
        <w:t xml:space="preserve">e Zprávy o plnění Národního plánu podpory rovných příležitostí pro </w:t>
      </w:r>
      <w:r w:rsidR="004670D9">
        <w:t>osoby se zdravotním postižením</w:t>
      </w:r>
      <w:r w:rsidR="0050223F">
        <w:t xml:space="preserve"> na rok 2015</w:t>
      </w:r>
      <w:r w:rsidR="00D07A02">
        <w:t>–</w:t>
      </w:r>
      <w:r w:rsidR="00ED44C8">
        <w:t>2020</w:t>
      </w:r>
      <w:r w:rsidR="004670D9">
        <w:t xml:space="preserve"> </w:t>
      </w:r>
      <w:r w:rsidR="00CE2037" w:rsidRPr="004670D9">
        <w:t xml:space="preserve">za rok 2019 </w:t>
      </w:r>
      <w:r w:rsidR="003C7ABF" w:rsidRPr="004670D9">
        <w:t xml:space="preserve">vyplývá, </w:t>
      </w:r>
      <w:r w:rsidR="00ED44C8">
        <w:t xml:space="preserve">že </w:t>
      </w:r>
      <w:r w:rsidR="004670D9" w:rsidRPr="004670D9">
        <w:t>v</w:t>
      </w:r>
      <w:r w:rsidR="00D11222" w:rsidRPr="004670D9">
        <w:t xml:space="preserve">ětšina ministerstev </w:t>
      </w:r>
      <w:r w:rsidR="00422D4C">
        <w:t>nedosahuje ani </w:t>
      </w:r>
      <w:r w:rsidRPr="004670D9">
        <w:t>poloviny povinného po</w:t>
      </w:r>
      <w:r w:rsidR="004670D9" w:rsidRPr="004670D9">
        <w:t>dílu</w:t>
      </w:r>
      <w:r w:rsidR="00D11222" w:rsidRPr="004670D9">
        <w:t xml:space="preserve"> skutečně zaměstnaných osob se </w:t>
      </w:r>
      <w:r w:rsidRPr="004670D9">
        <w:t>zdravotním postižením.</w:t>
      </w:r>
      <w:r w:rsidRPr="00BD7BB6">
        <w:t xml:space="preserve"> </w:t>
      </w:r>
    </w:p>
    <w:p w14:paraId="60C7EED2" w14:textId="77777777" w:rsidR="00381DA0" w:rsidRPr="006E11D9" w:rsidRDefault="00624BA9" w:rsidP="009B209E">
      <w:pPr>
        <w:pStyle w:val="Nadpis2"/>
        <w:rPr>
          <w:color w:val="76923C" w:themeColor="accent3" w:themeShade="BF"/>
        </w:rPr>
      </w:pPr>
      <w:bookmarkStart w:id="8" w:name="_Toc45513051"/>
      <w:r w:rsidRPr="006E11D9">
        <w:rPr>
          <w:color w:val="76923C" w:themeColor="accent3" w:themeShade="BF"/>
        </w:rPr>
        <w:t>Předpoklady zaměstnávání osob se zdravotním postižením ve státní správě</w:t>
      </w:r>
      <w:bookmarkEnd w:id="8"/>
    </w:p>
    <w:p w14:paraId="7121CE32" w14:textId="77777777" w:rsidR="00381DA0" w:rsidRDefault="00381DA0" w:rsidP="00325095">
      <w:r>
        <w:t xml:space="preserve">Úřady státní správy musí při výběru vhodných kandidátů na jednotlivá služební místa dodržovat mimo jiné </w:t>
      </w:r>
      <w:r w:rsidRPr="003F4933">
        <w:t>i zákon</w:t>
      </w:r>
      <w:r w:rsidR="003F4933" w:rsidRPr="003F4933">
        <w:t xml:space="preserve"> č. 234/2014 Sb.,</w:t>
      </w:r>
      <w:r w:rsidRPr="003F4933">
        <w:t xml:space="preserve"> o státní službě</w:t>
      </w:r>
      <w:r w:rsidR="003F4933" w:rsidRPr="003F4933">
        <w:t>, ve</w:t>
      </w:r>
      <w:r w:rsidR="003F4933">
        <w:t xml:space="preserve"> znění pozdějších předpisů, a z něj</w:t>
      </w:r>
      <w:r>
        <w:t xml:space="preserve"> vyplývající </w:t>
      </w:r>
      <w:r w:rsidRPr="00F81410">
        <w:t>povinnost přijímat zaměstnance na základ</w:t>
      </w:r>
      <w:r w:rsidR="00BD3421">
        <w:t>ě výsledku výběrového řízení na </w:t>
      </w:r>
      <w:r w:rsidRPr="00F81410">
        <w:t>konk</w:t>
      </w:r>
      <w:r>
        <w:t>rétní</w:t>
      </w:r>
      <w:r w:rsidR="00BD3421">
        <w:t xml:space="preserve"> služební</w:t>
      </w:r>
      <w:r>
        <w:t xml:space="preserve"> </w:t>
      </w:r>
      <w:r w:rsidRPr="00F81410">
        <w:t>místo</w:t>
      </w:r>
      <w:r>
        <w:t xml:space="preserve">. OZP jako uchazeči o tato místa tedy v tomto případě musí splňovat </w:t>
      </w:r>
      <w:r w:rsidR="00C037AC">
        <w:t>stanovené</w:t>
      </w:r>
      <w:r>
        <w:t xml:space="preserve"> požadavky, např. vysokoškolské vzdělání. I přesto je zde řada systematizovaných služebních míst, na které jsou OZP vhodnými uchazeči tak jako všichni ostatní.</w:t>
      </w:r>
    </w:p>
    <w:p w14:paraId="38F0412F" w14:textId="77777777" w:rsidR="00381DA0" w:rsidRDefault="00381DA0" w:rsidP="0034565B">
      <w:r>
        <w:t xml:space="preserve">Naproti tomu u pracovních míst zřizovaných </w:t>
      </w:r>
      <w:r w:rsidR="00C037AC">
        <w:t>v jednotlivých úřadech</w:t>
      </w:r>
      <w:r>
        <w:t xml:space="preserve"> je výběr vhodných uchazečů zcela v kompetenci samotného zaměstnavatele.</w:t>
      </w:r>
    </w:p>
    <w:p w14:paraId="36740CF3" w14:textId="77777777" w:rsidR="00A82927" w:rsidRDefault="00A82927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32"/>
          <w:szCs w:val="28"/>
        </w:rPr>
      </w:pPr>
      <w:bookmarkStart w:id="9" w:name="_Toc40198727"/>
      <w:r>
        <w:br w:type="page"/>
      </w:r>
    </w:p>
    <w:p w14:paraId="74018D00" w14:textId="3F804216" w:rsidR="00381DA0" w:rsidRPr="00C64BB8" w:rsidRDefault="00381DA0" w:rsidP="000F72AB">
      <w:pPr>
        <w:pStyle w:val="Nadpis1"/>
        <w:rPr>
          <w:color w:val="4F6228" w:themeColor="accent3" w:themeShade="80"/>
        </w:rPr>
      </w:pPr>
      <w:bookmarkStart w:id="10" w:name="_Toc45513052"/>
      <w:r w:rsidRPr="000F72AB">
        <w:lastRenderedPageBreak/>
        <w:t>Statistická</w:t>
      </w:r>
      <w:r>
        <w:t xml:space="preserve"> data o osobách</w:t>
      </w:r>
      <w:r w:rsidRPr="00BD7BB6">
        <w:t xml:space="preserve"> se zdravotním postižením</w:t>
      </w:r>
      <w:bookmarkEnd w:id="9"/>
      <w:bookmarkEnd w:id="10"/>
      <w:r w:rsidRPr="00BD7BB6">
        <w:t xml:space="preserve"> </w:t>
      </w:r>
    </w:p>
    <w:p w14:paraId="7A8B2C89" w14:textId="77777777" w:rsidR="00381DA0" w:rsidRDefault="00381DA0" w:rsidP="00325095">
      <w:r w:rsidRPr="00C53F2C">
        <w:t xml:space="preserve">Pro efektivní nastavení politiky ve vztahu k osobám se zdravotním postižením </w:t>
      </w:r>
      <w:r w:rsidR="005025A9">
        <w:t xml:space="preserve">včetně politiky zaměstnanosti </w:t>
      </w:r>
      <w:r w:rsidRPr="00C53F2C">
        <w:t>je nezbytné mít k dispozici co nejkvalitně</w:t>
      </w:r>
      <w:r w:rsidR="00422D4C">
        <w:t>jší statistické údaje o počtu a </w:t>
      </w:r>
      <w:r w:rsidRPr="00C53F2C">
        <w:t xml:space="preserve">struktuře této skupiny osob. Získané informace pak mohou být využívány </w:t>
      </w:r>
      <w:r w:rsidR="004736B4">
        <w:t xml:space="preserve">také </w:t>
      </w:r>
      <w:r w:rsidRPr="00C53F2C">
        <w:t>jako nástroj k</w:t>
      </w:r>
      <w:r w:rsidR="005025A9">
        <w:t> </w:t>
      </w:r>
      <w:r w:rsidRPr="00C53F2C">
        <w:t xml:space="preserve">identifikaci a odstraňování bariér, kterým při </w:t>
      </w:r>
      <w:r w:rsidR="004736B4">
        <w:t>zaměstnávání</w:t>
      </w:r>
      <w:r w:rsidRPr="00C53F2C">
        <w:t xml:space="preserve"> lidé se zdravotním postižením čelí.</w:t>
      </w:r>
    </w:p>
    <w:p w14:paraId="48388791" w14:textId="77777777" w:rsidR="00381DA0" w:rsidRPr="005025A9" w:rsidRDefault="00381DA0" w:rsidP="00325095">
      <w:r w:rsidRPr="00D835E5">
        <w:rPr>
          <w:bCs/>
        </w:rPr>
        <w:t>Podle Výběrové</w:t>
      </w:r>
      <w:r w:rsidR="00396D26">
        <w:rPr>
          <w:bCs/>
        </w:rPr>
        <w:t>ho</w:t>
      </w:r>
      <w:r w:rsidRPr="00D835E5">
        <w:rPr>
          <w:bCs/>
        </w:rPr>
        <w:t xml:space="preserve"> šetření osob se zdravotním postižením</w:t>
      </w:r>
      <w:r w:rsidR="003965A8">
        <w:rPr>
          <w:rStyle w:val="Znakapoznpodarou"/>
          <w:bCs/>
        </w:rPr>
        <w:footnoteReference w:id="3"/>
      </w:r>
      <w:r w:rsidRPr="00D835E5">
        <w:rPr>
          <w:bCs/>
        </w:rPr>
        <w:t xml:space="preserve"> z roku 2018 </w:t>
      </w:r>
      <w:r w:rsidRPr="00D835E5">
        <w:t>v České republice žije 1.152 tisíc osob se zdravotním postižením, což je 13</w:t>
      </w:r>
      <w:r w:rsidR="00F575A5">
        <w:t xml:space="preserve"> %</w:t>
      </w:r>
      <w:r w:rsidRPr="00D835E5">
        <w:t xml:space="preserve"> osob nad 15 let ž</w:t>
      </w:r>
      <w:r w:rsidR="00AC7A2E">
        <w:t>i</w:t>
      </w:r>
      <w:r w:rsidRPr="00D835E5">
        <w:t>jících </w:t>
      </w:r>
      <w:r w:rsidR="00FC03F4">
        <w:t>v </w:t>
      </w:r>
      <w:r w:rsidRPr="00D835E5">
        <w:t xml:space="preserve">soukromých domácnostech. </w:t>
      </w:r>
    </w:p>
    <w:p w14:paraId="3BB5B2FF" w14:textId="47ED29E6" w:rsidR="00396D26" w:rsidRPr="00396D26" w:rsidRDefault="00396D26" w:rsidP="00C320A8">
      <w:pPr>
        <w:pStyle w:val="Titulek"/>
      </w:pPr>
      <w:bookmarkStart w:id="11" w:name="_Toc45512976"/>
      <w:r w:rsidRPr="00396D26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</w:t>
      </w:r>
      <w:r w:rsidR="00FC5B08">
        <w:rPr>
          <w:noProof/>
        </w:rPr>
        <w:fldChar w:fldCharType="end"/>
      </w:r>
      <w:r w:rsidRPr="00396D26">
        <w:t xml:space="preserve"> Podíl osob se zdravotním postižením z celkového počtu obyvatel</w:t>
      </w:r>
      <w:bookmarkEnd w:id="11"/>
    </w:p>
    <w:p w14:paraId="44A0BB00" w14:textId="77777777" w:rsidR="00381DA0" w:rsidRPr="00DD6F16" w:rsidRDefault="00381DA0" w:rsidP="00325095">
      <w:pPr>
        <w:jc w:val="center"/>
      </w:pPr>
      <w:r>
        <w:rPr>
          <w:noProof/>
        </w:rPr>
        <w:drawing>
          <wp:inline distT="0" distB="0" distL="0" distR="0" wp14:anchorId="4EC1EAA5" wp14:editId="0053A18C">
            <wp:extent cx="4852670" cy="2790825"/>
            <wp:effectExtent l="0" t="0" r="5080" b="9525"/>
            <wp:docPr id="26" name="Graf 2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646A68-0DD5-4CE8-8DB7-4B0DECBD40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32CB16" w14:textId="77777777" w:rsidR="00381DA0" w:rsidRPr="00DD6F16" w:rsidRDefault="00381DA0" w:rsidP="00325095">
      <w:r w:rsidRPr="00DD6F16">
        <w:t>S věkem se zastoupení osob se zdravotním postižením</w:t>
      </w:r>
      <w:r w:rsidR="00422D4C">
        <w:t xml:space="preserve"> v populaci zvyšuje, mezi 65 až </w:t>
      </w:r>
      <w:r w:rsidRPr="00DD6F16">
        <w:t>79letými tvoří čtvrtinu a mezi seniory nad 80 let je už osobou se zdravotním postižením každý druhý (56</w:t>
      </w:r>
      <w:r w:rsidR="00F575A5">
        <w:t xml:space="preserve"> %</w:t>
      </w:r>
      <w:r w:rsidRPr="00DD6F16">
        <w:t>).</w:t>
      </w:r>
      <w:r>
        <w:t xml:space="preserve"> </w:t>
      </w:r>
      <w:r w:rsidRPr="00DD6F16">
        <w:t>V</w:t>
      </w:r>
      <w:r w:rsidR="00325095">
        <w:t xml:space="preserve"> </w:t>
      </w:r>
      <w:r w:rsidRPr="00DD6F16">
        <w:t>mladším věku do 34 let je evidováno více mužů se zdravotním</w:t>
      </w:r>
      <w:r w:rsidR="00325095">
        <w:t xml:space="preserve"> </w:t>
      </w:r>
      <w:r w:rsidRPr="00DD6F16">
        <w:t>postižením než žen (55</w:t>
      </w:r>
      <w:r w:rsidR="00F575A5">
        <w:t xml:space="preserve"> %</w:t>
      </w:r>
      <w:r w:rsidRPr="00DD6F16">
        <w:t>), tento poměr se však v závislost</w:t>
      </w:r>
      <w:r w:rsidR="00422D4C">
        <w:t>i na rostoucím věku obrací a ve </w:t>
      </w:r>
      <w:r w:rsidRPr="00DD6F16">
        <w:t>skupině osob se zdravotním postižením starších 80 let už tvoří muži pouze 29</w:t>
      </w:r>
      <w:r w:rsidR="00F575A5">
        <w:t xml:space="preserve"> %</w:t>
      </w:r>
      <w:r w:rsidRPr="00DD6F16">
        <w:t>.</w:t>
      </w:r>
    </w:p>
    <w:p w14:paraId="68A5EDE5" w14:textId="7024F458" w:rsidR="00396D26" w:rsidRDefault="00396D26" w:rsidP="00C320A8">
      <w:pPr>
        <w:pStyle w:val="Titulek"/>
      </w:pPr>
      <w:bookmarkStart w:id="12" w:name="_Toc45512977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</w:t>
      </w:r>
      <w:r w:rsidR="00FC5B08">
        <w:rPr>
          <w:noProof/>
        </w:rPr>
        <w:fldChar w:fldCharType="end"/>
      </w:r>
      <w:r>
        <w:t xml:space="preserve"> </w:t>
      </w:r>
      <w:r w:rsidRPr="00396D26">
        <w:t>Podíl osob se zdravotním postižením z celkov</w:t>
      </w:r>
      <w:r w:rsidR="00422D4C">
        <w:t>ého počtu obyvatel podle věku a </w:t>
      </w:r>
      <w:r w:rsidRPr="00396D26">
        <w:t>pohlaví</w:t>
      </w:r>
      <w:bookmarkEnd w:id="12"/>
    </w:p>
    <w:p w14:paraId="40A46167" w14:textId="77777777" w:rsidR="00325095" w:rsidRDefault="00381DA0" w:rsidP="00325095">
      <w:pPr>
        <w:jc w:val="center"/>
      </w:pPr>
      <w:r>
        <w:rPr>
          <w:noProof/>
        </w:rPr>
        <w:drawing>
          <wp:inline distT="0" distB="0" distL="0" distR="0" wp14:anchorId="23693707" wp14:editId="1670BFBE">
            <wp:extent cx="5113655" cy="2409825"/>
            <wp:effectExtent l="0" t="0" r="10795" b="9525"/>
            <wp:docPr id="30" name="Graf 3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05CCD2-C1B7-4A50-9A8F-91470BEAD6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3985E1" w14:textId="77777777" w:rsidR="00381DA0" w:rsidRPr="003072F6" w:rsidRDefault="00381DA0" w:rsidP="00325095">
      <w:r w:rsidRPr="003072F6">
        <w:t>Z šetření také vyplynulo, že osoby se zdravotním postižením dosahují častěji nižšího vzdělání, než je tomu u celkové populace. Mezi osobami se zdravotním postižením je čtyřnásobně vyšší podíl osob pouze se základním vzděláním nebo bez vzdělání (21</w:t>
      </w:r>
      <w:r w:rsidR="00F575A5">
        <w:t xml:space="preserve"> %</w:t>
      </w:r>
      <w:r w:rsidRPr="003072F6">
        <w:t xml:space="preserve"> oproti 5</w:t>
      </w:r>
      <w:r w:rsidR="00F575A5">
        <w:t xml:space="preserve"> %</w:t>
      </w:r>
      <w:r w:rsidRPr="003072F6">
        <w:t>) a také se středním vzděláním bez maturity (47</w:t>
      </w:r>
      <w:r w:rsidR="00F575A5">
        <w:t xml:space="preserve"> %</w:t>
      </w:r>
      <w:r w:rsidRPr="003072F6">
        <w:t xml:space="preserve"> oproti 36</w:t>
      </w:r>
      <w:r w:rsidR="00F575A5">
        <w:t xml:space="preserve"> %</w:t>
      </w:r>
      <w:r w:rsidRPr="003072F6">
        <w:t>), kterou nemají v celkovém souhrnu více než dvě třetiny osob s</w:t>
      </w:r>
      <w:r w:rsidR="009F6562">
        <w:t>e zdravotním postižením mezi 35–</w:t>
      </w:r>
      <w:r w:rsidRPr="003072F6">
        <w:t xml:space="preserve">49 lety. </w:t>
      </w:r>
    </w:p>
    <w:p w14:paraId="22D2044C" w14:textId="739FD2D4" w:rsidR="00396D26" w:rsidRDefault="00396D26" w:rsidP="00C320A8">
      <w:pPr>
        <w:pStyle w:val="Titulek"/>
      </w:pPr>
      <w:bookmarkStart w:id="13" w:name="_Toc45512978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</w:t>
      </w:r>
      <w:r w:rsidR="00FC5B08">
        <w:rPr>
          <w:noProof/>
        </w:rPr>
        <w:fldChar w:fldCharType="end"/>
      </w:r>
      <w:r>
        <w:t xml:space="preserve"> </w:t>
      </w:r>
      <w:r w:rsidRPr="005B5C8A">
        <w:t>Dosažené vzdělání osob se zdravotním post</w:t>
      </w:r>
      <w:r w:rsidR="00D80E7B">
        <w:t>ižením a obyvatelstva celkem ve </w:t>
      </w:r>
      <w:r w:rsidRPr="005B5C8A">
        <w:t>věku 35–49 let</w:t>
      </w:r>
      <w:bookmarkEnd w:id="13"/>
    </w:p>
    <w:p w14:paraId="6DFB9F50" w14:textId="77777777" w:rsidR="00381DA0" w:rsidRDefault="00381DA0" w:rsidP="00325095">
      <w:pPr>
        <w:jc w:val="center"/>
      </w:pPr>
      <w:r>
        <w:rPr>
          <w:noProof/>
        </w:rPr>
        <w:drawing>
          <wp:inline distT="0" distB="0" distL="0" distR="0" wp14:anchorId="7E78A6B9" wp14:editId="75A10B14">
            <wp:extent cx="5054600" cy="2609850"/>
            <wp:effectExtent l="0" t="0" r="12700" b="0"/>
            <wp:docPr id="32" name="Graf 3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68D1F5-ACDB-4E44-B634-875D4EAD8E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1BB9BE" w14:textId="77777777" w:rsidR="00381DA0" w:rsidRDefault="00381DA0" w:rsidP="00325095">
      <w:r w:rsidRPr="00DD6F16">
        <w:t>Zastoupení osob s dosaženým středním vzděláním s mat</w:t>
      </w:r>
      <w:r w:rsidR="001E0CBF">
        <w:t>uritou a s vyšším odborným nebo </w:t>
      </w:r>
      <w:r w:rsidRPr="00DD6F16">
        <w:t>vysokoškolským vzděláním je oproti nižšímu vzdělání méně časté, maturitu nebo vyšší vzdělání dokončila jen necelá třetina (32</w:t>
      </w:r>
      <w:r w:rsidR="00F575A5">
        <w:t xml:space="preserve"> %</w:t>
      </w:r>
      <w:r w:rsidRPr="00DD6F16">
        <w:t>) osob se zdravotním postižením, přestože v celkové populaci dosáhla tohoto vzdělání více než polovina (53</w:t>
      </w:r>
      <w:r w:rsidR="00F575A5">
        <w:t xml:space="preserve"> %</w:t>
      </w:r>
      <w:r w:rsidRPr="00DD6F16">
        <w:t>) obyvatel daného věku.</w:t>
      </w:r>
    </w:p>
    <w:p w14:paraId="67B1ADA0" w14:textId="77777777" w:rsidR="00381DA0" w:rsidRDefault="00381DA0" w:rsidP="00325095">
      <w:r w:rsidRPr="00C21DD4">
        <w:lastRenderedPageBreak/>
        <w:t>Zdravotní postižení má ve spojení s dosaženým vzd</w:t>
      </w:r>
      <w:r w:rsidR="00C00D40">
        <w:t>ěláním a věkem významný vliv na </w:t>
      </w:r>
      <w:r w:rsidRPr="00C21DD4">
        <w:t>pracovní a ekonomické postavení. Většina osob se zdr</w:t>
      </w:r>
      <w:r w:rsidR="00C00D40">
        <w:t>avotním postižením jsou lidé ve </w:t>
      </w:r>
      <w:r w:rsidRPr="00C21DD4">
        <w:t>starobním důchodu, téměř třetina pak pobírá invalidní důchod. Dle šetření pracuje pouze 19</w:t>
      </w:r>
      <w:r w:rsidR="00C00D40">
        <w:t> </w:t>
      </w:r>
      <w:r w:rsidR="00F575A5">
        <w:t>%</w:t>
      </w:r>
      <w:r w:rsidRPr="00C21DD4">
        <w:t xml:space="preserve"> všech osob se zdravotním postižením, a to 215 tisíc. Na plný úvazek pracují dvě třetiny pracujících se zdravotním postižením, více muži (76</w:t>
      </w:r>
      <w:r w:rsidR="00F575A5">
        <w:t xml:space="preserve"> %</w:t>
      </w:r>
      <w:r w:rsidRPr="00C21DD4">
        <w:t>) než ženy (55</w:t>
      </w:r>
      <w:r w:rsidR="00F575A5">
        <w:t xml:space="preserve"> %</w:t>
      </w:r>
      <w:r w:rsidRPr="00C21DD4">
        <w:t>). Častěji také pracují na plný úvazek osoby mladší 50 let.</w:t>
      </w:r>
    </w:p>
    <w:p w14:paraId="265EB9C7" w14:textId="3C9E482F" w:rsidR="00396D26" w:rsidRPr="00396D26" w:rsidRDefault="00396D26" w:rsidP="00C320A8">
      <w:pPr>
        <w:pStyle w:val="Titulek"/>
      </w:pPr>
      <w:bookmarkStart w:id="14" w:name="_Toc45512979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</w:t>
      </w:r>
      <w:r w:rsidR="00FC5B08">
        <w:rPr>
          <w:noProof/>
        </w:rPr>
        <w:fldChar w:fldCharType="end"/>
      </w:r>
      <w:r>
        <w:t xml:space="preserve"> </w:t>
      </w:r>
      <w:r w:rsidRPr="005B5C8A">
        <w:t xml:space="preserve">Osoby se zdravotním postižením podle práce a </w:t>
      </w:r>
      <w:r w:rsidRPr="0053762A">
        <w:t>důchodu</w:t>
      </w:r>
      <w:bookmarkEnd w:id="14"/>
    </w:p>
    <w:p w14:paraId="1B09DB4A" w14:textId="77777777" w:rsidR="00381DA0" w:rsidRPr="00325095" w:rsidRDefault="00381DA0" w:rsidP="00325095">
      <w:pPr>
        <w:spacing w:after="360"/>
        <w:jc w:val="center"/>
        <w:rPr>
          <w:sz w:val="20"/>
        </w:rPr>
      </w:pPr>
      <w:r>
        <w:rPr>
          <w:noProof/>
        </w:rPr>
        <w:drawing>
          <wp:inline distT="0" distB="0" distL="0" distR="0" wp14:anchorId="3E32F27B" wp14:editId="1B12DD0D">
            <wp:extent cx="5105400" cy="2676525"/>
            <wp:effectExtent l="0" t="0" r="0" b="9525"/>
            <wp:docPr id="42" name="Graf 4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244866-9AA1-41E2-BEDC-1585B8016B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B62718" w14:textId="3144E3B2" w:rsidR="00C00D40" w:rsidRPr="00165441" w:rsidRDefault="00381DA0" w:rsidP="00325095">
      <w:r w:rsidRPr="00946C07">
        <w:rPr>
          <w:bCs/>
        </w:rPr>
        <w:t xml:space="preserve">Ze skupiny osob se zdravotním postižením, které jsou v ekonomicky aktivním věku, je </w:t>
      </w:r>
      <w:r>
        <w:rPr>
          <w:bCs/>
        </w:rPr>
        <w:t xml:space="preserve">i </w:t>
      </w:r>
      <w:r w:rsidRPr="00946C07">
        <w:rPr>
          <w:bCs/>
        </w:rPr>
        <w:t xml:space="preserve">dle </w:t>
      </w:r>
      <w:r>
        <w:rPr>
          <w:bCs/>
        </w:rPr>
        <w:t xml:space="preserve">ostatních </w:t>
      </w:r>
      <w:r w:rsidRPr="00946C07">
        <w:rPr>
          <w:bCs/>
        </w:rPr>
        <w:t>odhadů zaměstnáno</w:t>
      </w:r>
      <w:r w:rsidRPr="00BD7BB6">
        <w:t xml:space="preserve"> maximálně 30</w:t>
      </w:r>
      <w:r w:rsidR="00F575A5">
        <w:t xml:space="preserve"> %</w:t>
      </w:r>
      <w:r w:rsidRPr="00BD7BB6">
        <w:t xml:space="preserve"> těchto osob. </w:t>
      </w:r>
      <w:r w:rsidR="00C00D40">
        <w:t>O</w:t>
      </w:r>
      <w:r w:rsidRPr="00BD7BB6">
        <w:t xml:space="preserve">soby se zdravotním postižením </w:t>
      </w:r>
      <w:r w:rsidR="00992F54">
        <w:t>tvoří dlouhodobě 15−</w:t>
      </w:r>
      <w:r w:rsidR="00C00D40">
        <w:t xml:space="preserve">20 </w:t>
      </w:r>
      <w:r w:rsidR="00992F54">
        <w:t>%</w:t>
      </w:r>
      <w:r w:rsidRPr="00BD7BB6">
        <w:t xml:space="preserve"> z celkového počtu uchazečů o zaměstnání. </w:t>
      </w:r>
      <w:r w:rsidR="00C00D40">
        <w:t xml:space="preserve">K lednu 2020 jich </w:t>
      </w:r>
      <w:r w:rsidR="00992F54">
        <w:t xml:space="preserve">bylo </w:t>
      </w:r>
      <w:r w:rsidR="00C00D40">
        <w:t>v</w:t>
      </w:r>
      <w:r w:rsidRPr="00BD7BB6">
        <w:t xml:space="preserve"> evidenci Úřadu práce ČR </w:t>
      </w:r>
      <w:r w:rsidR="00C00D40" w:rsidRPr="00C00D40">
        <w:t>34 788 OZP (15,1 %</w:t>
      </w:r>
      <w:r w:rsidR="001E0CBF">
        <w:t xml:space="preserve"> z celkového počtu uchazečů</w:t>
      </w:r>
      <w:r w:rsidR="00C00D40" w:rsidRPr="00C00D40">
        <w:t>).</w:t>
      </w:r>
      <w:bookmarkStart w:id="15" w:name="_Toc24641594"/>
    </w:p>
    <w:p w14:paraId="2E1C8FAB" w14:textId="77777777" w:rsidR="00A82927" w:rsidRDefault="00A82927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32"/>
          <w:szCs w:val="28"/>
        </w:rPr>
      </w:pPr>
      <w:r>
        <w:br w:type="page"/>
      </w:r>
    </w:p>
    <w:p w14:paraId="3B06C173" w14:textId="1D21A0A5" w:rsidR="00F4092B" w:rsidRPr="00F4092B" w:rsidRDefault="00F4092B" w:rsidP="000F72AB">
      <w:pPr>
        <w:pStyle w:val="Nadpis1"/>
      </w:pPr>
      <w:bookmarkStart w:id="16" w:name="_Toc45513053"/>
      <w:r w:rsidRPr="001244C2">
        <w:lastRenderedPageBreak/>
        <w:t>Analýza</w:t>
      </w:r>
      <w:r>
        <w:t xml:space="preserve"> </w:t>
      </w:r>
      <w:bookmarkEnd w:id="15"/>
      <w:r w:rsidR="00556845" w:rsidRPr="00A82927">
        <w:t>počtu zaměstnaných osob se zdravotním postižením v úřadech</w:t>
      </w:r>
      <w:bookmarkEnd w:id="16"/>
    </w:p>
    <w:p w14:paraId="0D382AAD" w14:textId="24B6D0C4" w:rsidR="00F64F8B" w:rsidRDefault="004F7ECC" w:rsidP="00325095">
      <w:r>
        <w:t>K</w:t>
      </w:r>
      <w:r w:rsidR="00CB1C8A" w:rsidRPr="00D8767A">
        <w:t>apitola sh</w:t>
      </w:r>
      <w:r w:rsidR="007610C0">
        <w:t>rnuje a analyzuje dat</w:t>
      </w:r>
      <w:r w:rsidR="00997C2F">
        <w:t xml:space="preserve">a získaná prostřednictvím </w:t>
      </w:r>
      <w:r w:rsidR="007610C0">
        <w:t>vyplněné</w:t>
      </w:r>
      <w:r w:rsidR="00D8767A">
        <w:t> </w:t>
      </w:r>
      <w:r w:rsidR="00CB1C8A" w:rsidRPr="00D8767A">
        <w:t>tabulk</w:t>
      </w:r>
      <w:r w:rsidR="009F1497">
        <w:t>y</w:t>
      </w:r>
      <w:r w:rsidR="00C85187">
        <w:t xml:space="preserve">. </w:t>
      </w:r>
      <w:r w:rsidR="00010FA4">
        <w:t>V</w:t>
      </w:r>
      <w:r w:rsidR="000D1549">
        <w:t> </w:t>
      </w:r>
      <w:r w:rsidR="00010FA4">
        <w:t>dílčích</w:t>
      </w:r>
      <w:r w:rsidR="00CB1C8A" w:rsidRPr="00D8767A">
        <w:t xml:space="preserve"> podkapitolách jsou nejp</w:t>
      </w:r>
      <w:r w:rsidR="00010FA4">
        <w:t xml:space="preserve">rve uvedeny souhrnné informace, </w:t>
      </w:r>
      <w:r w:rsidR="00E774A6">
        <w:t xml:space="preserve">dále jsou </w:t>
      </w:r>
      <w:r w:rsidR="00010FA4">
        <w:t>popisovány konkrétní zjištění</w:t>
      </w:r>
      <w:r w:rsidR="00E774A6">
        <w:t xml:space="preserve"> včetně tabulek a grafů</w:t>
      </w:r>
      <w:r w:rsidR="00D4284A">
        <w:t>.</w:t>
      </w:r>
      <w:r w:rsidR="00010FA4">
        <w:t xml:space="preserve"> Každá podkapitola je zakončena závěrečným shrnutím</w:t>
      </w:r>
      <w:r w:rsidR="00F4092B">
        <w:t>.</w:t>
      </w:r>
    </w:p>
    <w:p w14:paraId="3EC9F6C7" w14:textId="77777777" w:rsidR="00624BA9" w:rsidRPr="00E10D06" w:rsidRDefault="00B57221" w:rsidP="009B209E">
      <w:pPr>
        <w:pStyle w:val="Nadpis2"/>
        <w:rPr>
          <w:color w:val="76923C" w:themeColor="accent3" w:themeShade="BF"/>
        </w:rPr>
      </w:pPr>
      <w:bookmarkStart w:id="17" w:name="_Toc45513054"/>
      <w:r w:rsidRPr="00E10D06">
        <w:rPr>
          <w:color w:val="76923C" w:themeColor="accent3" w:themeShade="BF"/>
        </w:rPr>
        <w:t>P</w:t>
      </w:r>
      <w:r w:rsidR="00624BA9" w:rsidRPr="00E10D06">
        <w:rPr>
          <w:color w:val="76923C" w:themeColor="accent3" w:themeShade="BF"/>
        </w:rPr>
        <w:t>očet zaměstnanců v úřadech</w:t>
      </w:r>
      <w:bookmarkEnd w:id="17"/>
    </w:p>
    <w:p w14:paraId="650D1884" w14:textId="661A2830" w:rsidR="00097240" w:rsidRPr="00427569" w:rsidRDefault="00681F3E" w:rsidP="00427569">
      <w:pPr>
        <w:pStyle w:val="Odstavecseseznamem"/>
        <w:numPr>
          <w:ilvl w:val="0"/>
          <w:numId w:val="39"/>
        </w:numPr>
      </w:pPr>
      <w:r w:rsidRPr="00427569">
        <w:t>V</w:t>
      </w:r>
      <w:r w:rsidR="006957DB" w:rsidRPr="00427569">
        <w:t xml:space="preserve"> </w:t>
      </w:r>
      <w:r w:rsidR="00E83AB3" w:rsidRPr="00427569">
        <w:t xml:space="preserve">úřadech </w:t>
      </w:r>
      <w:r w:rsidR="0043124F" w:rsidRPr="00427569">
        <w:t xml:space="preserve">bylo </w:t>
      </w:r>
      <w:r w:rsidR="005E1A94" w:rsidRPr="00427569">
        <w:t xml:space="preserve">dle </w:t>
      </w:r>
      <w:r w:rsidR="00B21BA3" w:rsidRPr="00427569">
        <w:t>průzkumu</w:t>
      </w:r>
      <w:r w:rsidR="005E1A94" w:rsidRPr="00427569">
        <w:t xml:space="preserve"> </w:t>
      </w:r>
      <w:r w:rsidR="0043124F" w:rsidRPr="00427569">
        <w:t>zaměstnáno 78</w:t>
      </w:r>
      <w:r w:rsidRPr="00427569">
        <w:t> </w:t>
      </w:r>
      <w:r w:rsidR="0043124F" w:rsidRPr="00427569">
        <w:t>318</w:t>
      </w:r>
      <w:r w:rsidRPr="00427569">
        <w:t xml:space="preserve"> </w:t>
      </w:r>
      <w:r w:rsidR="00C83FE6" w:rsidRPr="00427569">
        <w:t>osob</w:t>
      </w:r>
      <w:r w:rsidR="001E5264" w:rsidRPr="00427569">
        <w:t xml:space="preserve"> včetně osob se zdravotním postižením</w:t>
      </w:r>
      <w:r w:rsidR="0043124F" w:rsidRPr="00427569">
        <w:t xml:space="preserve"> (56 156 žen a 22 162 mužů)</w:t>
      </w:r>
      <w:r w:rsidR="00C83FE6" w:rsidRPr="00427569">
        <w:t xml:space="preserve">, a to </w:t>
      </w:r>
      <w:r w:rsidR="004059B7" w:rsidRPr="00427569">
        <w:t>ve </w:t>
      </w:r>
      <w:r w:rsidR="00C83FE6" w:rsidRPr="00427569">
        <w:t>služebním i</w:t>
      </w:r>
      <w:r w:rsidRPr="00427569">
        <w:t xml:space="preserve"> pracovním poměru</w:t>
      </w:r>
      <w:r w:rsidR="00C12FD1" w:rsidRPr="00427569">
        <w:t xml:space="preserve"> a </w:t>
      </w:r>
      <w:r w:rsidR="0043124F" w:rsidRPr="00427569">
        <w:t>n</w:t>
      </w:r>
      <w:r w:rsidR="00C12FD1" w:rsidRPr="00427569">
        <w:t>a </w:t>
      </w:r>
      <w:r w:rsidRPr="00427569">
        <w:t>základě doho</w:t>
      </w:r>
      <w:r w:rsidR="0043124F" w:rsidRPr="00427569">
        <w:t>d</w:t>
      </w:r>
      <w:r w:rsidR="0063319E">
        <w:t>.</w:t>
      </w:r>
    </w:p>
    <w:p w14:paraId="42727331" w14:textId="77777777" w:rsidR="0043124F" w:rsidRPr="00427569" w:rsidRDefault="00AE6A9D" w:rsidP="00427569">
      <w:pPr>
        <w:pStyle w:val="Odstavecseseznamem"/>
        <w:numPr>
          <w:ilvl w:val="0"/>
          <w:numId w:val="39"/>
        </w:numPr>
      </w:pPr>
      <w:r w:rsidRPr="00427569">
        <w:t xml:space="preserve">Ve služebním poměru bylo 57 244 </w:t>
      </w:r>
      <w:r w:rsidR="00C83FE6" w:rsidRPr="00427569">
        <w:t>osob</w:t>
      </w:r>
      <w:r w:rsidRPr="00427569">
        <w:t xml:space="preserve"> (43 850 žen a 13 39</w:t>
      </w:r>
      <w:r w:rsidR="006957DB" w:rsidRPr="00427569">
        <w:t>4 mužů), z</w:t>
      </w:r>
      <w:r w:rsidR="00E831B3" w:rsidRPr="00427569">
        <w:t> </w:t>
      </w:r>
      <w:r w:rsidR="006957DB" w:rsidRPr="00427569">
        <w:t>toho</w:t>
      </w:r>
      <w:r w:rsidR="00E831B3" w:rsidRPr="00427569">
        <w:t xml:space="preserve"> 4,3</w:t>
      </w:r>
      <w:r w:rsidR="00F575A5" w:rsidRPr="00427569">
        <w:t xml:space="preserve"> %</w:t>
      </w:r>
      <w:r w:rsidR="00E831B3" w:rsidRPr="00427569">
        <w:t xml:space="preserve">, </w:t>
      </w:r>
      <w:r w:rsidR="006957DB" w:rsidRPr="00427569">
        <w:t xml:space="preserve">2 455 </w:t>
      </w:r>
      <w:r w:rsidR="00E831B3" w:rsidRPr="00427569">
        <w:t xml:space="preserve">osob, </w:t>
      </w:r>
      <w:r w:rsidR="006957DB" w:rsidRPr="00427569">
        <w:t>mělo</w:t>
      </w:r>
      <w:r w:rsidRPr="00427569">
        <w:t xml:space="preserve"> </w:t>
      </w:r>
      <w:r w:rsidR="006957DB" w:rsidRPr="00427569">
        <w:t>kratší služební dobu</w:t>
      </w:r>
      <w:r w:rsidRPr="00427569">
        <w:t xml:space="preserve"> (</w:t>
      </w:r>
      <w:r w:rsidR="00E831B3" w:rsidRPr="00427569">
        <w:t>2 203 žen a 252 mužů).</w:t>
      </w:r>
    </w:p>
    <w:p w14:paraId="3BBA0694" w14:textId="77777777" w:rsidR="00681F3E" w:rsidRPr="00427569" w:rsidRDefault="00AE6A9D" w:rsidP="00427569">
      <w:pPr>
        <w:pStyle w:val="Odstavecseseznamem"/>
        <w:numPr>
          <w:ilvl w:val="0"/>
          <w:numId w:val="39"/>
        </w:numPr>
      </w:pPr>
      <w:r w:rsidRPr="00427569">
        <w:t>V pracovním poměru bylo</w:t>
      </w:r>
      <w:r w:rsidR="00681F3E" w:rsidRPr="00427569">
        <w:t xml:space="preserve"> 17 355 </w:t>
      </w:r>
      <w:r w:rsidRPr="00427569">
        <w:t>zaměstnanců (10 431 žen a 6 924 mužů), z toho</w:t>
      </w:r>
      <w:r w:rsidR="004059B7" w:rsidRPr="00427569">
        <w:t xml:space="preserve"> </w:t>
      </w:r>
      <w:r w:rsidR="00E831B3" w:rsidRPr="00427569">
        <w:t>4,9</w:t>
      </w:r>
      <w:r w:rsidR="00F575A5" w:rsidRPr="00427569">
        <w:t xml:space="preserve"> %</w:t>
      </w:r>
      <w:r w:rsidR="00E831B3" w:rsidRPr="00427569">
        <w:t>, 842 osob</w:t>
      </w:r>
      <w:r w:rsidR="004059B7" w:rsidRPr="00427569">
        <w:t xml:space="preserve"> </w:t>
      </w:r>
      <w:r w:rsidR="00681F3E" w:rsidRPr="00427569">
        <w:t xml:space="preserve">práci </w:t>
      </w:r>
      <w:r w:rsidR="00E831B3" w:rsidRPr="00427569">
        <w:t>vykonávalo na</w:t>
      </w:r>
      <w:r w:rsidR="00681F3E" w:rsidRPr="00427569">
        <w:t xml:space="preserve"> zkrácený úvazek </w:t>
      </w:r>
      <w:r w:rsidRPr="00427569">
        <w:t>(636 žen a 206 mužů)</w:t>
      </w:r>
      <w:r w:rsidR="00E831B3" w:rsidRPr="00427569">
        <w:t>.</w:t>
      </w:r>
    </w:p>
    <w:p w14:paraId="6A9B2531" w14:textId="32BB8873" w:rsidR="006F2EC8" w:rsidRPr="00427569" w:rsidRDefault="006F2EC8" w:rsidP="00427569">
      <w:pPr>
        <w:pStyle w:val="Odstavecseseznamem"/>
        <w:numPr>
          <w:ilvl w:val="0"/>
          <w:numId w:val="39"/>
        </w:numPr>
      </w:pPr>
      <w:r w:rsidRPr="00427569">
        <w:t xml:space="preserve">Na základě dohod </w:t>
      </w:r>
      <w:r w:rsidR="006957DB" w:rsidRPr="00427569">
        <w:t>práci vykonávalo 3 719 osob</w:t>
      </w:r>
      <w:r w:rsidRPr="00427569">
        <w:t xml:space="preserve"> (1 875 žen a 1 844 mužů)</w:t>
      </w:r>
      <w:r w:rsidR="00774C19" w:rsidRPr="00427569">
        <w:t>, což činí 4,8</w:t>
      </w:r>
      <w:r w:rsidR="00F575A5" w:rsidRPr="00427569">
        <w:t xml:space="preserve"> %</w:t>
      </w:r>
      <w:r w:rsidR="00571A0E" w:rsidRPr="00427569">
        <w:t>.</w:t>
      </w:r>
    </w:p>
    <w:p w14:paraId="5CEEC94D" w14:textId="77777777" w:rsidR="00786682" w:rsidRPr="00427569" w:rsidRDefault="00786682" w:rsidP="00427569">
      <w:pPr>
        <w:pStyle w:val="Odstavecseseznamem"/>
        <w:numPr>
          <w:ilvl w:val="0"/>
          <w:numId w:val="39"/>
        </w:numPr>
      </w:pPr>
      <w:r w:rsidRPr="00427569">
        <w:t>V jednotlivých ministerstvech bylo zaměstnáno celkem 22 489 osob, v jejich vybraných organizačních složkách 52 371 a v ústředních orgánech státní správy 3 458.</w:t>
      </w:r>
    </w:p>
    <w:p w14:paraId="4FAD7C84" w14:textId="6315EEFD" w:rsidR="00396D26" w:rsidRDefault="00396D26" w:rsidP="00C320A8">
      <w:pPr>
        <w:pStyle w:val="Titulek"/>
      </w:pPr>
      <w:bookmarkStart w:id="18" w:name="_Toc45512980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5</w:t>
      </w:r>
      <w:r w:rsidR="00FC5B08">
        <w:rPr>
          <w:noProof/>
        </w:rPr>
        <w:fldChar w:fldCharType="end"/>
      </w:r>
      <w:r>
        <w:t xml:space="preserve"> </w:t>
      </w:r>
      <w:r w:rsidRPr="00CC6405">
        <w:t xml:space="preserve">Celkový </w:t>
      </w:r>
      <w:r w:rsidRPr="000769A0">
        <w:t>počet zaměstnanců v úřadech</w:t>
      </w:r>
      <w:bookmarkEnd w:id="18"/>
    </w:p>
    <w:p w14:paraId="4D8EC339" w14:textId="77777777" w:rsidR="003B2EF3" w:rsidRPr="00580F10" w:rsidRDefault="006A6944" w:rsidP="00580F10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1945A276" wp14:editId="6D4A4729">
            <wp:extent cx="5048250" cy="27813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8E4316D" w14:textId="4A868A99" w:rsidR="00396D26" w:rsidRDefault="00396D26" w:rsidP="00C320A8">
      <w:pPr>
        <w:pStyle w:val="Titulek"/>
      </w:pPr>
      <w:bookmarkStart w:id="19" w:name="_Toc45512981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6</w:t>
      </w:r>
      <w:r w:rsidR="00FC5B08">
        <w:rPr>
          <w:noProof/>
        </w:rPr>
        <w:fldChar w:fldCharType="end"/>
      </w:r>
      <w:r>
        <w:t xml:space="preserve"> </w:t>
      </w:r>
      <w:r w:rsidRPr="00CC6405">
        <w:t>Celkový po</w:t>
      </w:r>
      <w:r>
        <w:t>čet zaměstnanců v úřadech – podíl žen a mužů</w:t>
      </w:r>
      <w:bookmarkEnd w:id="19"/>
    </w:p>
    <w:p w14:paraId="65492CFD" w14:textId="77777777" w:rsidR="00681F3E" w:rsidRDefault="009E0CB7" w:rsidP="00580F10">
      <w:pPr>
        <w:jc w:val="center"/>
        <w:rPr>
          <w:szCs w:val="22"/>
        </w:rPr>
      </w:pPr>
      <w:r w:rsidRPr="00147F4E">
        <w:rPr>
          <w:noProof/>
        </w:rPr>
        <w:drawing>
          <wp:inline distT="0" distB="0" distL="0" distR="0" wp14:anchorId="161E0BD5" wp14:editId="65C396A0">
            <wp:extent cx="5085715" cy="2514600"/>
            <wp:effectExtent l="0" t="0" r="63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34FD2A2" w14:textId="7635D9C0" w:rsidR="0053762A" w:rsidRPr="0053762A" w:rsidRDefault="0053762A" w:rsidP="00C320A8">
      <w:pPr>
        <w:pStyle w:val="Titulek"/>
      </w:pPr>
      <w:bookmarkStart w:id="20" w:name="_Toc45512982"/>
      <w:r w:rsidRPr="0053762A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7</w:t>
      </w:r>
      <w:r w:rsidR="00FC5B08">
        <w:rPr>
          <w:noProof/>
        </w:rPr>
        <w:fldChar w:fldCharType="end"/>
      </w:r>
      <w:r w:rsidRPr="0053762A">
        <w:t xml:space="preserve"> Celkový počet zaměstnanců dle druhu úřadu</w:t>
      </w:r>
      <w:bookmarkEnd w:id="20"/>
    </w:p>
    <w:p w14:paraId="685059D4" w14:textId="77777777" w:rsidR="00831331" w:rsidRDefault="00831331" w:rsidP="00427569">
      <w:pPr>
        <w:jc w:val="center"/>
      </w:pPr>
      <w:r>
        <w:rPr>
          <w:noProof/>
        </w:rPr>
        <w:drawing>
          <wp:inline distT="0" distB="0" distL="0" distR="0" wp14:anchorId="5D558C28" wp14:editId="6EBB871A">
            <wp:extent cx="5085715" cy="2752725"/>
            <wp:effectExtent l="0" t="0" r="635" b="952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9EEBBD4" w14:textId="4D09FCEC" w:rsidR="000D5AE4" w:rsidRDefault="00E062D7" w:rsidP="00E10D06">
      <w:pPr>
        <w:pStyle w:val="Nadpis3"/>
      </w:pPr>
      <w:bookmarkStart w:id="21" w:name="_Toc20736898"/>
      <w:bookmarkStart w:id="22" w:name="_Toc20836907"/>
      <w:bookmarkStart w:id="23" w:name="_Toc20836987"/>
      <w:bookmarkStart w:id="24" w:name="_Toc20837074"/>
      <w:bookmarkStart w:id="25" w:name="_Toc20837747"/>
      <w:bookmarkStart w:id="26" w:name="_Toc20838176"/>
      <w:bookmarkStart w:id="27" w:name="_Toc20838217"/>
      <w:bookmarkStart w:id="28" w:name="_Toc21005730"/>
      <w:bookmarkStart w:id="29" w:name="_Toc21069973"/>
      <w:bookmarkStart w:id="30" w:name="_Toc21520833"/>
      <w:bookmarkStart w:id="31" w:name="_Toc21603272"/>
      <w:bookmarkStart w:id="32" w:name="_Toc21613994"/>
      <w:bookmarkStart w:id="33" w:name="_Toc21614870"/>
      <w:bookmarkStart w:id="34" w:name="_Toc21935915"/>
      <w:bookmarkStart w:id="35" w:name="_Toc21958295"/>
      <w:bookmarkStart w:id="36" w:name="_Toc21958351"/>
      <w:bookmarkStart w:id="37" w:name="_Toc22019384"/>
      <w:bookmarkStart w:id="38" w:name="_Toc22019440"/>
      <w:bookmarkStart w:id="39" w:name="_Toc22026772"/>
      <w:bookmarkStart w:id="40" w:name="_Toc24641191"/>
      <w:bookmarkStart w:id="41" w:name="_Toc24641265"/>
      <w:bookmarkStart w:id="42" w:name="_Toc24641333"/>
      <w:bookmarkStart w:id="43" w:name="_Toc24641400"/>
      <w:bookmarkStart w:id="44" w:name="_Toc24641466"/>
      <w:bookmarkStart w:id="45" w:name="_Toc24641531"/>
      <w:bookmarkStart w:id="46" w:name="_Toc24641596"/>
      <w:bookmarkStart w:id="47" w:name="_Toc40358745"/>
      <w:bookmarkStart w:id="48" w:name="_Toc40358948"/>
      <w:bookmarkStart w:id="49" w:name="_Toc2464160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517FB6">
        <w:t xml:space="preserve">Zaměstnávání </w:t>
      </w:r>
      <w:r w:rsidR="003B2EF3" w:rsidRPr="00517FB6">
        <w:t>na</w:t>
      </w:r>
      <w:r w:rsidRPr="00517FB6">
        <w:t xml:space="preserve"> ministerstvech</w:t>
      </w:r>
      <w:bookmarkEnd w:id="49"/>
    </w:p>
    <w:p w14:paraId="3EE8ED73" w14:textId="17D4E878" w:rsidR="008C48F7" w:rsidRPr="00427569" w:rsidRDefault="003B2EF3" w:rsidP="00427569">
      <w:pPr>
        <w:pStyle w:val="Odstavecseseznamem"/>
        <w:numPr>
          <w:ilvl w:val="0"/>
          <w:numId w:val="40"/>
        </w:numPr>
      </w:pPr>
      <w:r w:rsidRPr="00427569">
        <w:t>V jednotlivých minister</w:t>
      </w:r>
      <w:r w:rsidR="00784589" w:rsidRPr="00427569">
        <w:t>stvech bylo</w:t>
      </w:r>
      <w:r w:rsidR="003967B3" w:rsidRPr="00427569">
        <w:t xml:space="preserve"> ve služebním i pracovním poměru a na základě dohod </w:t>
      </w:r>
      <w:r w:rsidR="00784589" w:rsidRPr="00427569">
        <w:t>zaměstnáno celkem 22 489</w:t>
      </w:r>
      <w:r w:rsidRPr="00427569">
        <w:t xml:space="preserve"> osob</w:t>
      </w:r>
      <w:r w:rsidR="00B62CC7">
        <w:t xml:space="preserve"> (</w:t>
      </w:r>
      <w:r w:rsidR="008C48F7" w:rsidRPr="00427569">
        <w:t>12 278 žen a 10 211 mužů</w:t>
      </w:r>
      <w:r w:rsidR="00B62CC7">
        <w:t>)</w:t>
      </w:r>
      <w:r w:rsidR="008C48F7" w:rsidRPr="00427569">
        <w:t>.</w:t>
      </w:r>
    </w:p>
    <w:p w14:paraId="08EA1B70" w14:textId="77777777" w:rsidR="001F0BDC" w:rsidRDefault="008C48F7" w:rsidP="00427569">
      <w:pPr>
        <w:pStyle w:val="Odstavecseseznamem"/>
      </w:pPr>
      <w:r>
        <w:t>Ve služebním poměru bylo 10 982 osob (6 530 žen a 4</w:t>
      </w:r>
      <w:r w:rsidR="003967B3">
        <w:t xml:space="preserve"> </w:t>
      </w:r>
      <w:r>
        <w:t>452</w:t>
      </w:r>
      <w:r w:rsidR="00D74842">
        <w:t xml:space="preserve"> mužů), z toho 5,9</w:t>
      </w:r>
      <w:r w:rsidR="00F575A5">
        <w:t xml:space="preserve"> %</w:t>
      </w:r>
      <w:r w:rsidR="00D74842">
        <w:t>, 652 osob,</w:t>
      </w:r>
      <w:r w:rsidR="005E1A94">
        <w:t xml:space="preserve"> mělo kratší služební dobu </w:t>
      </w:r>
      <w:r w:rsidR="005E1A94" w:rsidRPr="00E34264">
        <w:t>(</w:t>
      </w:r>
      <w:r w:rsidR="00D74842">
        <w:t>566 žen a 86 mužů)</w:t>
      </w:r>
      <w:r w:rsidR="005E1A94">
        <w:t>.</w:t>
      </w:r>
    </w:p>
    <w:p w14:paraId="182B562E" w14:textId="77777777" w:rsidR="005E1A94" w:rsidRPr="001F0BDC" w:rsidRDefault="005E1A94" w:rsidP="00427569">
      <w:pPr>
        <w:pStyle w:val="Odstavecseseznamem"/>
      </w:pPr>
      <w:r w:rsidRPr="001F0BDC">
        <w:t xml:space="preserve">V pracovním poměru bylo </w:t>
      </w:r>
      <w:r w:rsidR="00D74842" w:rsidRPr="001F0BDC">
        <w:t>9 316</w:t>
      </w:r>
      <w:r w:rsidRPr="001F0BDC">
        <w:t xml:space="preserve"> </w:t>
      </w:r>
      <w:r w:rsidRPr="00427569">
        <w:t>zaměstnanců</w:t>
      </w:r>
      <w:r w:rsidRPr="001F0BDC">
        <w:t xml:space="preserve"> (</w:t>
      </w:r>
      <w:r w:rsidR="00D74842" w:rsidRPr="001F0BDC">
        <w:t>4 587</w:t>
      </w:r>
      <w:r w:rsidRPr="001F0BDC">
        <w:t xml:space="preserve"> žen a </w:t>
      </w:r>
      <w:r w:rsidR="00D74842" w:rsidRPr="001F0BDC">
        <w:t>4 729</w:t>
      </w:r>
      <w:r w:rsidRPr="001F0BDC">
        <w:t xml:space="preserve"> mužů), z toho jich prá</w:t>
      </w:r>
      <w:r w:rsidR="00D74842" w:rsidRPr="001F0BDC">
        <w:t>ci na zkrácený úvazek vykonávala 3</w:t>
      </w:r>
      <w:r w:rsidR="00F575A5">
        <w:t xml:space="preserve"> %</w:t>
      </w:r>
      <w:r w:rsidR="00D74842" w:rsidRPr="001F0BDC">
        <w:t>, 281 osob (191 žen a 90</w:t>
      </w:r>
      <w:r w:rsidRPr="001F0BDC">
        <w:t xml:space="preserve"> mužů)</w:t>
      </w:r>
      <w:r w:rsidR="00D74842" w:rsidRPr="001F0BDC">
        <w:t>.</w:t>
      </w:r>
    </w:p>
    <w:p w14:paraId="5195E8EB" w14:textId="7B8EAB78" w:rsidR="005E1A94" w:rsidRPr="00427569" w:rsidRDefault="005E1A94" w:rsidP="00427569">
      <w:pPr>
        <w:pStyle w:val="Odstavecseseznamem"/>
      </w:pPr>
      <w:r w:rsidRPr="00427569">
        <w:t xml:space="preserve">Na základě dohod </w:t>
      </w:r>
      <w:r w:rsidR="0063319E">
        <w:t xml:space="preserve">práci </w:t>
      </w:r>
      <w:r w:rsidR="00E831B3" w:rsidRPr="00427569">
        <w:t>vykonávalo 2 191 osob (1 161 žen a 1 030 mužů).</w:t>
      </w:r>
    </w:p>
    <w:p w14:paraId="7F1560C6" w14:textId="71F1C750" w:rsidR="00581731" w:rsidRPr="00581731" w:rsidRDefault="00581731" w:rsidP="00C320A8">
      <w:pPr>
        <w:pStyle w:val="Titulek"/>
      </w:pPr>
      <w:bookmarkStart w:id="50" w:name="_Toc45512983"/>
      <w:r w:rsidRPr="00581731"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8</w:t>
      </w:r>
      <w:r w:rsidR="00FC5B08">
        <w:rPr>
          <w:noProof/>
        </w:rPr>
        <w:fldChar w:fldCharType="end"/>
      </w:r>
      <w:r w:rsidRPr="00581731">
        <w:t xml:space="preserve"> Počet </w:t>
      </w:r>
      <w:r w:rsidR="00767ADD" w:rsidRPr="00581731">
        <w:t>zaměstnanců – ministerstva</w:t>
      </w:r>
      <w:bookmarkEnd w:id="50"/>
    </w:p>
    <w:p w14:paraId="722E9139" w14:textId="77777777" w:rsidR="00D0341B" w:rsidRDefault="00505F41" w:rsidP="00580F10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238A1B2A" wp14:editId="0440EF01">
            <wp:extent cx="5038725" cy="2514600"/>
            <wp:effectExtent l="0" t="0" r="9525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863D4D" w14:textId="77777777" w:rsidR="00497C26" w:rsidRPr="000523FF" w:rsidRDefault="00497C26" w:rsidP="00E10D06">
      <w:pPr>
        <w:pStyle w:val="Nadpis3"/>
      </w:pPr>
      <w:bookmarkStart w:id="51" w:name="_Toc24641601"/>
      <w:r w:rsidRPr="000523FF">
        <w:t>Zaměstnávání v</w:t>
      </w:r>
      <w:r w:rsidR="00BB5180" w:rsidRPr="000523FF">
        <w:t>e vybraných</w:t>
      </w:r>
      <w:r w:rsidRPr="000523FF">
        <w:t> organizačních složkách ministerstev</w:t>
      </w:r>
      <w:bookmarkEnd w:id="51"/>
    </w:p>
    <w:p w14:paraId="5BEAAE14" w14:textId="6337CF2E" w:rsidR="00497C26" w:rsidRDefault="00497C26" w:rsidP="00085169">
      <w:pPr>
        <w:pStyle w:val="Odstavecseseznamem"/>
      </w:pPr>
      <w:r>
        <w:t>V</w:t>
      </w:r>
      <w:r w:rsidR="00031746">
        <w:t xml:space="preserve"> organizačních </w:t>
      </w:r>
      <w:r w:rsidR="00031746" w:rsidRPr="00085169">
        <w:t xml:space="preserve">složkách </w:t>
      </w:r>
      <w:r w:rsidRPr="00085169">
        <w:t>jednotlivých minister</w:t>
      </w:r>
      <w:r w:rsidR="00031746" w:rsidRPr="00085169">
        <w:t>stev</w:t>
      </w:r>
      <w:r w:rsidRPr="00085169">
        <w:t xml:space="preserve"> bylo ve služebním i pracovním poměru a na základě dohod zaměstnáno celkem </w:t>
      </w:r>
      <w:r w:rsidR="00031746" w:rsidRPr="00085169">
        <w:t>52</w:t>
      </w:r>
      <w:r w:rsidR="00031746" w:rsidRPr="00FA5AAB">
        <w:t xml:space="preserve"> 371</w:t>
      </w:r>
      <w:r w:rsidRPr="00FA5AAB">
        <w:t xml:space="preserve"> osob, z toho </w:t>
      </w:r>
      <w:r w:rsidR="00031746" w:rsidRPr="00FA5AAB">
        <w:t>44 044</w:t>
      </w:r>
      <w:r w:rsidRPr="00FA5AAB">
        <w:t xml:space="preserve"> žen a</w:t>
      </w:r>
      <w:r w:rsidR="009F1497">
        <w:t> </w:t>
      </w:r>
      <w:r w:rsidR="00031746" w:rsidRPr="00FA5AAB">
        <w:t>10 515</w:t>
      </w:r>
      <w:r w:rsidRPr="00FA5AAB">
        <w:t xml:space="preserve"> mužů.</w:t>
      </w:r>
    </w:p>
    <w:p w14:paraId="55251FE3" w14:textId="77777777" w:rsidR="00497C26" w:rsidRPr="004059B7" w:rsidRDefault="00497C26" w:rsidP="00427569">
      <w:pPr>
        <w:pStyle w:val="Odstavecseseznamem"/>
      </w:pPr>
      <w:r>
        <w:t xml:space="preserve">Ve služebním poměru bylo </w:t>
      </w:r>
      <w:r w:rsidR="00031746">
        <w:t>44 170</w:t>
      </w:r>
      <w:r>
        <w:t xml:space="preserve"> osob (</w:t>
      </w:r>
      <w:r w:rsidR="00031746">
        <w:t>36 193</w:t>
      </w:r>
      <w:r>
        <w:t xml:space="preserve"> žen a </w:t>
      </w:r>
      <w:r w:rsidR="00031746">
        <w:t>7 977</w:t>
      </w:r>
      <w:r>
        <w:t xml:space="preserve"> mužů), z toho </w:t>
      </w:r>
      <w:r w:rsidR="00031746">
        <w:t>3,8</w:t>
      </w:r>
      <w:r w:rsidR="00F575A5">
        <w:t xml:space="preserve"> %</w:t>
      </w:r>
      <w:r>
        <w:t xml:space="preserve">, </w:t>
      </w:r>
      <w:r w:rsidR="00031746">
        <w:t>1 694</w:t>
      </w:r>
      <w:r>
        <w:t xml:space="preserve"> osob, mělo kratší služební dobu </w:t>
      </w:r>
      <w:r w:rsidRPr="00E34264">
        <w:t>(</w:t>
      </w:r>
      <w:r w:rsidR="00031746">
        <w:t>1 566</w:t>
      </w:r>
      <w:r>
        <w:t xml:space="preserve"> žen a </w:t>
      </w:r>
      <w:r w:rsidR="00031746">
        <w:t>128</w:t>
      </w:r>
      <w:r>
        <w:t xml:space="preserve"> mužů).</w:t>
      </w:r>
    </w:p>
    <w:p w14:paraId="0C453384" w14:textId="77777777" w:rsidR="00497C26" w:rsidRDefault="00497C26" w:rsidP="00427569">
      <w:pPr>
        <w:pStyle w:val="Odstavecseseznamem"/>
      </w:pPr>
      <w:r>
        <w:t>V pracovním poměru bylo</w:t>
      </w:r>
      <w:r w:rsidRPr="004059B7">
        <w:t xml:space="preserve"> </w:t>
      </w:r>
      <w:r w:rsidR="00031746">
        <w:t>7 146</w:t>
      </w:r>
      <w:r w:rsidRPr="004059B7">
        <w:t xml:space="preserve"> </w:t>
      </w:r>
      <w:r>
        <w:t>zaměstnanců (</w:t>
      </w:r>
      <w:r w:rsidR="00031746">
        <w:t xml:space="preserve">5 343 </w:t>
      </w:r>
      <w:r>
        <w:t xml:space="preserve">žen a </w:t>
      </w:r>
      <w:r w:rsidR="00031746">
        <w:t>1 803</w:t>
      </w:r>
      <w:r>
        <w:t xml:space="preserve"> mužů), z toho</w:t>
      </w:r>
      <w:r w:rsidRPr="004059B7">
        <w:t xml:space="preserve"> jich prá</w:t>
      </w:r>
      <w:r>
        <w:t>ci na zkrácený úvazek vykonával</w:t>
      </w:r>
      <w:r w:rsidR="00465361">
        <w:t>o</w:t>
      </w:r>
      <w:r w:rsidR="00031746">
        <w:t xml:space="preserve"> 6,9</w:t>
      </w:r>
      <w:r w:rsidR="00F575A5">
        <w:t xml:space="preserve"> %</w:t>
      </w:r>
      <w:r>
        <w:t xml:space="preserve">, </w:t>
      </w:r>
      <w:r w:rsidR="00031746">
        <w:t>494</w:t>
      </w:r>
      <w:r>
        <w:t xml:space="preserve"> osob (</w:t>
      </w:r>
      <w:r w:rsidR="00031746">
        <w:t xml:space="preserve">401 </w:t>
      </w:r>
      <w:r>
        <w:t xml:space="preserve">žen a </w:t>
      </w:r>
      <w:r w:rsidR="00031746">
        <w:t>93</w:t>
      </w:r>
      <w:r>
        <w:t xml:space="preserve"> mužů).</w:t>
      </w:r>
    </w:p>
    <w:p w14:paraId="55D5FF95" w14:textId="6D8E33D0" w:rsidR="00241351" w:rsidRDefault="00497C26" w:rsidP="00427569">
      <w:pPr>
        <w:pStyle w:val="Odstavecseseznamem"/>
      </w:pPr>
      <w:r>
        <w:t>N</w:t>
      </w:r>
      <w:r w:rsidRPr="004059B7">
        <w:t>a základě doho</w:t>
      </w:r>
      <w:r>
        <w:t xml:space="preserve">d </w:t>
      </w:r>
      <w:r w:rsidR="0063319E">
        <w:t xml:space="preserve">práci </w:t>
      </w:r>
      <w:r>
        <w:t xml:space="preserve">vykonávalo </w:t>
      </w:r>
      <w:r w:rsidR="00031746">
        <w:t>1 055</w:t>
      </w:r>
      <w:r>
        <w:t xml:space="preserve"> osob (</w:t>
      </w:r>
      <w:r w:rsidR="00F04140">
        <w:t>541</w:t>
      </w:r>
      <w:r>
        <w:t xml:space="preserve"> žen a </w:t>
      </w:r>
      <w:r w:rsidR="00031746">
        <w:t>514</w:t>
      </w:r>
      <w:r>
        <w:t xml:space="preserve"> mužů).</w:t>
      </w:r>
    </w:p>
    <w:p w14:paraId="0DBACC8D" w14:textId="08AC45B9" w:rsidR="00581731" w:rsidRPr="00581731" w:rsidRDefault="00581731" w:rsidP="00C320A8">
      <w:pPr>
        <w:pStyle w:val="Titulek"/>
      </w:pPr>
      <w:bookmarkStart w:id="52" w:name="_Toc45512984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9</w:t>
      </w:r>
      <w:r w:rsidR="00FC5B08">
        <w:rPr>
          <w:noProof/>
        </w:rPr>
        <w:fldChar w:fldCharType="end"/>
      </w:r>
      <w:r>
        <w:t xml:space="preserve"> P</w:t>
      </w:r>
      <w:r w:rsidRPr="00CC6405">
        <w:t xml:space="preserve">očet </w:t>
      </w:r>
      <w:r w:rsidR="00767ADD" w:rsidRPr="00CC6405">
        <w:t>za</w:t>
      </w:r>
      <w:r w:rsidR="00767ADD">
        <w:t>městnanců – ministerstva</w:t>
      </w:r>
      <w:bookmarkEnd w:id="52"/>
    </w:p>
    <w:p w14:paraId="5245F365" w14:textId="77777777" w:rsidR="005549B7" w:rsidRDefault="005549B7" w:rsidP="00767ADD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4A1DBD8C" wp14:editId="1D01B831">
            <wp:extent cx="4991100" cy="27813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097500B" w14:textId="77777777" w:rsidR="00497C26" w:rsidRPr="00AC25B3" w:rsidRDefault="00497C26" w:rsidP="00E10D06">
      <w:pPr>
        <w:pStyle w:val="Nadpis3"/>
      </w:pPr>
      <w:bookmarkStart w:id="53" w:name="_Toc24641602"/>
      <w:r w:rsidRPr="00581731">
        <w:lastRenderedPageBreak/>
        <w:t>Zaměstnávání</w:t>
      </w:r>
      <w:r w:rsidRPr="00AC25B3">
        <w:t xml:space="preserve"> </w:t>
      </w:r>
      <w:r w:rsidR="00F54B0E">
        <w:t>v</w:t>
      </w:r>
      <w:r w:rsidRPr="00AC25B3">
        <w:t xml:space="preserve"> </w:t>
      </w:r>
      <w:r>
        <w:t>ústředních orgánech státní správy</w:t>
      </w:r>
      <w:bookmarkEnd w:id="53"/>
    </w:p>
    <w:p w14:paraId="27E6947C" w14:textId="2E402D0E" w:rsidR="00497C26" w:rsidRDefault="00F54B0E" w:rsidP="00085169">
      <w:pPr>
        <w:pStyle w:val="Odstavecseseznamem"/>
      </w:pPr>
      <w:r w:rsidRPr="00F54B0E">
        <w:t>V ústředních orgánech státní správy</w:t>
      </w:r>
      <w:r>
        <w:t xml:space="preserve"> </w:t>
      </w:r>
      <w:r w:rsidR="00497C26">
        <w:t>bylo ve služebním i</w:t>
      </w:r>
      <w:r w:rsidR="00497C26" w:rsidRPr="004059B7">
        <w:t xml:space="preserve"> pracovním poměru</w:t>
      </w:r>
      <w:r w:rsidR="00807D19">
        <w:t xml:space="preserve"> a </w:t>
      </w:r>
      <w:r w:rsidR="00497C26">
        <w:t>n</w:t>
      </w:r>
      <w:r w:rsidR="00807D19">
        <w:t>a </w:t>
      </w:r>
      <w:r w:rsidR="00497C26" w:rsidRPr="004059B7">
        <w:t>základě doho</w:t>
      </w:r>
      <w:r w:rsidR="00497C26">
        <w:t xml:space="preserve">d zaměstnáno celkem </w:t>
      </w:r>
      <w:r w:rsidRPr="00797AAE">
        <w:t>3 458</w:t>
      </w:r>
      <w:r w:rsidR="00497C26" w:rsidRPr="00797AAE">
        <w:t xml:space="preserve"> osob</w:t>
      </w:r>
      <w:r w:rsidR="00B62CC7">
        <w:t xml:space="preserve"> (</w:t>
      </w:r>
      <w:r w:rsidRPr="00797AAE">
        <w:t xml:space="preserve">1 916 </w:t>
      </w:r>
      <w:r w:rsidR="00497C26" w:rsidRPr="00797AAE">
        <w:t xml:space="preserve">žen a </w:t>
      </w:r>
      <w:r w:rsidRPr="00797AAE">
        <w:t>1 718</w:t>
      </w:r>
      <w:r w:rsidR="00497C26" w:rsidRPr="00797AAE">
        <w:t xml:space="preserve"> mužů</w:t>
      </w:r>
      <w:r w:rsidR="00B62CC7">
        <w:t>)</w:t>
      </w:r>
      <w:r w:rsidR="00497C26" w:rsidRPr="00797AAE">
        <w:t>.</w:t>
      </w:r>
    </w:p>
    <w:p w14:paraId="53DB0E65" w14:textId="77777777" w:rsidR="00497C26" w:rsidRPr="004059B7" w:rsidRDefault="00497C26" w:rsidP="00427569">
      <w:pPr>
        <w:pStyle w:val="Odstavecseseznamem"/>
      </w:pPr>
      <w:r>
        <w:t xml:space="preserve">Ve služebním poměru bylo </w:t>
      </w:r>
      <w:r w:rsidR="00F54B0E">
        <w:t>2 092</w:t>
      </w:r>
      <w:r>
        <w:t xml:space="preserve"> osob (</w:t>
      </w:r>
      <w:r w:rsidR="00F54B0E">
        <w:t>1 127</w:t>
      </w:r>
      <w:r>
        <w:t xml:space="preserve"> žen a </w:t>
      </w:r>
      <w:r w:rsidR="00F54B0E">
        <w:t>965</w:t>
      </w:r>
      <w:r>
        <w:t xml:space="preserve"> mužů), z toho </w:t>
      </w:r>
      <w:r w:rsidR="00F54B0E">
        <w:t>5,2</w:t>
      </w:r>
      <w:r w:rsidR="00F575A5">
        <w:t xml:space="preserve"> %</w:t>
      </w:r>
      <w:r>
        <w:t xml:space="preserve">, </w:t>
      </w:r>
      <w:r w:rsidR="00F54B0E">
        <w:t>109</w:t>
      </w:r>
      <w:r w:rsidR="00BD72DA">
        <w:t> </w:t>
      </w:r>
      <w:r>
        <w:t xml:space="preserve">osob, mělo kratší služební dobu </w:t>
      </w:r>
      <w:r w:rsidRPr="00E34264">
        <w:t>(</w:t>
      </w:r>
      <w:r w:rsidR="00F54B0E">
        <w:t>71</w:t>
      </w:r>
      <w:r>
        <w:t xml:space="preserve"> žen a </w:t>
      </w:r>
      <w:r w:rsidR="00F54B0E">
        <w:t>38</w:t>
      </w:r>
      <w:r>
        <w:t xml:space="preserve"> mužů).</w:t>
      </w:r>
    </w:p>
    <w:p w14:paraId="15C41F1F" w14:textId="77777777" w:rsidR="00497C26" w:rsidRDefault="00497C26" w:rsidP="00427569">
      <w:pPr>
        <w:pStyle w:val="Odstavecseseznamem"/>
      </w:pPr>
      <w:r>
        <w:t>V pracovním poměru bylo</w:t>
      </w:r>
      <w:r w:rsidRPr="004059B7">
        <w:t xml:space="preserve"> </w:t>
      </w:r>
      <w:r w:rsidR="00F54B0E">
        <w:t>893</w:t>
      </w:r>
      <w:r w:rsidRPr="004059B7">
        <w:t xml:space="preserve"> </w:t>
      </w:r>
      <w:r>
        <w:t>zaměstnanců (</w:t>
      </w:r>
      <w:r w:rsidR="00F54B0E">
        <w:t>501</w:t>
      </w:r>
      <w:r>
        <w:t xml:space="preserve"> žen a </w:t>
      </w:r>
      <w:r w:rsidR="00F54B0E">
        <w:t>392</w:t>
      </w:r>
      <w:r>
        <w:t xml:space="preserve"> mužů), z toho</w:t>
      </w:r>
      <w:r w:rsidRPr="004059B7">
        <w:t xml:space="preserve"> jich prá</w:t>
      </w:r>
      <w:r>
        <w:t>ci na zkrácený úvazek vykonával</w:t>
      </w:r>
      <w:r w:rsidR="00465361">
        <w:t>o</w:t>
      </w:r>
      <w:r w:rsidR="00F54B0E">
        <w:t xml:space="preserve"> 7,5</w:t>
      </w:r>
      <w:r w:rsidR="00F575A5">
        <w:t xml:space="preserve"> %</w:t>
      </w:r>
      <w:r>
        <w:t xml:space="preserve">, </w:t>
      </w:r>
      <w:r w:rsidR="00F54B0E">
        <w:t>67</w:t>
      </w:r>
      <w:r>
        <w:t xml:space="preserve"> osob (</w:t>
      </w:r>
      <w:r w:rsidR="00F54B0E">
        <w:t>44</w:t>
      </w:r>
      <w:r>
        <w:t xml:space="preserve"> žen a </w:t>
      </w:r>
      <w:r w:rsidR="00F54B0E">
        <w:t>23</w:t>
      </w:r>
      <w:r>
        <w:t xml:space="preserve"> mužů).</w:t>
      </w:r>
    </w:p>
    <w:p w14:paraId="1FEAA75B" w14:textId="3F0519EE" w:rsidR="00497C26" w:rsidRDefault="00497C26" w:rsidP="00427569">
      <w:pPr>
        <w:pStyle w:val="Odstavecseseznamem"/>
      </w:pPr>
      <w:r>
        <w:t>N</w:t>
      </w:r>
      <w:r w:rsidRPr="004059B7">
        <w:t>a základě doho</w:t>
      </w:r>
      <w:r>
        <w:t xml:space="preserve">d práci vykonávalo </w:t>
      </w:r>
      <w:r w:rsidR="00F54B0E">
        <w:t>473</w:t>
      </w:r>
      <w:r>
        <w:t xml:space="preserve"> osob (</w:t>
      </w:r>
      <w:r w:rsidR="00F54B0E">
        <w:t>173</w:t>
      </w:r>
      <w:r>
        <w:t xml:space="preserve"> žen a </w:t>
      </w:r>
      <w:r w:rsidR="00F54B0E">
        <w:t>300</w:t>
      </w:r>
      <w:r>
        <w:t xml:space="preserve"> mužů).</w:t>
      </w:r>
    </w:p>
    <w:p w14:paraId="0822FF4A" w14:textId="29836DE7" w:rsidR="00581731" w:rsidRPr="00581731" w:rsidRDefault="00581731" w:rsidP="00C320A8">
      <w:pPr>
        <w:pStyle w:val="Titulek"/>
      </w:pPr>
      <w:bookmarkStart w:id="54" w:name="_Toc45512985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10</w:t>
      </w:r>
      <w:r w:rsidR="00FC5B08">
        <w:rPr>
          <w:noProof/>
        </w:rPr>
        <w:fldChar w:fldCharType="end"/>
      </w:r>
      <w:r>
        <w:t xml:space="preserve"> Počet </w:t>
      </w:r>
      <w:r w:rsidRPr="00E858B7">
        <w:t>zaměstnanců – ústřední orgány státní správy</w:t>
      </w:r>
      <w:bookmarkEnd w:id="54"/>
    </w:p>
    <w:p w14:paraId="41A87A52" w14:textId="77777777" w:rsidR="00581731" w:rsidRPr="00C64BB8" w:rsidRDefault="007265D5" w:rsidP="00580F10">
      <w:pPr>
        <w:jc w:val="center"/>
        <w:rPr>
          <w:color w:val="000000" w:themeColor="text1"/>
          <w:sz w:val="20"/>
        </w:rPr>
      </w:pPr>
      <w:r>
        <w:rPr>
          <w:noProof/>
        </w:rPr>
        <w:drawing>
          <wp:inline distT="0" distB="0" distL="0" distR="0" wp14:anchorId="267B3A4D" wp14:editId="1777B858">
            <wp:extent cx="5057775" cy="2743200"/>
            <wp:effectExtent l="0" t="0" r="9525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7697DB8" w14:textId="78562D1E" w:rsidR="00DE46AF" w:rsidRPr="00CA12B8" w:rsidRDefault="00DE46AF" w:rsidP="00C320A8">
      <w:pPr>
        <w:pStyle w:val="Titulek"/>
      </w:pPr>
      <w:bookmarkStart w:id="55" w:name="_Toc45512986"/>
      <w:r w:rsidRPr="00CA12B8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11</w:t>
      </w:r>
      <w:r w:rsidR="00FC5B08">
        <w:rPr>
          <w:noProof/>
        </w:rPr>
        <w:fldChar w:fldCharType="end"/>
      </w:r>
      <w:r w:rsidRPr="00CA12B8">
        <w:t xml:space="preserve"> Počet zaměstnanců dle úřadu a druhu zaměstnaneckého poměru</w:t>
      </w:r>
      <w:bookmarkEnd w:id="55"/>
    </w:p>
    <w:p w14:paraId="2508E532" w14:textId="77777777" w:rsidR="00133032" w:rsidRPr="00085169" w:rsidRDefault="00133032" w:rsidP="00560371">
      <w:pPr>
        <w:jc w:val="center"/>
        <w:rPr>
          <w:color w:val="000000" w:themeColor="text1"/>
          <w:sz w:val="20"/>
        </w:rPr>
      </w:pPr>
      <w:r>
        <w:rPr>
          <w:noProof/>
        </w:rPr>
        <w:drawing>
          <wp:inline distT="0" distB="0" distL="0" distR="0" wp14:anchorId="07948684" wp14:editId="6051B976">
            <wp:extent cx="5019675" cy="2924175"/>
            <wp:effectExtent l="0" t="0" r="9525" b="9525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14D71A0" w14:textId="77777777" w:rsidR="003D65AE" w:rsidRPr="005549B7" w:rsidRDefault="008C48DA" w:rsidP="00E10D06">
      <w:pPr>
        <w:pStyle w:val="Nadpis3"/>
      </w:pPr>
      <w:r>
        <w:lastRenderedPageBreak/>
        <w:t>Shrnutí</w:t>
      </w:r>
    </w:p>
    <w:p w14:paraId="730CE562" w14:textId="3F8D1990" w:rsidR="003D65AE" w:rsidRPr="008C48DA" w:rsidRDefault="00E975B6" w:rsidP="00325095">
      <w:r w:rsidRPr="008C48DA">
        <w:t>Dle zjištění čin</w:t>
      </w:r>
      <w:r w:rsidR="003D53BB">
        <w:t>il</w:t>
      </w:r>
      <w:r w:rsidR="003D65AE" w:rsidRPr="008C48DA">
        <w:t xml:space="preserve"> počet </w:t>
      </w:r>
      <w:r w:rsidR="003D65AE" w:rsidRPr="008C48DA">
        <w:rPr>
          <w:b/>
        </w:rPr>
        <w:t>zaměstnanců v úřadech 78 318 osob</w:t>
      </w:r>
      <w:r w:rsidR="00EE0BC5">
        <w:rPr>
          <w:b/>
        </w:rPr>
        <w:t>,</w:t>
      </w:r>
      <w:r w:rsidR="003D65AE" w:rsidRPr="008C48DA">
        <w:t xml:space="preserve"> z nichž 71,7</w:t>
      </w:r>
      <w:r w:rsidR="00F575A5" w:rsidRPr="008C48DA">
        <w:t xml:space="preserve"> %</w:t>
      </w:r>
      <w:r w:rsidR="003D65AE" w:rsidRPr="008C48DA">
        <w:t xml:space="preserve"> tvoří ženy.  </w:t>
      </w:r>
      <w:r w:rsidR="00EE0BC5">
        <w:t>Bez zaměstnanců vykonávající práci na základě dohod</w:t>
      </w:r>
      <w:r w:rsidR="009F1497">
        <w:t xml:space="preserve"> </w:t>
      </w:r>
      <w:r w:rsidR="00EE0BC5">
        <w:t>tento počet činil 74</w:t>
      </w:r>
      <w:r w:rsidR="009F1497">
        <w:t> </w:t>
      </w:r>
      <w:r w:rsidR="00EE0BC5">
        <w:t>599</w:t>
      </w:r>
      <w:r w:rsidR="009F1497">
        <w:t xml:space="preserve"> osob</w:t>
      </w:r>
      <w:r w:rsidR="00EE0BC5">
        <w:t>.</w:t>
      </w:r>
    </w:p>
    <w:p w14:paraId="50C8CDC5" w14:textId="124CBAC1" w:rsidR="003D65AE" w:rsidRPr="008C48DA" w:rsidRDefault="003D65AE" w:rsidP="00325095">
      <w:r w:rsidRPr="008C48DA">
        <w:t>73,1</w:t>
      </w:r>
      <w:r w:rsidR="00F575A5" w:rsidRPr="008C48DA">
        <w:t xml:space="preserve"> %</w:t>
      </w:r>
      <w:r w:rsidRPr="008C48DA">
        <w:t xml:space="preserve"> zaměstnanců </w:t>
      </w:r>
      <w:r w:rsidR="003D53BB">
        <w:t>bylo</w:t>
      </w:r>
      <w:r w:rsidRPr="008C48DA">
        <w:t xml:space="preserve"> ve služebním poměru, podíl žen </w:t>
      </w:r>
      <w:r w:rsidR="003D53BB">
        <w:t>byl</w:t>
      </w:r>
      <w:r w:rsidRPr="008C48DA">
        <w:t xml:space="preserve"> 76,6</w:t>
      </w:r>
      <w:r w:rsidR="00F575A5" w:rsidRPr="008C48DA">
        <w:t xml:space="preserve"> %</w:t>
      </w:r>
      <w:r w:rsidRPr="008C48DA">
        <w:t>. 5</w:t>
      </w:r>
      <w:r w:rsidR="00F575A5" w:rsidRPr="008C48DA">
        <w:t xml:space="preserve"> %</w:t>
      </w:r>
      <w:r w:rsidRPr="008C48DA">
        <w:t xml:space="preserve"> žen a 1,9</w:t>
      </w:r>
      <w:r w:rsidR="00F575A5" w:rsidRPr="008C48DA">
        <w:t xml:space="preserve"> %</w:t>
      </w:r>
      <w:r w:rsidRPr="008C48DA">
        <w:t xml:space="preserve"> mužů využív</w:t>
      </w:r>
      <w:r w:rsidR="003D53BB">
        <w:t>alo</w:t>
      </w:r>
      <w:r w:rsidRPr="008C48DA">
        <w:t xml:space="preserve"> kratší služební dobu. </w:t>
      </w:r>
    </w:p>
    <w:p w14:paraId="1945F6DE" w14:textId="1C1D56DB" w:rsidR="003D53BB" w:rsidRDefault="003D65AE" w:rsidP="00325095">
      <w:r w:rsidRPr="008C48DA">
        <w:t xml:space="preserve">V pracovním poměru </w:t>
      </w:r>
      <w:r w:rsidR="003D53BB">
        <w:t>bylo</w:t>
      </w:r>
      <w:r w:rsidRPr="008C48DA">
        <w:t xml:space="preserve"> 22,2</w:t>
      </w:r>
      <w:r w:rsidR="00F575A5" w:rsidRPr="008C48DA">
        <w:t xml:space="preserve"> %</w:t>
      </w:r>
      <w:r w:rsidRPr="008C48DA">
        <w:t xml:space="preserve"> zaměstnanců, podíl žen </w:t>
      </w:r>
      <w:r w:rsidR="003D53BB">
        <w:t>byl</w:t>
      </w:r>
      <w:r w:rsidRPr="008C48DA">
        <w:t> 60,1</w:t>
      </w:r>
      <w:r w:rsidR="00F575A5" w:rsidRPr="008C48DA">
        <w:t xml:space="preserve"> %</w:t>
      </w:r>
      <w:r w:rsidRPr="008C48DA">
        <w:t>. Kratší pracovní dobu využív</w:t>
      </w:r>
      <w:r w:rsidR="003D53BB">
        <w:t>alo</w:t>
      </w:r>
      <w:r w:rsidRPr="008C48DA">
        <w:t xml:space="preserve"> 6,1</w:t>
      </w:r>
      <w:r w:rsidR="00F575A5" w:rsidRPr="008C48DA">
        <w:t xml:space="preserve"> %</w:t>
      </w:r>
      <w:r w:rsidRPr="008C48DA">
        <w:t xml:space="preserve"> žen a 3</w:t>
      </w:r>
      <w:r w:rsidR="00F575A5" w:rsidRPr="008C48DA">
        <w:t xml:space="preserve"> %</w:t>
      </w:r>
      <w:r w:rsidRPr="008C48DA">
        <w:t xml:space="preserve"> mužů. </w:t>
      </w:r>
    </w:p>
    <w:p w14:paraId="428AF16F" w14:textId="518D03E8" w:rsidR="00A47B81" w:rsidRPr="008C48DA" w:rsidRDefault="003D65AE" w:rsidP="00325095">
      <w:r w:rsidRPr="008C48DA">
        <w:t>Na základě dohod o pracích konaných mimo pracovní poměr prac</w:t>
      </w:r>
      <w:r w:rsidR="003D53BB">
        <w:t>ovalo</w:t>
      </w:r>
      <w:r w:rsidRPr="008C48DA">
        <w:t xml:space="preserve"> 4,7</w:t>
      </w:r>
      <w:r w:rsidR="00F575A5" w:rsidRPr="008C48DA">
        <w:t xml:space="preserve"> %</w:t>
      </w:r>
      <w:r w:rsidRPr="008C48DA">
        <w:t xml:space="preserve"> zaměstnanců, z nichž podíl žen </w:t>
      </w:r>
      <w:r w:rsidR="003D53BB">
        <w:t>byl</w:t>
      </w:r>
      <w:r w:rsidRPr="008C48DA">
        <w:t xml:space="preserve"> 50,4</w:t>
      </w:r>
      <w:r w:rsidR="00F575A5" w:rsidRPr="008C48DA">
        <w:t xml:space="preserve"> %</w:t>
      </w:r>
      <w:r w:rsidRPr="008C48DA">
        <w:t>.</w:t>
      </w:r>
      <w:bookmarkStart w:id="56" w:name="_Toc20135689"/>
      <w:bookmarkStart w:id="57" w:name="_Toc20135738"/>
      <w:bookmarkStart w:id="58" w:name="_Toc20138762"/>
      <w:bookmarkStart w:id="59" w:name="_Toc20138808"/>
      <w:bookmarkStart w:id="60" w:name="_Toc20138828"/>
      <w:bookmarkStart w:id="61" w:name="_Toc20138847"/>
      <w:bookmarkStart w:id="62" w:name="_Toc20138867"/>
      <w:bookmarkEnd w:id="56"/>
      <w:bookmarkEnd w:id="57"/>
      <w:bookmarkEnd w:id="58"/>
      <w:bookmarkEnd w:id="59"/>
      <w:bookmarkEnd w:id="60"/>
      <w:bookmarkEnd w:id="61"/>
      <w:bookmarkEnd w:id="62"/>
    </w:p>
    <w:p w14:paraId="675CF442" w14:textId="58B73B76" w:rsidR="00A47B81" w:rsidRPr="008C48DA" w:rsidRDefault="00A47B81" w:rsidP="00325095">
      <w:r w:rsidRPr="008C48DA">
        <w:t xml:space="preserve">Téměř </w:t>
      </w:r>
      <w:r w:rsidRPr="008C48DA">
        <w:rPr>
          <w:b/>
        </w:rPr>
        <w:t xml:space="preserve">¾ zaměstnanců </w:t>
      </w:r>
      <w:r w:rsidR="00777272" w:rsidRPr="008C48DA">
        <w:rPr>
          <w:b/>
        </w:rPr>
        <w:t xml:space="preserve">zahrnutých do průzkumu </w:t>
      </w:r>
      <w:r w:rsidRPr="008C48DA">
        <w:rPr>
          <w:b/>
        </w:rPr>
        <w:t>prac</w:t>
      </w:r>
      <w:r w:rsidR="003D53BB">
        <w:rPr>
          <w:b/>
        </w:rPr>
        <w:t>ovalo</w:t>
      </w:r>
      <w:r w:rsidRPr="008C48DA">
        <w:rPr>
          <w:b/>
        </w:rPr>
        <w:t xml:space="preserve"> v organizačních složkách ministerstev </w:t>
      </w:r>
      <w:r w:rsidR="00781EBD" w:rsidRPr="008C48DA">
        <w:t>(67</w:t>
      </w:r>
      <w:r w:rsidR="00F575A5" w:rsidRPr="008C48DA">
        <w:t xml:space="preserve"> %</w:t>
      </w:r>
      <w:r w:rsidR="00465361">
        <w:t>)</w:t>
      </w:r>
      <w:r w:rsidRPr="008C48DA">
        <w:t xml:space="preserve">, v jednotlivých </w:t>
      </w:r>
      <w:r w:rsidR="00781EBD" w:rsidRPr="008C48DA">
        <w:t>ministerst</w:t>
      </w:r>
      <w:r w:rsidRPr="008C48DA">
        <w:t>v</w:t>
      </w:r>
      <w:r w:rsidR="00781EBD" w:rsidRPr="008C48DA">
        <w:t>ech</w:t>
      </w:r>
      <w:r w:rsidRPr="008C48DA">
        <w:t xml:space="preserve"> pak </w:t>
      </w:r>
      <w:r w:rsidR="003D53BB">
        <w:t xml:space="preserve">byla </w:t>
      </w:r>
      <w:r w:rsidRPr="008C48DA">
        <w:t>zaměstnána téměř čtvrtina (2</w:t>
      </w:r>
      <w:r w:rsidR="00781EBD" w:rsidRPr="008C48DA">
        <w:t>4</w:t>
      </w:r>
      <w:r w:rsidR="003D53BB">
        <w:t> </w:t>
      </w:r>
      <w:r w:rsidR="00F575A5" w:rsidRPr="008C48DA">
        <w:t>%</w:t>
      </w:r>
      <w:r w:rsidRPr="008C48DA">
        <w:t>), zbylá 4</w:t>
      </w:r>
      <w:r w:rsidR="00F575A5" w:rsidRPr="008C48DA">
        <w:t xml:space="preserve"> %</w:t>
      </w:r>
      <w:r w:rsidRPr="008C48DA">
        <w:t xml:space="preserve"> prac</w:t>
      </w:r>
      <w:r w:rsidR="003D53BB">
        <w:t>ovala</w:t>
      </w:r>
      <w:r w:rsidRPr="008C48DA">
        <w:t xml:space="preserve"> v ústředních orgánech státní správy.</w:t>
      </w:r>
    </w:p>
    <w:p w14:paraId="594A3729" w14:textId="576BAF56" w:rsidR="000D5AE4" w:rsidRPr="00020EEF" w:rsidRDefault="00BB5180" w:rsidP="00020EEF">
      <w:r w:rsidRPr="008C48DA">
        <w:t>Na ministerstvech prac</w:t>
      </w:r>
      <w:r w:rsidR="00EE0BC5">
        <w:t>oval</w:t>
      </w:r>
      <w:r w:rsidRPr="008C48DA">
        <w:t xml:space="preserve"> v porovnání s ostatními úřady největší podíl osob v pracovním poměru a na základě dohod (41,4</w:t>
      </w:r>
      <w:r w:rsidR="00F575A5" w:rsidRPr="008C48DA">
        <w:t xml:space="preserve"> %</w:t>
      </w:r>
      <w:r w:rsidRPr="008C48DA">
        <w:t xml:space="preserve"> a 9,7</w:t>
      </w:r>
      <w:r w:rsidR="00F575A5" w:rsidRPr="008C48DA">
        <w:t xml:space="preserve"> %</w:t>
      </w:r>
      <w:r w:rsidRPr="008C48DA">
        <w:t xml:space="preserve">). </w:t>
      </w:r>
      <w:r w:rsidR="0074454D" w:rsidRPr="008C48DA">
        <w:t>Nejvyšší</w:t>
      </w:r>
      <w:r w:rsidRPr="008C48DA">
        <w:t xml:space="preserve"> podíl osob ve služebním poměru </w:t>
      </w:r>
      <w:r w:rsidR="00EE0BC5">
        <w:t>byl</w:t>
      </w:r>
      <w:r w:rsidRPr="008C48DA">
        <w:t xml:space="preserve"> zaměstn</w:t>
      </w:r>
      <w:r w:rsidR="00EE0BC5">
        <w:t>án</w:t>
      </w:r>
      <w:r w:rsidRPr="008C48DA">
        <w:t xml:space="preserve"> ve vybraných organizačn</w:t>
      </w:r>
      <w:r w:rsidR="008C48DA" w:rsidRPr="008C48DA">
        <w:t xml:space="preserve">ích složkách ministerstev, kde </w:t>
      </w:r>
      <w:r w:rsidRPr="008C48DA">
        <w:t>dosah</w:t>
      </w:r>
      <w:r w:rsidR="00EE0BC5">
        <w:t>oval</w:t>
      </w:r>
      <w:r w:rsidRPr="008C48DA">
        <w:t xml:space="preserve"> 84,3</w:t>
      </w:r>
      <w:r w:rsidR="00F575A5" w:rsidRPr="008C48DA">
        <w:t xml:space="preserve"> %</w:t>
      </w:r>
      <w:r w:rsidRPr="008C48DA">
        <w:t xml:space="preserve">, </w:t>
      </w:r>
      <w:r w:rsidR="0074454D" w:rsidRPr="008C48DA">
        <w:t>naopak je zde zaměstnáno nejnižší procento osob na základě dohod, a to 2</w:t>
      </w:r>
      <w:r w:rsidR="00F575A5" w:rsidRPr="008C48DA">
        <w:t xml:space="preserve"> %</w:t>
      </w:r>
      <w:r w:rsidR="0074454D" w:rsidRPr="008C48DA">
        <w:t>.</w:t>
      </w:r>
    </w:p>
    <w:p w14:paraId="273D595B" w14:textId="2AC817EA" w:rsidR="00624BA9" w:rsidRPr="006E11D9" w:rsidRDefault="00B57221" w:rsidP="009B209E">
      <w:pPr>
        <w:pStyle w:val="Nadpis2"/>
        <w:rPr>
          <w:color w:val="76923C" w:themeColor="accent3" w:themeShade="BF"/>
        </w:rPr>
      </w:pPr>
      <w:bookmarkStart w:id="63" w:name="_Toc45513055"/>
      <w:r w:rsidRPr="006E11D9">
        <w:rPr>
          <w:color w:val="76923C" w:themeColor="accent3" w:themeShade="BF"/>
        </w:rPr>
        <w:t>P</w:t>
      </w:r>
      <w:r w:rsidR="00624BA9" w:rsidRPr="006E11D9">
        <w:rPr>
          <w:color w:val="76923C" w:themeColor="accent3" w:themeShade="BF"/>
        </w:rPr>
        <w:t>očet zaměstnanců se zdravotním postižením v úřadech</w:t>
      </w:r>
      <w:bookmarkEnd w:id="63"/>
    </w:p>
    <w:p w14:paraId="7799D0FF" w14:textId="77278454" w:rsidR="00785B2D" w:rsidRDefault="00E83AB3" w:rsidP="006D73E8">
      <w:pPr>
        <w:pStyle w:val="Odstavecseseznamem"/>
      </w:pPr>
      <w:bookmarkStart w:id="64" w:name="_Toc20318343"/>
      <w:bookmarkStart w:id="65" w:name="_Toc20736904"/>
      <w:bookmarkStart w:id="66" w:name="_Toc20836913"/>
      <w:bookmarkStart w:id="67" w:name="_Toc20836993"/>
      <w:bookmarkStart w:id="68" w:name="_Toc20837080"/>
      <w:bookmarkStart w:id="69" w:name="_Toc20837753"/>
      <w:bookmarkStart w:id="70" w:name="_Toc20838182"/>
      <w:bookmarkStart w:id="71" w:name="_Toc20838223"/>
      <w:bookmarkStart w:id="72" w:name="_Toc21005736"/>
      <w:bookmarkStart w:id="73" w:name="_Toc21069979"/>
      <w:bookmarkStart w:id="74" w:name="_Toc21520839"/>
      <w:bookmarkStart w:id="75" w:name="_Toc21603278"/>
      <w:bookmarkStart w:id="76" w:name="_Toc21614000"/>
      <w:bookmarkStart w:id="77" w:name="_Toc21614876"/>
      <w:bookmarkStart w:id="78" w:name="_Toc21935922"/>
      <w:bookmarkStart w:id="79" w:name="_Toc21958302"/>
      <w:bookmarkStart w:id="80" w:name="_Toc21958358"/>
      <w:bookmarkStart w:id="81" w:name="_Toc22019391"/>
      <w:bookmarkStart w:id="82" w:name="_Toc22019447"/>
      <w:bookmarkStart w:id="83" w:name="_Toc22026779"/>
      <w:bookmarkStart w:id="84" w:name="_Toc24641198"/>
      <w:bookmarkStart w:id="85" w:name="_Toc24641272"/>
      <w:bookmarkStart w:id="86" w:name="_Toc24641340"/>
      <w:bookmarkStart w:id="87" w:name="_Toc24641407"/>
      <w:bookmarkStart w:id="88" w:name="_Toc24641473"/>
      <w:bookmarkStart w:id="89" w:name="_Toc24641538"/>
      <w:bookmarkStart w:id="90" w:name="_Toc24641603"/>
      <w:bookmarkStart w:id="91" w:name="_Toc40358752"/>
      <w:bookmarkStart w:id="92" w:name="_Toc40358955"/>
      <w:bookmarkStart w:id="93" w:name="_Toc40359564"/>
      <w:bookmarkStart w:id="94" w:name="_Toc40360025"/>
      <w:bookmarkStart w:id="95" w:name="_Toc40360431"/>
      <w:bookmarkStart w:id="96" w:name="_Toc40360458"/>
      <w:bookmarkStart w:id="97" w:name="_Toc40360491"/>
      <w:bookmarkStart w:id="98" w:name="_Toc40360524"/>
      <w:bookmarkStart w:id="99" w:name="_Toc40360568"/>
      <w:bookmarkStart w:id="100" w:name="_Toc40360595"/>
      <w:bookmarkStart w:id="101" w:name="_Toc44672235"/>
      <w:bookmarkStart w:id="102" w:name="_Toc45017940"/>
      <w:bookmarkStart w:id="103" w:name="_Toc45017967"/>
      <w:bookmarkStart w:id="104" w:name="_Toc45018015"/>
      <w:bookmarkStart w:id="105" w:name="_Toc45018399"/>
      <w:bookmarkStart w:id="106" w:name="_Toc45023101"/>
      <w:bookmarkStart w:id="107" w:name="_Toc45029252"/>
      <w:bookmarkStart w:id="108" w:name="_Toc45116351"/>
      <w:bookmarkStart w:id="109" w:name="_Toc45179501"/>
      <w:bookmarkStart w:id="110" w:name="_Toc45201239"/>
      <w:bookmarkStart w:id="111" w:name="_Toc45266494"/>
      <w:bookmarkStart w:id="112" w:name="_Toc45274242"/>
      <w:bookmarkStart w:id="113" w:name="_Toc45274285"/>
      <w:bookmarkStart w:id="114" w:name="_Toc45277811"/>
      <w:bookmarkStart w:id="115" w:name="_Toc45278409"/>
      <w:bookmarkStart w:id="116" w:name="_Toc45282202"/>
      <w:bookmarkStart w:id="117" w:name="_Toc45282229"/>
      <w:bookmarkStart w:id="118" w:name="_Toc40359565"/>
      <w:bookmarkStart w:id="119" w:name="_Toc40360026"/>
      <w:bookmarkStart w:id="120" w:name="_Toc40360432"/>
      <w:bookmarkStart w:id="121" w:name="_Toc40360459"/>
      <w:bookmarkStart w:id="122" w:name="_Toc40360492"/>
      <w:bookmarkStart w:id="123" w:name="_Toc40360525"/>
      <w:bookmarkStart w:id="124" w:name="_Toc40360569"/>
      <w:bookmarkStart w:id="125" w:name="_Toc40360596"/>
      <w:bookmarkStart w:id="126" w:name="_Toc44672236"/>
      <w:bookmarkStart w:id="127" w:name="_Toc45017941"/>
      <w:bookmarkStart w:id="128" w:name="_Toc45017968"/>
      <w:bookmarkStart w:id="129" w:name="_Toc45018016"/>
      <w:bookmarkStart w:id="130" w:name="_Toc45018400"/>
      <w:bookmarkStart w:id="131" w:name="_Toc45023102"/>
      <w:bookmarkStart w:id="132" w:name="_Toc45029253"/>
      <w:bookmarkStart w:id="133" w:name="_Toc45116352"/>
      <w:bookmarkStart w:id="134" w:name="_Toc45179502"/>
      <w:bookmarkStart w:id="135" w:name="_Toc45201240"/>
      <w:bookmarkStart w:id="136" w:name="_Toc45266495"/>
      <w:bookmarkStart w:id="137" w:name="_Toc45274243"/>
      <w:bookmarkStart w:id="138" w:name="_Toc45274286"/>
      <w:bookmarkStart w:id="139" w:name="_Toc45277812"/>
      <w:bookmarkStart w:id="140" w:name="_Toc45278410"/>
      <w:bookmarkStart w:id="141" w:name="_Toc45282203"/>
      <w:bookmarkStart w:id="142" w:name="_Toc45282230"/>
      <w:bookmarkStart w:id="143" w:name="_Toc40359566"/>
      <w:bookmarkStart w:id="144" w:name="_Toc40360027"/>
      <w:bookmarkStart w:id="145" w:name="_Toc40360433"/>
      <w:bookmarkStart w:id="146" w:name="_Toc40360460"/>
      <w:bookmarkStart w:id="147" w:name="_Toc40360493"/>
      <w:bookmarkStart w:id="148" w:name="_Toc40360526"/>
      <w:bookmarkStart w:id="149" w:name="_Toc40360570"/>
      <w:bookmarkStart w:id="150" w:name="_Toc40360597"/>
      <w:bookmarkStart w:id="151" w:name="_Toc44672237"/>
      <w:bookmarkStart w:id="152" w:name="_Toc45017942"/>
      <w:bookmarkStart w:id="153" w:name="_Toc45017969"/>
      <w:bookmarkStart w:id="154" w:name="_Toc45018017"/>
      <w:bookmarkStart w:id="155" w:name="_Toc45018401"/>
      <w:bookmarkStart w:id="156" w:name="_Toc45023103"/>
      <w:bookmarkStart w:id="157" w:name="_Toc45029254"/>
      <w:bookmarkStart w:id="158" w:name="_Toc45116353"/>
      <w:bookmarkStart w:id="159" w:name="_Toc45179503"/>
      <w:bookmarkStart w:id="160" w:name="_Toc45201241"/>
      <w:bookmarkStart w:id="161" w:name="_Toc45266496"/>
      <w:bookmarkStart w:id="162" w:name="_Toc45274244"/>
      <w:bookmarkStart w:id="163" w:name="_Toc45274287"/>
      <w:bookmarkStart w:id="164" w:name="_Toc45277813"/>
      <w:bookmarkStart w:id="165" w:name="_Toc45278411"/>
      <w:bookmarkStart w:id="166" w:name="_Toc45282204"/>
      <w:bookmarkStart w:id="167" w:name="_Toc45282231"/>
      <w:bookmarkStart w:id="168" w:name="_Toc40359567"/>
      <w:bookmarkStart w:id="169" w:name="_Toc40360028"/>
      <w:bookmarkStart w:id="170" w:name="_Toc40360434"/>
      <w:bookmarkStart w:id="171" w:name="_Toc40360461"/>
      <w:bookmarkStart w:id="172" w:name="_Toc40360494"/>
      <w:bookmarkStart w:id="173" w:name="_Toc40360527"/>
      <w:bookmarkStart w:id="174" w:name="_Toc40360571"/>
      <w:bookmarkStart w:id="175" w:name="_Toc40360598"/>
      <w:bookmarkStart w:id="176" w:name="_Toc44672238"/>
      <w:bookmarkStart w:id="177" w:name="_Toc45017943"/>
      <w:bookmarkStart w:id="178" w:name="_Toc45017970"/>
      <w:bookmarkStart w:id="179" w:name="_Toc45018018"/>
      <w:bookmarkStart w:id="180" w:name="_Toc45018402"/>
      <w:bookmarkStart w:id="181" w:name="_Toc45023104"/>
      <w:bookmarkStart w:id="182" w:name="_Toc45029255"/>
      <w:bookmarkStart w:id="183" w:name="_Toc45116354"/>
      <w:bookmarkStart w:id="184" w:name="_Toc45179504"/>
      <w:bookmarkStart w:id="185" w:name="_Toc45201242"/>
      <w:bookmarkStart w:id="186" w:name="_Toc45266497"/>
      <w:bookmarkStart w:id="187" w:name="_Toc45274245"/>
      <w:bookmarkStart w:id="188" w:name="_Toc45274288"/>
      <w:bookmarkStart w:id="189" w:name="_Toc45277814"/>
      <w:bookmarkStart w:id="190" w:name="_Toc45278412"/>
      <w:bookmarkStart w:id="191" w:name="_Toc45282205"/>
      <w:bookmarkStart w:id="192" w:name="_Toc45282232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4059B7">
        <w:t>V</w:t>
      </w:r>
      <w:r w:rsidR="001B3D36">
        <w:t>e</w:t>
      </w:r>
      <w:r w:rsidR="00EB48BF">
        <w:t xml:space="preserve"> vybraných</w:t>
      </w:r>
      <w:r w:rsidR="001B3D36">
        <w:t xml:space="preserve"> úřadech</w:t>
      </w:r>
      <w:r w:rsidRPr="004059B7">
        <w:t xml:space="preserve"> </w:t>
      </w:r>
      <w:r w:rsidR="00C83FE6">
        <w:t xml:space="preserve">bylo </w:t>
      </w:r>
      <w:r w:rsidR="005E0341">
        <w:t xml:space="preserve">celkem </w:t>
      </w:r>
      <w:r w:rsidR="00C83FE6">
        <w:t xml:space="preserve">zaměstnáno </w:t>
      </w:r>
      <w:r w:rsidR="005E0341">
        <w:t xml:space="preserve">a evidováno </w:t>
      </w:r>
      <w:r w:rsidR="00C83FE6">
        <w:t>1 741</w:t>
      </w:r>
      <w:r w:rsidRPr="004059B7">
        <w:t xml:space="preserve"> </w:t>
      </w:r>
      <w:r>
        <w:t>OZP</w:t>
      </w:r>
      <w:r w:rsidR="00D94A3C">
        <w:t xml:space="preserve"> (</w:t>
      </w:r>
      <w:r w:rsidR="00C83FE6">
        <w:t>1 299</w:t>
      </w:r>
      <w:r>
        <w:t xml:space="preserve"> žen a </w:t>
      </w:r>
      <w:r w:rsidR="00C83FE6">
        <w:t>442</w:t>
      </w:r>
      <w:r>
        <w:t xml:space="preserve"> mužů)</w:t>
      </w:r>
      <w:r w:rsidR="00C83FE6">
        <w:t xml:space="preserve">, a to </w:t>
      </w:r>
      <w:r>
        <w:t>ve </w:t>
      </w:r>
      <w:r w:rsidR="00C83FE6">
        <w:t xml:space="preserve">služebním </w:t>
      </w:r>
      <w:r w:rsidR="00B62CC7">
        <w:t xml:space="preserve">a </w:t>
      </w:r>
      <w:r w:rsidRPr="004059B7">
        <w:t>pracovním poměru</w:t>
      </w:r>
      <w:r w:rsidR="005E0341">
        <w:t xml:space="preserve"> </w:t>
      </w:r>
      <w:r w:rsidR="00B62CC7">
        <w:t>i</w:t>
      </w:r>
      <w:r w:rsidR="005E0341">
        <w:t xml:space="preserve"> na základě dohod</w:t>
      </w:r>
      <w:r w:rsidR="000D3948">
        <w:t>, podíl žen činil 74,6 %</w:t>
      </w:r>
      <w:r w:rsidR="005E0341">
        <w:t>.</w:t>
      </w:r>
    </w:p>
    <w:p w14:paraId="5AA82CA8" w14:textId="61DA6556" w:rsidR="005E0341" w:rsidRDefault="005E0341" w:rsidP="006D73E8">
      <w:pPr>
        <w:pStyle w:val="Odstavecseseznamem"/>
      </w:pPr>
      <w:r>
        <w:t xml:space="preserve">Ve služebním a pracovním poměru bylo zaměstnáno 1 704 OZP (1 281 žen a 423 mužů), jejich podíl </w:t>
      </w:r>
      <w:r w:rsidR="000D3948">
        <w:t xml:space="preserve">z celkového počtu zaměstnanců tak </w:t>
      </w:r>
      <w:r>
        <w:t>činil 2,28 %</w:t>
      </w:r>
      <w:r w:rsidR="000D3948">
        <w:t>, podíl žen činil 75,2 %</w:t>
      </w:r>
      <w:r>
        <w:t>.</w:t>
      </w:r>
    </w:p>
    <w:p w14:paraId="62F3B7C7" w14:textId="42C28E7D" w:rsidR="00812539" w:rsidRPr="004059B7" w:rsidRDefault="00FE6401" w:rsidP="00427569">
      <w:pPr>
        <w:pStyle w:val="Odstavecseseznamem"/>
      </w:pPr>
      <w:r>
        <w:t>Ve služebním poměru bylo 1 269 OZP, z toho 197 (15,5</w:t>
      </w:r>
      <w:r w:rsidR="00F575A5">
        <w:t xml:space="preserve"> %</w:t>
      </w:r>
      <w:r w:rsidR="00812539">
        <w:t>) využív</w:t>
      </w:r>
      <w:r w:rsidR="00CC0F57">
        <w:t>alo</w:t>
      </w:r>
      <w:r w:rsidR="00812539">
        <w:t xml:space="preserve"> kratší služební dobu.</w:t>
      </w:r>
    </w:p>
    <w:p w14:paraId="3ADE31EC" w14:textId="5CB12C6B" w:rsidR="00812539" w:rsidRDefault="00FE6401" w:rsidP="00427569">
      <w:pPr>
        <w:pStyle w:val="Odstavecseseznamem"/>
      </w:pPr>
      <w:r>
        <w:t>V pracovním poměru bylo 435</w:t>
      </w:r>
      <w:r w:rsidR="00812539" w:rsidRPr="004059B7">
        <w:t xml:space="preserve"> </w:t>
      </w:r>
      <w:r w:rsidR="00812539">
        <w:t>OZP, z toho na zkrácený úvazek</w:t>
      </w:r>
      <w:r w:rsidR="00CC0F57">
        <w:t xml:space="preserve"> pracovalo 85 osob (19,5 %)</w:t>
      </w:r>
      <w:r w:rsidR="00812539">
        <w:t>.</w:t>
      </w:r>
    </w:p>
    <w:p w14:paraId="792E0266" w14:textId="36230987" w:rsidR="008570C0" w:rsidRDefault="00812539" w:rsidP="00427569">
      <w:pPr>
        <w:pStyle w:val="Odstavecseseznamem"/>
      </w:pPr>
      <w:r>
        <w:t>N</w:t>
      </w:r>
      <w:r w:rsidRPr="004059B7">
        <w:t>a základě doho</w:t>
      </w:r>
      <w:r>
        <w:t xml:space="preserve">d </w:t>
      </w:r>
      <w:r w:rsidR="00FE6401">
        <w:t>práci vykonávalo 37</w:t>
      </w:r>
      <w:r w:rsidR="000D1549">
        <w:t> </w:t>
      </w:r>
      <w:r>
        <w:t xml:space="preserve">OZP. </w:t>
      </w:r>
    </w:p>
    <w:p w14:paraId="79315D2D" w14:textId="77777777" w:rsidR="005E0341" w:rsidRPr="008570C0" w:rsidRDefault="005E0341" w:rsidP="005E0341">
      <w:pPr>
        <w:ind w:left="360"/>
      </w:pPr>
    </w:p>
    <w:p w14:paraId="751EF0D2" w14:textId="619D1718" w:rsidR="00CA12B8" w:rsidRPr="00CA12B8" w:rsidRDefault="00CA12B8" w:rsidP="00C320A8">
      <w:pPr>
        <w:pStyle w:val="Titulek"/>
      </w:pPr>
      <w:bookmarkStart w:id="193" w:name="_Toc45512987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12</w:t>
      </w:r>
      <w:r w:rsidR="00FC5B08">
        <w:rPr>
          <w:noProof/>
        </w:rPr>
        <w:fldChar w:fldCharType="end"/>
      </w:r>
      <w:r>
        <w:t xml:space="preserve"> </w:t>
      </w:r>
      <w:r w:rsidRPr="00CC6405">
        <w:t>Podíl osob se zdravotním postižením ve státní správě</w:t>
      </w:r>
      <w:r w:rsidR="00F9584B">
        <w:t xml:space="preserve"> ve služebním a pracovním poměru</w:t>
      </w:r>
      <w:bookmarkEnd w:id="193"/>
    </w:p>
    <w:p w14:paraId="3F09AC8A" w14:textId="77777777" w:rsidR="0096629A" w:rsidRPr="00721485" w:rsidRDefault="00481F61" w:rsidP="00580F10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5BEDFBAF" wp14:editId="53DD55E5">
            <wp:extent cx="5010150" cy="3581400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12CF489" w14:textId="2C841715" w:rsidR="00CA12B8" w:rsidRDefault="00CA12B8" w:rsidP="00C320A8">
      <w:pPr>
        <w:pStyle w:val="Titulek"/>
      </w:pPr>
      <w:bookmarkStart w:id="194" w:name="_Toc45482647"/>
      <w:r>
        <w:t xml:space="preserve">Tabulka </w:t>
      </w:r>
      <w:r w:rsidR="00FC5B08">
        <w:fldChar w:fldCharType="begin"/>
      </w:r>
      <w:r w:rsidR="00FC5B08">
        <w:instrText xml:space="preserve"> SEQ Tabulka \* ARABIC </w:instrText>
      </w:r>
      <w:r w:rsidR="00FC5B08">
        <w:fldChar w:fldCharType="separate"/>
      </w:r>
      <w:r w:rsidR="000F72AB">
        <w:rPr>
          <w:noProof/>
        </w:rPr>
        <w:t>1</w:t>
      </w:r>
      <w:r w:rsidR="00FC5B08">
        <w:rPr>
          <w:noProof/>
        </w:rPr>
        <w:fldChar w:fldCharType="end"/>
      </w:r>
      <w:r>
        <w:t xml:space="preserve"> </w:t>
      </w:r>
      <w:r w:rsidRPr="00542A70">
        <w:t>Rozdělení počtu zaměstnanců dle druhu zaměstnan</w:t>
      </w:r>
      <w:r>
        <w:t>eckého poměru</w:t>
      </w:r>
      <w:bookmarkEnd w:id="194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10"/>
        <w:gridCol w:w="1856"/>
        <w:gridCol w:w="1655"/>
        <w:gridCol w:w="1583"/>
        <w:gridCol w:w="1968"/>
      </w:tblGrid>
      <w:tr w:rsidR="0096629A" w:rsidRPr="00481F61" w14:paraId="5CE7A7CC" w14:textId="77777777" w:rsidTr="00767ADD">
        <w:trPr>
          <w:trHeight w:val="1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64AE13C5" w14:textId="77777777" w:rsidR="0096629A" w:rsidRPr="0094571A" w:rsidRDefault="0096629A" w:rsidP="007D5114">
            <w:pPr>
              <w:spacing w:line="240" w:lineRule="auto"/>
            </w:pPr>
            <w:r w:rsidRPr="0094571A">
              <w:t>Druh zaměstnaneckého poměru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05394AE8" w14:textId="77777777" w:rsidR="0096629A" w:rsidRPr="0094571A" w:rsidRDefault="0096629A" w:rsidP="007D5114">
            <w:pPr>
              <w:spacing w:line="240" w:lineRule="auto"/>
            </w:pPr>
            <w:r>
              <w:t>Celkový počet zaměstnanců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01FB4DB3" w14:textId="77777777" w:rsidR="0096629A" w:rsidRPr="0094571A" w:rsidRDefault="0096629A" w:rsidP="007D5114">
            <w:pPr>
              <w:spacing w:line="240" w:lineRule="auto"/>
            </w:pPr>
            <w:r w:rsidRPr="0094571A">
              <w:t>OZP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0E06DF9" w14:textId="77777777" w:rsidR="0096629A" w:rsidRPr="0094571A" w:rsidRDefault="0096629A" w:rsidP="007D5114">
            <w:pPr>
              <w:spacing w:line="240" w:lineRule="auto"/>
            </w:pPr>
            <w:r>
              <w:t>Podíl OZP</w:t>
            </w:r>
          </w:p>
        </w:tc>
      </w:tr>
      <w:tr w:rsidR="0096629A" w:rsidRPr="00481F61" w14:paraId="75396A78" w14:textId="77777777" w:rsidTr="00767ADD">
        <w:tc>
          <w:tcPr>
            <w:tcW w:w="20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3E1D32BF" w14:textId="77777777" w:rsidR="0096629A" w:rsidRPr="008121BB" w:rsidRDefault="0096629A" w:rsidP="007D5114">
            <w:pPr>
              <w:spacing w:line="240" w:lineRule="auto"/>
            </w:pPr>
            <w:r w:rsidRPr="008121BB">
              <w:t>Služební poměr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0130A9F9" w14:textId="77777777" w:rsidR="0096629A" w:rsidRPr="008121BB" w:rsidRDefault="0096629A" w:rsidP="007D5114">
            <w:pPr>
              <w:spacing w:line="240" w:lineRule="auto"/>
            </w:pPr>
            <w:r w:rsidRPr="008121BB">
              <w:t>plný úvazek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</w:tcPr>
          <w:p w14:paraId="42F56E1A" w14:textId="77777777" w:rsidR="0096629A" w:rsidRPr="008121BB" w:rsidRDefault="0096629A" w:rsidP="007D5114">
            <w:pPr>
              <w:spacing w:line="240" w:lineRule="auto"/>
            </w:pPr>
            <w:r>
              <w:t>5</w:t>
            </w:r>
            <w:r w:rsidR="00E538D0">
              <w:t>4</w:t>
            </w:r>
            <w:r>
              <w:t xml:space="preserve"> </w:t>
            </w:r>
            <w:r w:rsidR="00E538D0">
              <w:t>789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5C8DC193" w14:textId="77777777" w:rsidR="0096629A" w:rsidRPr="008121BB" w:rsidRDefault="0096629A" w:rsidP="007D5114">
            <w:pPr>
              <w:spacing w:line="240" w:lineRule="auto"/>
            </w:pPr>
            <w:r w:rsidRPr="008121BB">
              <w:t>1</w:t>
            </w:r>
            <w:r w:rsidR="006D73E8">
              <w:t>072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4547F972" w14:textId="77777777" w:rsidR="0096629A" w:rsidRPr="008121BB" w:rsidRDefault="006D73E8" w:rsidP="007D5114">
            <w:pPr>
              <w:spacing w:line="240" w:lineRule="auto"/>
            </w:pPr>
            <w:r>
              <w:t>1,96</w:t>
            </w:r>
            <w:r w:rsidR="00F575A5">
              <w:t xml:space="preserve"> %</w:t>
            </w:r>
          </w:p>
        </w:tc>
      </w:tr>
      <w:tr w:rsidR="0096629A" w:rsidRPr="00481F61" w14:paraId="1002C6C9" w14:textId="77777777" w:rsidTr="00767ADD">
        <w:tc>
          <w:tcPr>
            <w:tcW w:w="20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36B6788D" w14:textId="77777777" w:rsidR="0096629A" w:rsidRPr="008121BB" w:rsidRDefault="0096629A" w:rsidP="007D5114">
            <w:pPr>
              <w:spacing w:line="240" w:lineRule="auto"/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113B95EA" w14:textId="77777777" w:rsidR="0096629A" w:rsidRPr="008121BB" w:rsidRDefault="0096629A" w:rsidP="007D5114">
            <w:pPr>
              <w:spacing w:line="240" w:lineRule="auto"/>
            </w:pPr>
            <w:r w:rsidRPr="008121BB">
              <w:t>částečný úvazek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</w:tcPr>
          <w:p w14:paraId="35F2D992" w14:textId="77777777" w:rsidR="0096629A" w:rsidRPr="008121BB" w:rsidRDefault="0096629A" w:rsidP="007D5114">
            <w:pPr>
              <w:spacing w:line="240" w:lineRule="auto"/>
            </w:pPr>
            <w:r>
              <w:t>2 455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40918C48" w14:textId="77777777" w:rsidR="0096629A" w:rsidRPr="008121BB" w:rsidRDefault="0096629A" w:rsidP="007D5114">
            <w:pPr>
              <w:spacing w:line="240" w:lineRule="auto"/>
            </w:pPr>
            <w:r w:rsidRPr="008121BB">
              <w:t>197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2ABF829F" w14:textId="77777777" w:rsidR="0096629A" w:rsidRPr="008121BB" w:rsidRDefault="0096629A" w:rsidP="007D5114">
            <w:pPr>
              <w:spacing w:line="240" w:lineRule="auto"/>
            </w:pPr>
            <w:r>
              <w:t>8,02</w:t>
            </w:r>
            <w:r w:rsidR="00F575A5">
              <w:t xml:space="preserve"> %</w:t>
            </w:r>
          </w:p>
        </w:tc>
      </w:tr>
      <w:tr w:rsidR="0096629A" w:rsidRPr="00481F61" w14:paraId="0DCA02A3" w14:textId="77777777" w:rsidTr="00767ADD">
        <w:tc>
          <w:tcPr>
            <w:tcW w:w="20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5590C943" w14:textId="77777777" w:rsidR="0096629A" w:rsidRPr="008121BB" w:rsidRDefault="0096629A" w:rsidP="007D5114">
            <w:pPr>
              <w:spacing w:line="240" w:lineRule="auto"/>
            </w:pPr>
            <w:r w:rsidRPr="008121BB">
              <w:t>Pracovní poměr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2E85EAAE" w14:textId="77777777" w:rsidR="0096629A" w:rsidRPr="008121BB" w:rsidRDefault="0096629A" w:rsidP="007D5114">
            <w:pPr>
              <w:spacing w:line="240" w:lineRule="auto"/>
            </w:pPr>
            <w:r w:rsidRPr="008121BB">
              <w:t>plný úvazek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</w:tcPr>
          <w:p w14:paraId="6288D8CB" w14:textId="77777777" w:rsidR="0096629A" w:rsidRPr="008121BB" w:rsidRDefault="0096629A" w:rsidP="007D5114">
            <w:pPr>
              <w:spacing w:line="240" w:lineRule="auto"/>
            </w:pPr>
            <w:r>
              <w:t>1</w:t>
            </w:r>
            <w:r w:rsidR="00E538D0">
              <w:t>6</w:t>
            </w:r>
            <w:r>
              <w:t xml:space="preserve"> </w:t>
            </w:r>
            <w:r w:rsidR="00E538D0">
              <w:t>513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36F1DDCE" w14:textId="77777777" w:rsidR="0096629A" w:rsidRPr="008121BB" w:rsidRDefault="006D73E8" w:rsidP="007D5114">
            <w:pPr>
              <w:spacing w:line="240" w:lineRule="auto"/>
            </w:pPr>
            <w:r>
              <w:t>350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77D6FD8D" w14:textId="77777777" w:rsidR="0096629A" w:rsidRPr="008121BB" w:rsidRDefault="0096629A" w:rsidP="007D5114">
            <w:pPr>
              <w:spacing w:line="240" w:lineRule="auto"/>
            </w:pPr>
            <w:r>
              <w:t>2,</w:t>
            </w:r>
            <w:r w:rsidR="006D73E8">
              <w:t>12</w:t>
            </w:r>
            <w:r w:rsidR="00F575A5">
              <w:t xml:space="preserve"> %</w:t>
            </w:r>
          </w:p>
        </w:tc>
      </w:tr>
      <w:tr w:rsidR="0096629A" w:rsidRPr="00481F61" w14:paraId="29E639A0" w14:textId="77777777" w:rsidTr="00767ADD">
        <w:tc>
          <w:tcPr>
            <w:tcW w:w="20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</w:tcPr>
          <w:p w14:paraId="19D3D6CC" w14:textId="77777777" w:rsidR="0096629A" w:rsidRPr="008121BB" w:rsidRDefault="0096629A" w:rsidP="007D5114">
            <w:pPr>
              <w:spacing w:line="240" w:lineRule="auto"/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6EE410B2" w14:textId="77777777" w:rsidR="0096629A" w:rsidRPr="008121BB" w:rsidRDefault="0096629A" w:rsidP="007D5114">
            <w:pPr>
              <w:spacing w:line="240" w:lineRule="auto"/>
            </w:pPr>
            <w:r w:rsidRPr="008121BB">
              <w:t>částečný úvazek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</w:tcPr>
          <w:p w14:paraId="3E616C88" w14:textId="77777777" w:rsidR="0096629A" w:rsidRPr="008121BB" w:rsidRDefault="0096629A" w:rsidP="007D5114">
            <w:pPr>
              <w:spacing w:line="240" w:lineRule="auto"/>
            </w:pPr>
            <w:r>
              <w:t>842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3A8D7E97" w14:textId="77777777" w:rsidR="0096629A" w:rsidRPr="008121BB" w:rsidRDefault="0096629A" w:rsidP="007D5114">
            <w:pPr>
              <w:spacing w:line="240" w:lineRule="auto"/>
            </w:pPr>
            <w:r w:rsidRPr="008121BB">
              <w:t>85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613E30E2" w14:textId="77777777" w:rsidR="0096629A" w:rsidRPr="008121BB" w:rsidRDefault="0096629A" w:rsidP="007D5114">
            <w:pPr>
              <w:spacing w:line="240" w:lineRule="auto"/>
            </w:pPr>
            <w:r>
              <w:t>10,10</w:t>
            </w:r>
            <w:r w:rsidR="00F575A5">
              <w:t xml:space="preserve"> %</w:t>
            </w:r>
          </w:p>
        </w:tc>
      </w:tr>
      <w:tr w:rsidR="0096629A" w:rsidRPr="00481F61" w14:paraId="43FF8035" w14:textId="77777777" w:rsidTr="00694E19">
        <w:tc>
          <w:tcPr>
            <w:tcW w:w="386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03D7BB5" w14:textId="77777777" w:rsidR="0096629A" w:rsidRPr="008121BB" w:rsidRDefault="0096629A" w:rsidP="007D5114">
            <w:pPr>
              <w:spacing w:line="240" w:lineRule="auto"/>
            </w:pPr>
            <w:r w:rsidRPr="008121BB">
              <w:t>DPP/DPČ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1BF744B" w14:textId="77777777" w:rsidR="0096629A" w:rsidRPr="008121BB" w:rsidRDefault="0096629A" w:rsidP="007D5114">
            <w:pPr>
              <w:spacing w:line="240" w:lineRule="auto"/>
            </w:pPr>
            <w:r>
              <w:t>3 719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DD3B2A" w14:textId="77777777" w:rsidR="0096629A" w:rsidRPr="008121BB" w:rsidRDefault="0096629A" w:rsidP="007D5114">
            <w:pPr>
              <w:spacing w:line="240" w:lineRule="auto"/>
            </w:pPr>
            <w:r>
              <w:t>37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337AEC" w14:textId="77777777" w:rsidR="0096629A" w:rsidRPr="008121BB" w:rsidRDefault="0096629A" w:rsidP="007D5114">
            <w:pPr>
              <w:spacing w:line="240" w:lineRule="auto"/>
            </w:pPr>
            <w:r>
              <w:t>0,99</w:t>
            </w:r>
            <w:r w:rsidR="00F575A5">
              <w:t xml:space="preserve"> %</w:t>
            </w:r>
          </w:p>
        </w:tc>
      </w:tr>
      <w:tr w:rsidR="0096629A" w:rsidRPr="00481F61" w14:paraId="74F19AF0" w14:textId="77777777" w:rsidTr="00694E19">
        <w:trPr>
          <w:trHeight w:val="1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3BE64E3E" w14:textId="77777777" w:rsidR="0096629A" w:rsidRPr="008121BB" w:rsidRDefault="0096629A" w:rsidP="007D5114">
            <w:pPr>
              <w:spacing w:line="240" w:lineRule="auto"/>
            </w:pPr>
            <w:r w:rsidRPr="008121BB">
              <w:t>Celkem</w:t>
            </w:r>
            <w:r w:rsidR="006D73E8">
              <w:t xml:space="preserve"> včetně dohod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0D5463F6" w14:textId="77777777" w:rsidR="0096629A" w:rsidRPr="008121BB" w:rsidRDefault="00E538D0" w:rsidP="007D5114">
            <w:pPr>
              <w:spacing w:line="240" w:lineRule="auto"/>
            </w:pPr>
            <w:r>
              <w:t>78 318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798B9A1F" w14:textId="77777777" w:rsidR="0096629A" w:rsidRPr="008121BB" w:rsidRDefault="006D73E8" w:rsidP="007D5114">
            <w:pPr>
              <w:spacing w:line="240" w:lineRule="auto"/>
            </w:pPr>
            <w:r>
              <w:t>1 741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BA49B95" w14:textId="77777777" w:rsidR="0096629A" w:rsidRPr="008121BB" w:rsidRDefault="006D73E8" w:rsidP="007D5114">
            <w:pPr>
              <w:spacing w:line="240" w:lineRule="auto"/>
            </w:pPr>
            <w:r>
              <w:t>2,22 %</w:t>
            </w:r>
          </w:p>
        </w:tc>
      </w:tr>
      <w:tr w:rsidR="009F1497" w:rsidRPr="00481F61" w14:paraId="4FDE9122" w14:textId="77777777" w:rsidTr="00767ADD">
        <w:trPr>
          <w:trHeight w:val="175"/>
        </w:trPr>
        <w:tc>
          <w:tcPr>
            <w:tcW w:w="386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76923C" w:themeFill="accent3" w:themeFillShade="BF"/>
            <w:vAlign w:val="center"/>
          </w:tcPr>
          <w:p w14:paraId="75EB787B" w14:textId="13981AFE" w:rsidR="009F1497" w:rsidRPr="008121BB" w:rsidRDefault="009F1497" w:rsidP="007D5114">
            <w:pPr>
              <w:spacing w:line="240" w:lineRule="auto"/>
            </w:pPr>
            <w:r>
              <w:t>Celkem bez dohod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76923C" w:themeFill="accent3" w:themeFillShade="BF"/>
          </w:tcPr>
          <w:p w14:paraId="657A0F80" w14:textId="600C6885" w:rsidR="009F1497" w:rsidRDefault="009F1497" w:rsidP="007D5114">
            <w:pPr>
              <w:spacing w:line="240" w:lineRule="auto"/>
            </w:pPr>
            <w:r>
              <w:t>74 599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76923C" w:themeFill="accent3" w:themeFillShade="BF"/>
            <w:vAlign w:val="center"/>
          </w:tcPr>
          <w:p w14:paraId="16B1956B" w14:textId="1A6F9A3B" w:rsidR="009F1497" w:rsidRDefault="009F1497" w:rsidP="007D5114">
            <w:pPr>
              <w:spacing w:line="240" w:lineRule="auto"/>
            </w:pPr>
            <w:r>
              <w:t>1 704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</w:tcPr>
          <w:p w14:paraId="35BDDD46" w14:textId="5D0E925F" w:rsidR="009F1497" w:rsidRDefault="009F1497" w:rsidP="007D5114">
            <w:pPr>
              <w:spacing w:line="240" w:lineRule="auto"/>
            </w:pPr>
            <w:r>
              <w:t>2,28 %</w:t>
            </w:r>
          </w:p>
        </w:tc>
      </w:tr>
    </w:tbl>
    <w:p w14:paraId="73D1D41B" w14:textId="67B12C26" w:rsidR="008570C0" w:rsidRDefault="008570C0" w:rsidP="007D5114">
      <w:pPr>
        <w:pStyle w:val="Odstavecseseznamem"/>
        <w:spacing w:before="360"/>
        <w:ind w:left="714" w:hanging="357"/>
      </w:pPr>
      <w:r>
        <w:t>V jednotlivých ministerstvech bylo zaměstnáno celkem 286 OZP (270 bez dohod), v jejich organizačních složkách 1 377 (1 361 bez dohod) a v ústředních orgánech státní správy 78 (73 bez dohod).</w:t>
      </w:r>
    </w:p>
    <w:p w14:paraId="53C317CD" w14:textId="283EB7A8" w:rsidR="00721485" w:rsidRPr="00721485" w:rsidRDefault="00721485" w:rsidP="00C320A8">
      <w:pPr>
        <w:pStyle w:val="Titulek"/>
      </w:pPr>
      <w:bookmarkStart w:id="195" w:name="_Toc45512988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13</w:t>
      </w:r>
      <w:r w:rsidR="00FC5B08">
        <w:rPr>
          <w:noProof/>
        </w:rPr>
        <w:fldChar w:fldCharType="end"/>
      </w:r>
      <w:r>
        <w:t xml:space="preserve"> Počet OZP</w:t>
      </w:r>
      <w:r w:rsidRPr="00CC6405">
        <w:t xml:space="preserve"> ve státní správě</w:t>
      </w:r>
      <w:r>
        <w:t xml:space="preserve"> dle druhu úřadu</w:t>
      </w:r>
      <w:bookmarkEnd w:id="195"/>
    </w:p>
    <w:p w14:paraId="7E750762" w14:textId="77777777" w:rsidR="00721485" w:rsidRDefault="007320ED" w:rsidP="002D1D6D">
      <w:pPr>
        <w:jc w:val="center"/>
      </w:pPr>
      <w:r>
        <w:rPr>
          <w:noProof/>
        </w:rPr>
        <w:drawing>
          <wp:inline distT="0" distB="0" distL="0" distR="0" wp14:anchorId="6D350C8D" wp14:editId="5327F6C8">
            <wp:extent cx="5076825" cy="3476625"/>
            <wp:effectExtent l="0" t="0" r="9525" b="952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AA93ABA" w14:textId="722EC678" w:rsidR="00721485" w:rsidRDefault="00721485" w:rsidP="00C320A8">
      <w:pPr>
        <w:pStyle w:val="Titulek"/>
      </w:pPr>
      <w:bookmarkStart w:id="196" w:name="_Toc45512989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14</w:t>
      </w:r>
      <w:r w:rsidR="00FC5B08">
        <w:rPr>
          <w:noProof/>
        </w:rPr>
        <w:fldChar w:fldCharType="end"/>
      </w:r>
      <w:r>
        <w:t xml:space="preserve"> Podíl OZP dle druhu úřadu a délky úvazku</w:t>
      </w:r>
      <w:bookmarkEnd w:id="196"/>
    </w:p>
    <w:p w14:paraId="793EE2C9" w14:textId="77777777" w:rsidR="00995D15" w:rsidRPr="002D1D6D" w:rsidRDefault="00943C30" w:rsidP="002D1D6D">
      <w:pPr>
        <w:jc w:val="center"/>
      </w:pPr>
      <w:r>
        <w:rPr>
          <w:noProof/>
        </w:rPr>
        <w:drawing>
          <wp:inline distT="0" distB="0" distL="0" distR="0" wp14:anchorId="6441CC76" wp14:editId="328C02EB">
            <wp:extent cx="5051425" cy="2657475"/>
            <wp:effectExtent l="0" t="0" r="15875" b="9525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Start w:id="197" w:name="_Toc20736907"/>
      <w:bookmarkStart w:id="198" w:name="_Toc20836916"/>
      <w:bookmarkStart w:id="199" w:name="_Toc20836996"/>
      <w:bookmarkStart w:id="200" w:name="_Toc20837083"/>
      <w:bookmarkStart w:id="201" w:name="_Toc20837756"/>
      <w:bookmarkStart w:id="202" w:name="_Toc20838185"/>
      <w:bookmarkStart w:id="203" w:name="_Toc20838226"/>
      <w:bookmarkStart w:id="204" w:name="_Toc21005739"/>
      <w:bookmarkStart w:id="205" w:name="_Toc21069982"/>
      <w:bookmarkStart w:id="206" w:name="_Toc21520842"/>
      <w:bookmarkStart w:id="207" w:name="_Toc21603281"/>
      <w:bookmarkStart w:id="208" w:name="_Toc21614003"/>
      <w:bookmarkStart w:id="209" w:name="_Toc21614879"/>
      <w:bookmarkStart w:id="210" w:name="_Toc21935926"/>
      <w:bookmarkStart w:id="211" w:name="_Toc21958306"/>
      <w:bookmarkStart w:id="212" w:name="_Toc21958362"/>
      <w:bookmarkStart w:id="213" w:name="_Toc22019395"/>
      <w:bookmarkStart w:id="214" w:name="_Toc22019451"/>
      <w:bookmarkStart w:id="215" w:name="_Toc22026783"/>
      <w:bookmarkStart w:id="216" w:name="_Toc24641202"/>
      <w:bookmarkStart w:id="217" w:name="_Toc24641276"/>
      <w:bookmarkStart w:id="218" w:name="_Toc24641344"/>
      <w:bookmarkStart w:id="219" w:name="_Toc24641411"/>
      <w:bookmarkStart w:id="220" w:name="_Toc24641477"/>
      <w:bookmarkStart w:id="221" w:name="_Toc24641542"/>
      <w:bookmarkStart w:id="222" w:name="_Toc24641607"/>
      <w:bookmarkStart w:id="223" w:name="_Toc40358756"/>
      <w:bookmarkStart w:id="224" w:name="_Toc40358959"/>
      <w:bookmarkStart w:id="225" w:name="_Toc24641612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7C8F2477" w14:textId="77777777" w:rsidR="0096629A" w:rsidRPr="00995D15" w:rsidRDefault="0096629A" w:rsidP="00E10D06">
      <w:pPr>
        <w:pStyle w:val="Nadpis3"/>
      </w:pPr>
      <w:r w:rsidRPr="00995D15">
        <w:t xml:space="preserve">Zaměstnávání </w:t>
      </w:r>
      <w:r w:rsidR="00150934" w:rsidRPr="00995D15">
        <w:t xml:space="preserve">OZP </w:t>
      </w:r>
      <w:r w:rsidRPr="00995D15">
        <w:t>na ministerstvech</w:t>
      </w:r>
      <w:bookmarkEnd w:id="225"/>
    </w:p>
    <w:p w14:paraId="1A76D55B" w14:textId="0E88D78F" w:rsidR="0096629A" w:rsidRDefault="0096629A" w:rsidP="00085169">
      <w:pPr>
        <w:pStyle w:val="Odstavecseseznamem"/>
      </w:pPr>
      <w:r w:rsidRPr="00085169">
        <w:t>V jednotlivých ministerstvech bylo</w:t>
      </w:r>
      <w:r w:rsidR="0005733E" w:rsidRPr="00085169">
        <w:t xml:space="preserve"> ve služebním a</w:t>
      </w:r>
      <w:r w:rsidRPr="00085169">
        <w:t xml:space="preserve"> pracovním poměru</w:t>
      </w:r>
      <w:r w:rsidR="0005733E" w:rsidRPr="00085169">
        <w:t xml:space="preserve"> zaměstnáno</w:t>
      </w:r>
      <w:r w:rsidR="0005733E">
        <w:t xml:space="preserve"> 270</w:t>
      </w:r>
      <w:r>
        <w:t xml:space="preserve"> </w:t>
      </w:r>
      <w:r w:rsidR="0005733E">
        <w:t>OZP</w:t>
      </w:r>
      <w:r w:rsidR="00072282">
        <w:t xml:space="preserve"> (1,33</w:t>
      </w:r>
      <w:r w:rsidR="00F575A5">
        <w:t xml:space="preserve"> %</w:t>
      </w:r>
      <w:r w:rsidR="00B71960">
        <w:t xml:space="preserve"> z celkového počtu zaměstnanců</w:t>
      </w:r>
      <w:r w:rsidR="00072282">
        <w:t>)</w:t>
      </w:r>
      <w:r w:rsidR="00210D8F">
        <w:t>, 172 žen a 98 mužů</w:t>
      </w:r>
      <w:r w:rsidR="00B71960">
        <w:t>.</w:t>
      </w:r>
    </w:p>
    <w:p w14:paraId="5BE3BBBB" w14:textId="77777777" w:rsidR="0096629A" w:rsidRPr="004059B7" w:rsidRDefault="0096629A" w:rsidP="00427569">
      <w:pPr>
        <w:pStyle w:val="Odstavecseseznamem"/>
      </w:pPr>
      <w:r>
        <w:t xml:space="preserve">Ve služebním poměru bylo </w:t>
      </w:r>
      <w:r w:rsidR="0069305D">
        <w:t>161</w:t>
      </w:r>
      <w:r>
        <w:t xml:space="preserve"> </w:t>
      </w:r>
      <w:r w:rsidR="0005733E">
        <w:t xml:space="preserve">OZP, z toho </w:t>
      </w:r>
      <w:r w:rsidR="0069305D">
        <w:t>6,8</w:t>
      </w:r>
      <w:r w:rsidR="00F575A5">
        <w:t xml:space="preserve"> %</w:t>
      </w:r>
      <w:r w:rsidR="0005733E">
        <w:t>, 11 osob, mělo kratší služební dobu</w:t>
      </w:r>
      <w:r>
        <w:t>.</w:t>
      </w:r>
    </w:p>
    <w:p w14:paraId="4AA5CD33" w14:textId="77777777" w:rsidR="0096629A" w:rsidRDefault="0096629A" w:rsidP="00427569">
      <w:pPr>
        <w:pStyle w:val="Odstavecseseznamem"/>
      </w:pPr>
      <w:r>
        <w:lastRenderedPageBreak/>
        <w:t>V pracovním poměru bylo</w:t>
      </w:r>
      <w:r w:rsidRPr="004059B7">
        <w:t xml:space="preserve"> </w:t>
      </w:r>
      <w:r w:rsidR="0005733E">
        <w:t>109 OZP</w:t>
      </w:r>
      <w:r w:rsidR="00A06FEE">
        <w:t>, z</w:t>
      </w:r>
      <w:r>
        <w:t xml:space="preserve"> toho</w:t>
      </w:r>
      <w:r w:rsidRPr="004059B7">
        <w:t xml:space="preserve"> prá</w:t>
      </w:r>
      <w:r>
        <w:t>ci na zk</w:t>
      </w:r>
      <w:r w:rsidR="0005733E">
        <w:t>rácený úvazek vykon</w:t>
      </w:r>
      <w:r w:rsidR="00343D96">
        <w:t>ávalo</w:t>
      </w:r>
      <w:r w:rsidR="0005733E">
        <w:t xml:space="preserve"> 11</w:t>
      </w:r>
      <w:r w:rsidR="00B71960">
        <w:t> </w:t>
      </w:r>
      <w:r w:rsidR="00F575A5">
        <w:t>%</w:t>
      </w:r>
      <w:r w:rsidR="0005733E">
        <w:t>, 12 osob</w:t>
      </w:r>
      <w:r>
        <w:t>.</w:t>
      </w:r>
    </w:p>
    <w:p w14:paraId="55BDF651" w14:textId="3F3333CB" w:rsidR="0096629A" w:rsidRPr="00E507D4" w:rsidRDefault="0096629A" w:rsidP="00427569">
      <w:pPr>
        <w:pStyle w:val="Odstavecseseznamem"/>
      </w:pPr>
      <w:r>
        <w:t>N</w:t>
      </w:r>
      <w:r w:rsidRPr="004059B7">
        <w:t>a základě doho</w:t>
      </w:r>
      <w:r>
        <w:t xml:space="preserve">d práci vykonávalo </w:t>
      </w:r>
      <w:r w:rsidR="003733C6">
        <w:t>16 </w:t>
      </w:r>
      <w:r w:rsidR="0005733E" w:rsidRPr="00D34548">
        <w:t>osob.</w:t>
      </w:r>
    </w:p>
    <w:p w14:paraId="739F64A1" w14:textId="2895965C" w:rsidR="00B24C59" w:rsidRPr="00B24C59" w:rsidRDefault="00B24C59" w:rsidP="00C320A8">
      <w:pPr>
        <w:pStyle w:val="Titulek"/>
      </w:pPr>
      <w:bookmarkStart w:id="226" w:name="_Toc45512990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15</w:t>
      </w:r>
      <w:r w:rsidR="00FC5B08">
        <w:rPr>
          <w:noProof/>
        </w:rPr>
        <w:fldChar w:fldCharType="end"/>
      </w:r>
      <w:r>
        <w:t xml:space="preserve"> P</w:t>
      </w:r>
      <w:r w:rsidRPr="00CC6405">
        <w:t xml:space="preserve">očet </w:t>
      </w:r>
      <w:r w:rsidR="00767ADD">
        <w:t>OZP – ministerstva</w:t>
      </w:r>
      <w:bookmarkEnd w:id="226"/>
    </w:p>
    <w:p w14:paraId="44E46136" w14:textId="77777777" w:rsidR="0096629A" w:rsidRPr="00D42B06" w:rsidRDefault="00F576C7" w:rsidP="00085169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0226A6B5" wp14:editId="1137AADD">
            <wp:extent cx="5057775" cy="2209800"/>
            <wp:effectExtent l="0" t="0" r="9525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8721DAD" w14:textId="77777777" w:rsidR="0096629A" w:rsidRPr="00995D15" w:rsidRDefault="0096629A" w:rsidP="00E10D06">
      <w:pPr>
        <w:pStyle w:val="Nadpis3"/>
      </w:pPr>
      <w:bookmarkStart w:id="227" w:name="_Toc24641613"/>
      <w:r w:rsidRPr="00995D15">
        <w:t xml:space="preserve">Zaměstnávání </w:t>
      </w:r>
      <w:r w:rsidR="00150934" w:rsidRPr="00995D15">
        <w:t xml:space="preserve">OZP </w:t>
      </w:r>
      <w:r w:rsidRPr="00995D15">
        <w:t>ve vybraných organizačních složkách ministerstev</w:t>
      </w:r>
      <w:bookmarkEnd w:id="227"/>
    </w:p>
    <w:p w14:paraId="1CE92D26" w14:textId="472206D4" w:rsidR="0096629A" w:rsidRDefault="0096629A" w:rsidP="00085169">
      <w:pPr>
        <w:pStyle w:val="Odstavecseseznamem"/>
      </w:pPr>
      <w:r>
        <w:t>V organizačních složkách jednotlivých ministerstev</w:t>
      </w:r>
      <w:r w:rsidR="00150934">
        <w:t xml:space="preserve"> bylo ve služebním a</w:t>
      </w:r>
      <w:r w:rsidRPr="004059B7">
        <w:t xml:space="preserve"> pracovním poměru</w:t>
      </w:r>
      <w:r>
        <w:t xml:space="preserve"> </w:t>
      </w:r>
      <w:r w:rsidR="00150934">
        <w:t>1 361 OZP</w:t>
      </w:r>
      <w:r w:rsidR="00072282">
        <w:t xml:space="preserve"> (2,68</w:t>
      </w:r>
      <w:r w:rsidR="00F575A5">
        <w:t xml:space="preserve"> %</w:t>
      </w:r>
      <w:r w:rsidR="00B71960">
        <w:t xml:space="preserve"> z celkového počtu zaměstnanců</w:t>
      </w:r>
      <w:r w:rsidR="00072282">
        <w:t>)</w:t>
      </w:r>
      <w:r w:rsidR="00210D8F">
        <w:t>, 1 076 žen a 285 mužů</w:t>
      </w:r>
      <w:r w:rsidR="00B71960">
        <w:t>.</w:t>
      </w:r>
    </w:p>
    <w:p w14:paraId="3875C03B" w14:textId="77777777" w:rsidR="0096629A" w:rsidRPr="004059B7" w:rsidRDefault="0096629A" w:rsidP="00427569">
      <w:pPr>
        <w:pStyle w:val="Odstavecseseznamem"/>
      </w:pPr>
      <w:r>
        <w:t xml:space="preserve">Ve služebním poměru bylo </w:t>
      </w:r>
      <w:r w:rsidR="001A367B">
        <w:t>1 077</w:t>
      </w:r>
      <w:r w:rsidR="00150934">
        <w:t xml:space="preserve"> osob, </w:t>
      </w:r>
      <w:r>
        <w:t xml:space="preserve">z toho </w:t>
      </w:r>
      <w:r w:rsidR="001A367B">
        <w:t>16,7</w:t>
      </w:r>
      <w:r w:rsidR="00F575A5">
        <w:t xml:space="preserve"> %</w:t>
      </w:r>
      <w:r>
        <w:t xml:space="preserve">, </w:t>
      </w:r>
      <w:r w:rsidR="00150934">
        <w:t>180</w:t>
      </w:r>
      <w:r>
        <w:t xml:space="preserve"> </w:t>
      </w:r>
      <w:r w:rsidR="00150934">
        <w:t>osob, mělo kratší služební dobu</w:t>
      </w:r>
      <w:r>
        <w:t>.</w:t>
      </w:r>
    </w:p>
    <w:p w14:paraId="185C5E78" w14:textId="77777777" w:rsidR="0096629A" w:rsidRDefault="0096629A" w:rsidP="00427569">
      <w:pPr>
        <w:pStyle w:val="Odstavecseseznamem"/>
      </w:pPr>
      <w:r>
        <w:t>V pracovním poměru bylo</w:t>
      </w:r>
      <w:r w:rsidRPr="004059B7">
        <w:t xml:space="preserve"> </w:t>
      </w:r>
      <w:r w:rsidR="00150934">
        <w:t>284</w:t>
      </w:r>
      <w:r w:rsidRPr="004059B7">
        <w:t xml:space="preserve"> </w:t>
      </w:r>
      <w:r w:rsidR="00B71960">
        <w:t>OZP</w:t>
      </w:r>
      <w:r>
        <w:t>, z toho</w:t>
      </w:r>
      <w:r w:rsidRPr="004059B7">
        <w:t xml:space="preserve"> jich prá</w:t>
      </w:r>
      <w:r>
        <w:t>ci na zkrácený úvazek vykonával</w:t>
      </w:r>
      <w:r w:rsidR="00F25AF5">
        <w:t>o</w:t>
      </w:r>
      <w:r w:rsidR="00150934">
        <w:t xml:space="preserve"> 23,9</w:t>
      </w:r>
      <w:r w:rsidR="00F575A5">
        <w:t xml:space="preserve"> %</w:t>
      </w:r>
      <w:r>
        <w:t xml:space="preserve">, </w:t>
      </w:r>
      <w:r w:rsidR="00150934">
        <w:t>68 osob</w:t>
      </w:r>
      <w:r>
        <w:t>.</w:t>
      </w:r>
    </w:p>
    <w:p w14:paraId="2AA0DC90" w14:textId="6989097C" w:rsidR="0096629A" w:rsidRDefault="0096629A" w:rsidP="00427569">
      <w:pPr>
        <w:pStyle w:val="Odstavecseseznamem"/>
      </w:pPr>
      <w:r>
        <w:t>N</w:t>
      </w:r>
      <w:r w:rsidRPr="004059B7">
        <w:t>a základě doho</w:t>
      </w:r>
      <w:r>
        <w:t xml:space="preserve">d </w:t>
      </w:r>
      <w:r w:rsidR="00CC0F57">
        <w:t xml:space="preserve">práci </w:t>
      </w:r>
      <w:r>
        <w:t xml:space="preserve">vykonávalo </w:t>
      </w:r>
      <w:r w:rsidR="00E46D0E">
        <w:t>16 </w:t>
      </w:r>
      <w:r w:rsidR="00150934" w:rsidRPr="00182C7C">
        <w:t>osob</w:t>
      </w:r>
      <w:r w:rsidRPr="00182C7C">
        <w:t>.</w:t>
      </w:r>
    </w:p>
    <w:p w14:paraId="783A5846" w14:textId="022E5B1C" w:rsidR="00B24C59" w:rsidRPr="00B24C59" w:rsidRDefault="00B24C59" w:rsidP="00C320A8">
      <w:pPr>
        <w:pStyle w:val="Titulek"/>
      </w:pPr>
      <w:bookmarkStart w:id="228" w:name="_Toc45512991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16</w:t>
      </w:r>
      <w:r w:rsidR="00FC5B08">
        <w:rPr>
          <w:noProof/>
        </w:rPr>
        <w:fldChar w:fldCharType="end"/>
      </w:r>
      <w:r>
        <w:t xml:space="preserve"> Počet OZP – organizační složky ministerstev</w:t>
      </w:r>
      <w:bookmarkEnd w:id="228"/>
    </w:p>
    <w:p w14:paraId="71597F12" w14:textId="77777777" w:rsidR="0096629A" w:rsidRDefault="00F25AF5" w:rsidP="00085169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7421CD7A" wp14:editId="7ADB9E22">
            <wp:extent cx="5086350" cy="22860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16CC94E" w14:textId="77777777" w:rsidR="0096629A" w:rsidRPr="00995D15" w:rsidRDefault="0096629A" w:rsidP="00E10D06">
      <w:pPr>
        <w:pStyle w:val="Nadpis3"/>
      </w:pPr>
      <w:bookmarkStart w:id="229" w:name="_Toc24641614"/>
      <w:r w:rsidRPr="00995D15">
        <w:lastRenderedPageBreak/>
        <w:t xml:space="preserve">Zaměstnávání </w:t>
      </w:r>
      <w:r w:rsidR="00CB6D71" w:rsidRPr="00995D15">
        <w:t xml:space="preserve">OZP </w:t>
      </w:r>
      <w:r w:rsidRPr="00995D15">
        <w:t>v ústředních orgánech státní správy</w:t>
      </w:r>
      <w:bookmarkEnd w:id="229"/>
    </w:p>
    <w:p w14:paraId="1573813E" w14:textId="3DA70CB9" w:rsidR="0096629A" w:rsidRDefault="0096629A" w:rsidP="00427569">
      <w:pPr>
        <w:pStyle w:val="Odstavecseseznamem"/>
      </w:pPr>
      <w:r w:rsidRPr="00F54B0E">
        <w:t>V ústředních orgánech státní správy</w:t>
      </w:r>
      <w:r>
        <w:t xml:space="preserve"> </w:t>
      </w:r>
      <w:r w:rsidR="00E43C10">
        <w:t>bylo ve služebním a</w:t>
      </w:r>
      <w:r w:rsidRPr="004059B7">
        <w:t xml:space="preserve"> pracovním poměru</w:t>
      </w:r>
      <w:r w:rsidR="00E43C10">
        <w:t xml:space="preserve"> zaměstnáno 73 OZP</w:t>
      </w:r>
      <w:r w:rsidR="00072282">
        <w:t xml:space="preserve"> (2,08</w:t>
      </w:r>
      <w:r w:rsidR="00F575A5">
        <w:t xml:space="preserve"> %</w:t>
      </w:r>
      <w:r w:rsidR="00B71960">
        <w:t xml:space="preserve"> z celkového počtu zaměstnanců</w:t>
      </w:r>
      <w:r w:rsidR="00072282">
        <w:t>)</w:t>
      </w:r>
      <w:r w:rsidR="00210D8F">
        <w:t>, 33 žen a 40 mužů</w:t>
      </w:r>
      <w:r w:rsidR="00B71960">
        <w:t>.</w:t>
      </w:r>
    </w:p>
    <w:p w14:paraId="0B31DB14" w14:textId="77777777" w:rsidR="0096629A" w:rsidRPr="004059B7" w:rsidRDefault="0096629A" w:rsidP="00427569">
      <w:pPr>
        <w:pStyle w:val="Odstavecseseznamem"/>
      </w:pPr>
      <w:r>
        <w:t xml:space="preserve">Ve služebním poměru bylo </w:t>
      </w:r>
      <w:r w:rsidR="00E43C10">
        <w:t>31 OZP</w:t>
      </w:r>
      <w:r>
        <w:t xml:space="preserve">, z toho </w:t>
      </w:r>
      <w:r w:rsidR="00E43C10">
        <w:t>19,4</w:t>
      </w:r>
      <w:r w:rsidR="00F575A5">
        <w:t xml:space="preserve"> %</w:t>
      </w:r>
      <w:r>
        <w:t xml:space="preserve">, </w:t>
      </w:r>
      <w:r w:rsidR="00E43C10">
        <w:t>6</w:t>
      </w:r>
      <w:r>
        <w:t xml:space="preserve"> </w:t>
      </w:r>
      <w:r w:rsidR="00E43C10">
        <w:t>osob, mělo kratší služební dobu</w:t>
      </w:r>
      <w:r>
        <w:t>.</w:t>
      </w:r>
    </w:p>
    <w:p w14:paraId="12AE408C" w14:textId="77777777" w:rsidR="0096629A" w:rsidRDefault="0096629A" w:rsidP="00427569">
      <w:pPr>
        <w:pStyle w:val="Odstavecseseznamem"/>
      </w:pPr>
      <w:r>
        <w:t>V pracovním poměru bylo</w:t>
      </w:r>
      <w:r w:rsidRPr="004059B7">
        <w:t xml:space="preserve"> </w:t>
      </w:r>
      <w:r w:rsidR="00E43C10">
        <w:t>42</w:t>
      </w:r>
      <w:r w:rsidRPr="004059B7">
        <w:t xml:space="preserve"> </w:t>
      </w:r>
      <w:r w:rsidR="00B71960">
        <w:t>OZP</w:t>
      </w:r>
      <w:r>
        <w:t>, z toho</w:t>
      </w:r>
      <w:r w:rsidRPr="004059B7">
        <w:t xml:space="preserve"> jich</w:t>
      </w:r>
      <w:r w:rsidR="00E43C10">
        <w:t xml:space="preserve"> 5</w:t>
      </w:r>
      <w:r w:rsidRPr="004059B7">
        <w:t xml:space="preserve"> prá</w:t>
      </w:r>
      <w:r>
        <w:t xml:space="preserve">ci </w:t>
      </w:r>
      <w:r w:rsidR="00E43C10">
        <w:t>vykonávalo s kratší pracovní dobou (11,9</w:t>
      </w:r>
      <w:r w:rsidR="00F575A5">
        <w:t xml:space="preserve"> %</w:t>
      </w:r>
      <w:r w:rsidR="00E43C10">
        <w:t>)</w:t>
      </w:r>
      <w:r>
        <w:t>.</w:t>
      </w:r>
    </w:p>
    <w:p w14:paraId="41EEE9C4" w14:textId="42BB5BAA" w:rsidR="0096629A" w:rsidRDefault="0096629A" w:rsidP="00427569">
      <w:pPr>
        <w:pStyle w:val="Odstavecseseznamem"/>
      </w:pPr>
      <w:r>
        <w:t>N</w:t>
      </w:r>
      <w:r w:rsidRPr="004059B7">
        <w:t>a základě doho</w:t>
      </w:r>
      <w:r>
        <w:t xml:space="preserve">d práci vykonávalo </w:t>
      </w:r>
      <w:r w:rsidR="00556845">
        <w:t>5 </w:t>
      </w:r>
      <w:r w:rsidR="00515482">
        <w:t>osob</w:t>
      </w:r>
      <w:r>
        <w:t>.</w:t>
      </w:r>
    </w:p>
    <w:p w14:paraId="058AD2CF" w14:textId="269EBDD0" w:rsidR="00B24C59" w:rsidRPr="00B24C59" w:rsidRDefault="00B24C59" w:rsidP="00C320A8">
      <w:pPr>
        <w:pStyle w:val="Titulek"/>
      </w:pPr>
      <w:bookmarkStart w:id="230" w:name="_Toc45512992"/>
      <w:r w:rsidRPr="00B24C59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17</w:t>
      </w:r>
      <w:r w:rsidR="00FC5B08">
        <w:rPr>
          <w:noProof/>
        </w:rPr>
        <w:fldChar w:fldCharType="end"/>
      </w:r>
      <w:r w:rsidRPr="00B24C59">
        <w:t xml:space="preserve"> Počet OZP – ústřední orgány státní správy</w:t>
      </w:r>
      <w:bookmarkEnd w:id="230"/>
    </w:p>
    <w:p w14:paraId="12716BEE" w14:textId="0008D621" w:rsidR="00A60774" w:rsidRPr="00A977C4" w:rsidRDefault="00A11850" w:rsidP="00A60774">
      <w:pPr>
        <w:jc w:val="center"/>
        <w:rPr>
          <w:color w:val="000000" w:themeColor="text1"/>
          <w:sz w:val="20"/>
        </w:rPr>
      </w:pPr>
      <w:r>
        <w:rPr>
          <w:noProof/>
        </w:rPr>
        <w:drawing>
          <wp:inline distT="0" distB="0" distL="0" distR="0" wp14:anchorId="2E679691" wp14:editId="2FD6B4B9">
            <wp:extent cx="5037455" cy="2324100"/>
            <wp:effectExtent l="0" t="0" r="10795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9BDF6E8" w14:textId="77777777" w:rsidR="00A60887" w:rsidRPr="00250970" w:rsidRDefault="008C48DA" w:rsidP="00E10D06">
      <w:pPr>
        <w:pStyle w:val="Nadpis3"/>
      </w:pPr>
      <w:r w:rsidRPr="00461022">
        <w:t>Shrnutí</w:t>
      </w:r>
    </w:p>
    <w:p w14:paraId="07B62B67" w14:textId="6E0B4D22" w:rsidR="00116CA0" w:rsidRDefault="000F3E8C" w:rsidP="00085169">
      <w:r w:rsidRPr="008C48DA">
        <w:rPr>
          <w:b/>
        </w:rPr>
        <w:t>Celkový počet zaměstnanců se zdravotním postižením v</w:t>
      </w:r>
      <w:r w:rsidR="00F9584B">
        <w:rPr>
          <w:b/>
        </w:rPr>
        <w:t> </w:t>
      </w:r>
      <w:r w:rsidRPr="008C48DA">
        <w:rPr>
          <w:b/>
        </w:rPr>
        <w:t>úřadech</w:t>
      </w:r>
      <w:r w:rsidR="00F9584B">
        <w:rPr>
          <w:b/>
        </w:rPr>
        <w:t xml:space="preserve"> ve služebním a pracovním poměru</w:t>
      </w:r>
      <w:r w:rsidRPr="008C48DA">
        <w:rPr>
          <w:b/>
        </w:rPr>
        <w:t xml:space="preserve"> byl 1 704 osob, tedy 2,28</w:t>
      </w:r>
      <w:r w:rsidR="00F575A5" w:rsidRPr="008C48DA">
        <w:rPr>
          <w:b/>
        </w:rPr>
        <w:t xml:space="preserve"> %</w:t>
      </w:r>
      <w:r w:rsidR="008C48DA" w:rsidRPr="008C48DA">
        <w:rPr>
          <w:b/>
        </w:rPr>
        <w:t>.</w:t>
      </w:r>
      <w:r w:rsidRPr="008C48DA">
        <w:rPr>
          <w:b/>
        </w:rPr>
        <w:t xml:space="preserve"> </w:t>
      </w:r>
      <w:r w:rsidR="00F05F5B" w:rsidRPr="008C48DA">
        <w:t>V jednotlivých ministerstvech čin</w:t>
      </w:r>
      <w:r w:rsidR="00CC0F57">
        <w:t>il</w:t>
      </w:r>
      <w:r w:rsidR="00F05F5B" w:rsidRPr="008C48DA">
        <w:t xml:space="preserve"> tento podíl 1,33</w:t>
      </w:r>
      <w:r w:rsidR="00F575A5" w:rsidRPr="008C48DA">
        <w:t xml:space="preserve"> %</w:t>
      </w:r>
      <w:r w:rsidR="00F05F5B" w:rsidRPr="008C48DA">
        <w:t>, v jejich</w:t>
      </w:r>
      <w:r w:rsidR="00A71459" w:rsidRPr="008C48DA">
        <w:t xml:space="preserve"> organizačních složkách 2,65</w:t>
      </w:r>
      <w:r w:rsidR="00F575A5" w:rsidRPr="008C48DA">
        <w:t xml:space="preserve"> %</w:t>
      </w:r>
      <w:r w:rsidR="00A71459" w:rsidRPr="008C48DA">
        <w:t xml:space="preserve"> a </w:t>
      </w:r>
      <w:r w:rsidR="00F05F5B" w:rsidRPr="008C48DA">
        <w:t>v ústředních orgánech státní správy 2,08</w:t>
      </w:r>
      <w:r w:rsidR="00556845" w:rsidRPr="008C48DA">
        <w:t xml:space="preserve"> %</w:t>
      </w:r>
      <w:r w:rsidR="00F05F5B" w:rsidRPr="008C48DA">
        <w:t>.</w:t>
      </w:r>
    </w:p>
    <w:p w14:paraId="429B0471" w14:textId="795E9D77" w:rsidR="00A60774" w:rsidRPr="008C48DA" w:rsidRDefault="00A60774" w:rsidP="00085169">
      <w:pPr>
        <w:rPr>
          <w:b/>
        </w:rPr>
      </w:pPr>
      <w:r>
        <w:t xml:space="preserve">Nejnižší podíl žen se zdravotním postižením pracuje v ústředních orgánech státní správy, a to 45 %.  V ministerstvech tento podíl činil 63,7 % a v jejich organizačních složkách dokonce 79 %. </w:t>
      </w:r>
    </w:p>
    <w:p w14:paraId="72ABD17A" w14:textId="3142FD2D" w:rsidR="00A60887" w:rsidRPr="008C48DA" w:rsidRDefault="00B563AE" w:rsidP="00085169">
      <w:r w:rsidRPr="008C48DA">
        <w:t xml:space="preserve">Ve služebním poměru bylo </w:t>
      </w:r>
      <w:r w:rsidR="006F3118">
        <w:t xml:space="preserve">zaměstnáno celkem </w:t>
      </w:r>
      <w:r w:rsidR="0036581C" w:rsidRPr="008C48DA">
        <w:t>73,8</w:t>
      </w:r>
      <w:r w:rsidR="00F575A5" w:rsidRPr="008C48DA">
        <w:t xml:space="preserve"> %</w:t>
      </w:r>
      <w:r w:rsidRPr="008C48DA">
        <w:t xml:space="preserve"> OZP</w:t>
      </w:r>
      <w:r w:rsidR="00A60887" w:rsidRPr="008C48DA">
        <w:t xml:space="preserve"> (1</w:t>
      </w:r>
      <w:r w:rsidR="00B453D0" w:rsidRPr="008C48DA">
        <w:t>5,5</w:t>
      </w:r>
      <w:r w:rsidR="00556845" w:rsidRPr="008C48DA">
        <w:t xml:space="preserve"> %</w:t>
      </w:r>
      <w:r w:rsidR="00D95770" w:rsidRPr="008C48DA">
        <w:t xml:space="preserve"> využívalo </w:t>
      </w:r>
      <w:r w:rsidR="00FB3788" w:rsidRPr="008C48DA">
        <w:t>kratší služební dob</w:t>
      </w:r>
      <w:r w:rsidR="00B453D0" w:rsidRPr="008C48DA">
        <w:t>u)</w:t>
      </w:r>
      <w:r w:rsidR="00D95770" w:rsidRPr="008C48DA">
        <w:t xml:space="preserve"> a </w:t>
      </w:r>
      <w:r w:rsidR="00B453D0" w:rsidRPr="008C48DA">
        <w:t>25</w:t>
      </w:r>
      <w:r w:rsidR="00556845" w:rsidRPr="008C48DA">
        <w:t xml:space="preserve"> %</w:t>
      </w:r>
      <w:r w:rsidRPr="008C48DA">
        <w:t xml:space="preserve"> bylo </w:t>
      </w:r>
      <w:r w:rsidR="006F3118">
        <w:t xml:space="preserve">zaměstnáno </w:t>
      </w:r>
      <w:r w:rsidR="00A60887" w:rsidRPr="008C48DA">
        <w:t>v</w:t>
      </w:r>
      <w:r w:rsidR="006F3118">
        <w:t> </w:t>
      </w:r>
      <w:r w:rsidR="00A60887" w:rsidRPr="008C48DA">
        <w:t>poměru</w:t>
      </w:r>
      <w:r w:rsidR="006F3118">
        <w:t xml:space="preserve"> pracovním</w:t>
      </w:r>
      <w:r w:rsidR="00A60887" w:rsidRPr="008C48DA">
        <w:t xml:space="preserve"> </w:t>
      </w:r>
      <w:r w:rsidR="00826C81" w:rsidRPr="008C48DA">
        <w:t>(</w:t>
      </w:r>
      <w:r w:rsidR="00B453D0" w:rsidRPr="008C48DA">
        <w:t>19,5</w:t>
      </w:r>
      <w:r w:rsidR="00556845" w:rsidRPr="008C48DA">
        <w:t xml:space="preserve"> %</w:t>
      </w:r>
      <w:r w:rsidR="00D95770" w:rsidRPr="008C48DA">
        <w:t xml:space="preserve"> pracovalo</w:t>
      </w:r>
      <w:r w:rsidR="00A60887" w:rsidRPr="008C48DA">
        <w:t xml:space="preserve"> na </w:t>
      </w:r>
      <w:r w:rsidR="00D95770" w:rsidRPr="008C48DA">
        <w:t>zkrácený úvazek). 37 oso</w:t>
      </w:r>
      <w:r w:rsidR="0055330F" w:rsidRPr="008C48DA">
        <w:t>b</w:t>
      </w:r>
      <w:r w:rsidR="00D95770" w:rsidRPr="008C48DA">
        <w:t xml:space="preserve"> nadto vykonávalo</w:t>
      </w:r>
      <w:r w:rsidRPr="008C48DA">
        <w:t xml:space="preserve"> práci na </w:t>
      </w:r>
      <w:r w:rsidR="00A60887" w:rsidRPr="008C48DA">
        <w:t xml:space="preserve">základě dohod o pracích konaných mimo pracovní poměr. </w:t>
      </w:r>
    </w:p>
    <w:p w14:paraId="449024F7" w14:textId="33094DCB" w:rsidR="00826C81" w:rsidRPr="008C48DA" w:rsidRDefault="00B453D0" w:rsidP="00085169">
      <w:r w:rsidRPr="008C48DA">
        <w:lastRenderedPageBreak/>
        <w:t xml:space="preserve">Ze zjištění </w:t>
      </w:r>
      <w:r w:rsidR="00693CAB">
        <w:t xml:space="preserve">dále </w:t>
      </w:r>
      <w:r w:rsidRPr="008C48DA">
        <w:t>vyplývá, že</w:t>
      </w:r>
      <w:r w:rsidR="00826C81" w:rsidRPr="008C48DA">
        <w:t xml:space="preserve"> </w:t>
      </w:r>
      <w:r w:rsidR="00826C81" w:rsidRPr="008C48DA">
        <w:rPr>
          <w:b/>
        </w:rPr>
        <w:t>OZP více využíva</w:t>
      </w:r>
      <w:r w:rsidR="00CC0F57">
        <w:rPr>
          <w:b/>
        </w:rPr>
        <w:t>ly</w:t>
      </w:r>
      <w:r w:rsidR="00826C81" w:rsidRPr="008C48DA">
        <w:rPr>
          <w:b/>
        </w:rPr>
        <w:t xml:space="preserve"> kratší služební/pracovní dobu</w:t>
      </w:r>
      <w:r w:rsidR="0004622D">
        <w:t xml:space="preserve"> (15,5</w:t>
      </w:r>
      <w:r w:rsidR="00F575A5" w:rsidRPr="008C48DA">
        <w:t xml:space="preserve"> %</w:t>
      </w:r>
      <w:r w:rsidR="009C074A">
        <w:t xml:space="preserve"> ve </w:t>
      </w:r>
      <w:r w:rsidR="00826C81" w:rsidRPr="008C48DA">
        <w:t xml:space="preserve">služebním poměru a </w:t>
      </w:r>
      <w:r w:rsidR="0004622D">
        <w:t>19,5</w:t>
      </w:r>
      <w:r w:rsidR="00F575A5" w:rsidRPr="008C48DA">
        <w:t xml:space="preserve"> %</w:t>
      </w:r>
      <w:r w:rsidR="00826C81" w:rsidRPr="008C48DA">
        <w:t xml:space="preserve"> v pracovním poměru</w:t>
      </w:r>
      <w:r w:rsidR="0004622D">
        <w:t>),</w:t>
      </w:r>
      <w:r w:rsidR="00826C81" w:rsidRPr="008C48DA">
        <w:t xml:space="preserve"> ostatní zaměstnanci tuto možnost využíva</w:t>
      </w:r>
      <w:r w:rsidR="00CC0F57">
        <w:t>li</w:t>
      </w:r>
      <w:r w:rsidR="00826C81" w:rsidRPr="008C48DA">
        <w:t xml:space="preserve"> v 6,9</w:t>
      </w:r>
      <w:r w:rsidR="00F575A5" w:rsidRPr="008C48DA">
        <w:t xml:space="preserve"> %</w:t>
      </w:r>
      <w:r w:rsidR="00826C81" w:rsidRPr="008C48DA">
        <w:t xml:space="preserve"> a 9,1</w:t>
      </w:r>
      <w:r w:rsidR="00F575A5" w:rsidRPr="008C48DA">
        <w:t xml:space="preserve"> %</w:t>
      </w:r>
      <w:r w:rsidR="00826C81" w:rsidRPr="008C48DA">
        <w:t xml:space="preserve">. </w:t>
      </w:r>
      <w:r w:rsidR="00877B1E" w:rsidRPr="008C48DA">
        <w:t>OZP</w:t>
      </w:r>
      <w:r w:rsidRPr="008C48DA">
        <w:t xml:space="preserve"> tedy</w:t>
      </w:r>
      <w:r w:rsidR="00D71D6F" w:rsidRPr="008C48DA">
        <w:t xml:space="preserve"> prac</w:t>
      </w:r>
      <w:r w:rsidR="00CC0F57">
        <w:t>ovali</w:t>
      </w:r>
      <w:r w:rsidR="00D71D6F" w:rsidRPr="008C48DA">
        <w:t xml:space="preserve"> na zkrácený úvazek</w:t>
      </w:r>
      <w:r w:rsidR="0004622D">
        <w:t xml:space="preserve"> přibližně 2x častěji.</w:t>
      </w:r>
    </w:p>
    <w:p w14:paraId="32B486AF" w14:textId="793A93B3" w:rsidR="000D5AE4" w:rsidRPr="00020EEF" w:rsidRDefault="009E668D" w:rsidP="00020EEF">
      <w:bookmarkStart w:id="231" w:name="_Toc24641616"/>
      <w:r>
        <w:t>Z průzkumu také vyplynulo, že se v jednotlivých úřadech výrazně liš</w:t>
      </w:r>
      <w:r w:rsidR="00CC0F57">
        <w:t>il</w:t>
      </w:r>
      <w:r>
        <w:t xml:space="preserve"> podíl osob pracujících ve služebním a pracovním poměru. V ministerstvech </w:t>
      </w:r>
      <w:r w:rsidR="00CC0F57">
        <w:t>byl</w:t>
      </w:r>
      <w:r>
        <w:t xml:space="preserve"> tento počet víceméně vyrovnaný (ve</w:t>
      </w:r>
      <w:r w:rsidR="00CC0F57">
        <w:t> </w:t>
      </w:r>
      <w:r>
        <w:t xml:space="preserve">služebním poměru </w:t>
      </w:r>
      <w:r w:rsidR="00CC0F57">
        <w:t>bylo</w:t>
      </w:r>
      <w:r>
        <w:t xml:space="preserve"> 59,6 % zaměstnanců se zdravotním postižením), v jejich organizačních složkách </w:t>
      </w:r>
      <w:r w:rsidR="00CC0F57">
        <w:t>byla</w:t>
      </w:r>
      <w:r>
        <w:t xml:space="preserve"> převážná většina OZP zaměstnána ve služebním poměru (79</w:t>
      </w:r>
      <w:r w:rsidR="00CC0F57">
        <w:t> </w:t>
      </w:r>
      <w:r>
        <w:t xml:space="preserve">%) a v ústředních správních orgánech </w:t>
      </w:r>
      <w:r w:rsidR="00CC0F57">
        <w:t>byl</w:t>
      </w:r>
      <w:r>
        <w:t xml:space="preserve"> naopak větší podíl osob zaměstnaných v poměru pracovním.</w:t>
      </w:r>
    </w:p>
    <w:p w14:paraId="3FEC8E30" w14:textId="0F3300DB" w:rsidR="005A1781" w:rsidRPr="006E11D9" w:rsidRDefault="005A1781" w:rsidP="009B209E">
      <w:pPr>
        <w:pStyle w:val="Nadpis2"/>
        <w:rPr>
          <w:color w:val="76923C" w:themeColor="accent3" w:themeShade="BF"/>
        </w:rPr>
      </w:pPr>
      <w:bookmarkStart w:id="232" w:name="_Toc45513056"/>
      <w:r w:rsidRPr="006E11D9">
        <w:rPr>
          <w:color w:val="76923C" w:themeColor="accent3" w:themeShade="BF"/>
        </w:rPr>
        <w:t>Počet zaměstnanců se zdravotním postižením dle uznaného stupně invalidity</w:t>
      </w:r>
      <w:bookmarkEnd w:id="232"/>
    </w:p>
    <w:bookmarkEnd w:id="231"/>
    <w:p w14:paraId="71179F07" w14:textId="77777777" w:rsidR="000316D3" w:rsidRPr="00116CA0" w:rsidRDefault="00A3327B" w:rsidP="00427569">
      <w:pPr>
        <w:pStyle w:val="Odstavecseseznamem"/>
        <w:numPr>
          <w:ilvl w:val="0"/>
          <w:numId w:val="12"/>
        </w:numPr>
      </w:pPr>
      <w:r>
        <w:t xml:space="preserve">V úřadech bylo dle zjištění </w:t>
      </w:r>
      <w:r w:rsidR="0004055B" w:rsidRPr="00EB6B5D">
        <w:t xml:space="preserve">zaměstnáno 212 </w:t>
      </w:r>
      <w:r>
        <w:t>o</w:t>
      </w:r>
      <w:r w:rsidRPr="00EB6B5D">
        <w:t xml:space="preserve">sob se zdravotním znevýhodněním </w:t>
      </w:r>
      <w:r w:rsidR="0004055B" w:rsidRPr="00EB6B5D">
        <w:t>(</w:t>
      </w:r>
      <w:r w:rsidR="000316D3" w:rsidRPr="00EB6B5D">
        <w:t>143 žen, 69 mužů)</w:t>
      </w:r>
      <w:r w:rsidR="00116CA0">
        <w:t xml:space="preserve">, </w:t>
      </w:r>
      <w:r w:rsidR="000316D3" w:rsidRPr="00116CA0">
        <w:t xml:space="preserve">1 070 </w:t>
      </w:r>
      <w:r>
        <w:t>o</w:t>
      </w:r>
      <w:r w:rsidRPr="00116CA0">
        <w:t xml:space="preserve">sob s uznaným prvním stupněm invalidity </w:t>
      </w:r>
      <w:r w:rsidR="000316D3" w:rsidRPr="00116CA0">
        <w:t>(829 žen a 241 mužů)</w:t>
      </w:r>
      <w:r w:rsidR="00116CA0">
        <w:t xml:space="preserve">, </w:t>
      </w:r>
      <w:r w:rsidR="000316D3" w:rsidRPr="00116CA0">
        <w:t xml:space="preserve">302 </w:t>
      </w:r>
      <w:r>
        <w:t>o</w:t>
      </w:r>
      <w:r w:rsidRPr="00116CA0">
        <w:t xml:space="preserve">sob s uznaným druhým stupněm invalidity </w:t>
      </w:r>
      <w:r w:rsidR="000316D3" w:rsidRPr="00116CA0">
        <w:t>(</w:t>
      </w:r>
      <w:r w:rsidR="004D5FC3" w:rsidRPr="00116CA0">
        <w:t>231 žen a 71 mužů)</w:t>
      </w:r>
      <w:r w:rsidR="00116CA0">
        <w:t xml:space="preserve"> a </w:t>
      </w:r>
      <w:r w:rsidR="000316D3" w:rsidRPr="00116CA0">
        <w:t xml:space="preserve">157 </w:t>
      </w:r>
      <w:r>
        <w:t>o</w:t>
      </w:r>
      <w:r w:rsidRPr="00116CA0">
        <w:t xml:space="preserve">sob s uznaným třetím stupněm invalidity </w:t>
      </w:r>
      <w:r w:rsidR="000316D3" w:rsidRPr="00116CA0">
        <w:t xml:space="preserve">(96 žen a 61 mužů). </w:t>
      </w:r>
    </w:p>
    <w:p w14:paraId="323CB659" w14:textId="473B3727" w:rsidR="00B24C59" w:rsidRDefault="00B24C59" w:rsidP="00C320A8">
      <w:pPr>
        <w:pStyle w:val="Titulek"/>
      </w:pPr>
      <w:bookmarkStart w:id="233" w:name="_Toc45512993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18</w:t>
      </w:r>
      <w:r w:rsidR="00FC5B08">
        <w:rPr>
          <w:noProof/>
        </w:rPr>
        <w:fldChar w:fldCharType="end"/>
      </w:r>
      <w:r>
        <w:t xml:space="preserve"> </w:t>
      </w:r>
      <w:r w:rsidRPr="00B24C59">
        <w:t>Počet</w:t>
      </w:r>
      <w:r w:rsidRPr="00542A70">
        <w:t xml:space="preserve"> OZP dle uznaného stupně invalidity</w:t>
      </w:r>
      <w:bookmarkEnd w:id="233"/>
    </w:p>
    <w:p w14:paraId="5E2C2FE6" w14:textId="77777777" w:rsidR="0004055B" w:rsidRDefault="003D4CE9" w:rsidP="00085169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6C1FBF19" wp14:editId="512CEF93">
            <wp:extent cx="4999355" cy="2457450"/>
            <wp:effectExtent l="0" t="0" r="10795" b="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03673E7" w14:textId="68359C67" w:rsidR="001D583C" w:rsidRPr="00D43420" w:rsidRDefault="00E07DA1" w:rsidP="00427569">
      <w:pPr>
        <w:pStyle w:val="Odstavecseseznamem"/>
        <w:numPr>
          <w:ilvl w:val="0"/>
          <w:numId w:val="12"/>
        </w:numPr>
      </w:pPr>
      <w:r>
        <w:t xml:space="preserve">Z celkového počtu 1 299 žen </w:t>
      </w:r>
      <w:r w:rsidR="00F717E3">
        <w:t xml:space="preserve">zaměstnaných </w:t>
      </w:r>
      <w:r w:rsidR="005A4394">
        <w:t>v úřadech</w:t>
      </w:r>
      <w:r>
        <w:t xml:space="preserve"> </w:t>
      </w:r>
      <w:r w:rsidR="00F717E3">
        <w:t>m</w:t>
      </w:r>
      <w:r w:rsidR="00942A13">
        <w:t>ělo</w:t>
      </w:r>
      <w:r w:rsidR="00F717E3">
        <w:t xml:space="preserve"> 64</w:t>
      </w:r>
      <w:r w:rsidR="00556845">
        <w:t xml:space="preserve"> %</w:t>
      </w:r>
      <w:r>
        <w:t xml:space="preserve"> uznaný </w:t>
      </w:r>
      <w:r w:rsidR="00DF157F">
        <w:t xml:space="preserve">první </w:t>
      </w:r>
      <w:r w:rsidR="00D65F53">
        <w:t>s</w:t>
      </w:r>
      <w:r>
        <w:t>tupeň</w:t>
      </w:r>
      <w:r w:rsidR="008B52F2">
        <w:t xml:space="preserve"> invalidity</w:t>
      </w:r>
      <w:r>
        <w:t xml:space="preserve">, </w:t>
      </w:r>
      <w:r w:rsidR="007A28EA">
        <w:t>18</w:t>
      </w:r>
      <w:r w:rsidR="00556845">
        <w:t xml:space="preserve"> %</w:t>
      </w:r>
      <w:r w:rsidR="007A28EA">
        <w:t xml:space="preserve"> druhý stupeň</w:t>
      </w:r>
      <w:r w:rsidR="008B52F2">
        <w:t xml:space="preserve"> invalidity</w:t>
      </w:r>
      <w:r w:rsidR="00F717E3">
        <w:t>, 11</w:t>
      </w:r>
      <w:r w:rsidR="00F575A5">
        <w:t xml:space="preserve"> %</w:t>
      </w:r>
      <w:r w:rsidR="00F717E3">
        <w:t xml:space="preserve"> má zdravotní znevýhodnění a nejméně, 7</w:t>
      </w:r>
      <w:r w:rsidR="00F575A5">
        <w:t xml:space="preserve"> %</w:t>
      </w:r>
      <w:r w:rsidR="00F717E3">
        <w:t xml:space="preserve"> žen</w:t>
      </w:r>
      <w:r w:rsidR="001D7787">
        <w:t>,</w:t>
      </w:r>
      <w:r w:rsidR="00F717E3">
        <w:t xml:space="preserve"> m</w:t>
      </w:r>
      <w:r w:rsidR="00942A13">
        <w:t>ělo</w:t>
      </w:r>
      <w:r w:rsidR="00F717E3">
        <w:t xml:space="preserve"> uznaný třetí stupeň invalidity.</w:t>
      </w:r>
    </w:p>
    <w:p w14:paraId="24094D98" w14:textId="57AB688C" w:rsidR="008009E6" w:rsidRPr="008009E6" w:rsidRDefault="008009E6" w:rsidP="00C320A8">
      <w:pPr>
        <w:pStyle w:val="Titulek"/>
      </w:pPr>
      <w:bookmarkStart w:id="234" w:name="_Toc45512994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19</w:t>
      </w:r>
      <w:r w:rsidR="00FC5B08">
        <w:rPr>
          <w:noProof/>
        </w:rPr>
        <w:fldChar w:fldCharType="end"/>
      </w:r>
      <w:r>
        <w:t xml:space="preserve"> </w:t>
      </w:r>
      <w:r w:rsidRPr="00542A70">
        <w:t>Podíl žen dle uznaného st</w:t>
      </w:r>
      <w:r>
        <w:t>upně invalidity</w:t>
      </w:r>
      <w:bookmarkEnd w:id="234"/>
    </w:p>
    <w:p w14:paraId="13F2908B" w14:textId="77777777" w:rsidR="00E3377C" w:rsidRDefault="008B2361" w:rsidP="00085169">
      <w:pPr>
        <w:jc w:val="center"/>
        <w:rPr>
          <w:sz w:val="20"/>
          <w:szCs w:val="22"/>
        </w:rPr>
      </w:pPr>
      <w:r>
        <w:rPr>
          <w:noProof/>
        </w:rPr>
        <w:drawing>
          <wp:inline distT="0" distB="0" distL="0" distR="0" wp14:anchorId="3E07AF47" wp14:editId="011DF843">
            <wp:extent cx="5086985" cy="2705100"/>
            <wp:effectExtent l="0" t="0" r="1841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B9FF38B" w14:textId="25299132" w:rsidR="008B2361" w:rsidRPr="00F717E3" w:rsidRDefault="00F717E3" w:rsidP="00427569">
      <w:pPr>
        <w:pStyle w:val="Odstavecseseznamem"/>
        <w:numPr>
          <w:ilvl w:val="0"/>
          <w:numId w:val="12"/>
        </w:numPr>
      </w:pPr>
      <w:r>
        <w:t xml:space="preserve">Z celkového počtu 442 mužů zaměstnaných </w:t>
      </w:r>
      <w:r w:rsidR="005A4394">
        <w:t>v úřadech</w:t>
      </w:r>
      <w:r>
        <w:t xml:space="preserve"> m</w:t>
      </w:r>
      <w:r w:rsidR="00942A13">
        <w:t>ělo</w:t>
      </w:r>
      <w:r>
        <w:t xml:space="preserve"> 54</w:t>
      </w:r>
      <w:r w:rsidR="00F575A5">
        <w:t xml:space="preserve"> %</w:t>
      </w:r>
      <w:r>
        <w:t xml:space="preserve"> uznaný první stupeň</w:t>
      </w:r>
      <w:r w:rsidR="0047796F">
        <w:t xml:space="preserve"> invalidity</w:t>
      </w:r>
      <w:r>
        <w:t>, 16</w:t>
      </w:r>
      <w:r w:rsidR="00F575A5">
        <w:t xml:space="preserve"> %</w:t>
      </w:r>
      <w:r>
        <w:t xml:space="preserve"> druhý stupeň</w:t>
      </w:r>
      <w:r w:rsidR="0047796F">
        <w:t xml:space="preserve"> invalidity, 16 %</w:t>
      </w:r>
      <w:r>
        <w:t xml:space="preserve"> zdravotní znevýhodnění a 14</w:t>
      </w:r>
      <w:r w:rsidR="00F575A5">
        <w:t xml:space="preserve"> %</w:t>
      </w:r>
      <w:r>
        <w:t xml:space="preserve"> mužů m</w:t>
      </w:r>
      <w:r w:rsidR="00942A13">
        <w:t>ělo</w:t>
      </w:r>
      <w:r>
        <w:t xml:space="preserve"> uznaný třetí stupeň invalidity.</w:t>
      </w:r>
    </w:p>
    <w:p w14:paraId="224F0D8A" w14:textId="5B26C055" w:rsidR="00B468FC" w:rsidRDefault="00B468FC" w:rsidP="00C320A8">
      <w:pPr>
        <w:pStyle w:val="Titulek"/>
      </w:pPr>
      <w:bookmarkStart w:id="235" w:name="_Toc45512995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20</w:t>
      </w:r>
      <w:r w:rsidR="00FC5B08">
        <w:rPr>
          <w:noProof/>
        </w:rPr>
        <w:fldChar w:fldCharType="end"/>
      </w:r>
      <w:r>
        <w:t xml:space="preserve"> Podíl mužů</w:t>
      </w:r>
      <w:r w:rsidRPr="00542A70">
        <w:t xml:space="preserve"> dle uznaného st</w:t>
      </w:r>
      <w:r>
        <w:t>upně invalidity</w:t>
      </w:r>
      <w:bookmarkEnd w:id="235"/>
      <w:r>
        <w:t xml:space="preserve"> </w:t>
      </w:r>
    </w:p>
    <w:p w14:paraId="4DC72C24" w14:textId="77777777" w:rsidR="00ED703D" w:rsidRDefault="00E3377C" w:rsidP="00085169">
      <w:pPr>
        <w:jc w:val="center"/>
        <w:rPr>
          <w:sz w:val="20"/>
          <w:szCs w:val="22"/>
        </w:rPr>
      </w:pPr>
      <w:r>
        <w:rPr>
          <w:noProof/>
        </w:rPr>
        <w:drawing>
          <wp:inline distT="0" distB="0" distL="0" distR="0" wp14:anchorId="5D212EEF" wp14:editId="5D125C8A">
            <wp:extent cx="5073015" cy="2999105"/>
            <wp:effectExtent l="0" t="0" r="13335" b="1079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CF54614" w14:textId="5F2E8767" w:rsidR="008B2361" w:rsidRPr="00542A70" w:rsidRDefault="00542A70" w:rsidP="00C320A8">
      <w:pPr>
        <w:pStyle w:val="Titulek"/>
      </w:pPr>
      <w:bookmarkStart w:id="236" w:name="_Toc20135629"/>
      <w:bookmarkStart w:id="237" w:name="_Toc45512996"/>
      <w:r w:rsidRPr="00542A70"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21</w:t>
      </w:r>
      <w:r w:rsidR="00FC5B08">
        <w:rPr>
          <w:noProof/>
        </w:rPr>
        <w:fldChar w:fldCharType="end"/>
      </w:r>
      <w:r w:rsidRPr="00542A70">
        <w:t xml:space="preserve"> </w:t>
      </w:r>
      <w:r w:rsidR="00B468FC">
        <w:t xml:space="preserve">Porovnání podílu žen a </w:t>
      </w:r>
      <w:r w:rsidR="00280861" w:rsidRPr="00542A70">
        <w:t>mužů</w:t>
      </w:r>
      <w:r w:rsidR="008B2361" w:rsidRPr="00542A70">
        <w:t xml:space="preserve"> dle </w:t>
      </w:r>
      <w:r w:rsidR="005A4394">
        <w:t xml:space="preserve">uznaného stupně </w:t>
      </w:r>
      <w:r w:rsidR="005A4394" w:rsidRPr="00B468FC">
        <w:t>invalidity</w:t>
      </w:r>
      <w:bookmarkEnd w:id="236"/>
      <w:r w:rsidR="00B468FC">
        <w:t>;</w:t>
      </w:r>
      <w:r w:rsidR="00B468FC" w:rsidRPr="00B468FC">
        <w:t xml:space="preserve"> menší kruh znázorňuje ženy, větší kruh muže.</w:t>
      </w:r>
      <w:bookmarkEnd w:id="237"/>
    </w:p>
    <w:p w14:paraId="188E67C7" w14:textId="77777777" w:rsidR="00574251" w:rsidRPr="00A164B5" w:rsidRDefault="0043247B" w:rsidP="00085169">
      <w:pPr>
        <w:jc w:val="center"/>
        <w:rPr>
          <w:sz w:val="20"/>
          <w:szCs w:val="22"/>
        </w:rPr>
      </w:pPr>
      <w:r>
        <w:rPr>
          <w:noProof/>
        </w:rPr>
        <w:drawing>
          <wp:inline distT="0" distB="0" distL="0" distR="0" wp14:anchorId="2475128B" wp14:editId="395ACDD1">
            <wp:extent cx="5057775" cy="4076700"/>
            <wp:effectExtent l="0" t="0" r="9525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A2FF02C" w14:textId="77777777" w:rsidR="00612C2D" w:rsidRPr="000A6D1C" w:rsidRDefault="00612C2D" w:rsidP="00A34307">
      <w:pPr>
        <w:pStyle w:val="Podtitul"/>
      </w:pPr>
      <w:r w:rsidRPr="000A6D1C">
        <w:t xml:space="preserve">Zaměstnanci se zdravotním postižením dle </w:t>
      </w:r>
      <w:r w:rsidR="0047796F" w:rsidRPr="000A6D1C">
        <w:t xml:space="preserve">uznaného stupně invalidity a </w:t>
      </w:r>
      <w:r w:rsidRPr="000A6D1C">
        <w:t>druhu zaměstnaneckého poměru</w:t>
      </w:r>
    </w:p>
    <w:p w14:paraId="0C1D8847" w14:textId="77777777" w:rsidR="00DD4F3F" w:rsidRPr="004059B7" w:rsidRDefault="00DD4F3F" w:rsidP="00427569">
      <w:pPr>
        <w:pStyle w:val="Odstavecseseznamem"/>
      </w:pPr>
      <w:r>
        <w:t xml:space="preserve">Ve služebním poměru </w:t>
      </w:r>
      <w:r w:rsidR="003A77AF">
        <w:t xml:space="preserve">bylo zaměstnáno celkem 151 osob se zdravotním znevýhodněním, 792 osob s uznaným </w:t>
      </w:r>
      <w:r w:rsidR="00236864">
        <w:t>prvním stupněm invalidity</w:t>
      </w:r>
      <w:r w:rsidR="003A77AF">
        <w:t>, 223 osob s uznaným druhým stupněm invalidity a 103 osob s</w:t>
      </w:r>
      <w:r w:rsidR="00964F26">
        <w:t xml:space="preserve"> uznaným </w:t>
      </w:r>
      <w:r w:rsidR="003A77AF">
        <w:t>třetím stupněm invalidity.</w:t>
      </w:r>
    </w:p>
    <w:p w14:paraId="6401B96C" w14:textId="77777777" w:rsidR="00612C2D" w:rsidRDefault="003A77AF" w:rsidP="00427569">
      <w:pPr>
        <w:pStyle w:val="Odstavecseseznamem"/>
      </w:pPr>
      <w:r>
        <w:t>V pracovním poměru bylo zaměstnáno celkem 54 osob se zdravotním znevýhodněním, 259 osob s uznaným prvním stupněm invalidity, 76 osob s uznaným druhým stupněm invalidity a 46 osob s</w:t>
      </w:r>
      <w:r w:rsidR="00964F26">
        <w:t xml:space="preserve"> uznaným </w:t>
      </w:r>
      <w:r>
        <w:t>třetím stupněm invalidity.</w:t>
      </w:r>
    </w:p>
    <w:p w14:paraId="313355D4" w14:textId="46B40288" w:rsidR="003A77AF" w:rsidRDefault="003A77AF" w:rsidP="00427569">
      <w:pPr>
        <w:pStyle w:val="Odstavecseseznamem"/>
      </w:pPr>
      <w:r>
        <w:t xml:space="preserve">Na základě dohod </w:t>
      </w:r>
      <w:r w:rsidR="009773BE">
        <w:t>bylo zaměstnáno 7</w:t>
      </w:r>
      <w:r w:rsidR="00964F26">
        <w:t> </w:t>
      </w:r>
      <w:r>
        <w:t xml:space="preserve">osob se zdravotním znevýhodněním, </w:t>
      </w:r>
      <w:r w:rsidR="009773BE">
        <w:t>19</w:t>
      </w:r>
      <w:r>
        <w:t xml:space="preserve"> osob s uznaným prvním stupněm invalidity, </w:t>
      </w:r>
      <w:r w:rsidR="009773BE">
        <w:t>3</w:t>
      </w:r>
      <w:r>
        <w:t xml:space="preserve"> osob s uznaným druhým stupněm invalidity a </w:t>
      </w:r>
      <w:r w:rsidR="009773BE">
        <w:t>8</w:t>
      </w:r>
      <w:r>
        <w:t xml:space="preserve"> osob s</w:t>
      </w:r>
      <w:r w:rsidR="00964F26">
        <w:t xml:space="preserve"> uznaným </w:t>
      </w:r>
      <w:r>
        <w:t>třetím stupněm invalidity.</w:t>
      </w:r>
    </w:p>
    <w:p w14:paraId="19706795" w14:textId="08B3E25E" w:rsidR="00423C9A" w:rsidRDefault="00423C9A" w:rsidP="00C320A8">
      <w:pPr>
        <w:pStyle w:val="Titulek"/>
      </w:pPr>
      <w:bookmarkStart w:id="238" w:name="_Toc45512997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22</w:t>
      </w:r>
      <w:r w:rsidR="00FC5B08">
        <w:rPr>
          <w:noProof/>
        </w:rPr>
        <w:fldChar w:fldCharType="end"/>
      </w:r>
      <w:r>
        <w:t xml:space="preserve"> Počet OZP</w:t>
      </w:r>
      <w:r w:rsidRPr="00A43C36">
        <w:t xml:space="preserve"> dle uznaného st</w:t>
      </w:r>
      <w:r>
        <w:t>upně invalidity v</w:t>
      </w:r>
      <w:r w:rsidR="00964F26">
        <w:t> </w:t>
      </w:r>
      <w:r>
        <w:t>úřadech</w:t>
      </w:r>
      <w:r w:rsidR="00964F26">
        <w:t xml:space="preserve"> a </w:t>
      </w:r>
      <w:r w:rsidR="00964F26" w:rsidRPr="00871BDA">
        <w:t>druhu zaměstnaneckého poměru</w:t>
      </w:r>
      <w:bookmarkEnd w:id="238"/>
    </w:p>
    <w:p w14:paraId="08427023" w14:textId="77777777" w:rsidR="009045B6" w:rsidRPr="00BF551A" w:rsidRDefault="00BF551A" w:rsidP="00085169">
      <w:pPr>
        <w:jc w:val="center"/>
      </w:pPr>
      <w:r>
        <w:rPr>
          <w:noProof/>
        </w:rPr>
        <w:drawing>
          <wp:inline distT="0" distB="0" distL="0" distR="0" wp14:anchorId="71C6B3C4" wp14:editId="5755299D">
            <wp:extent cx="5703570" cy="2743200"/>
            <wp:effectExtent l="0" t="0" r="1905" b="0"/>
            <wp:docPr id="45" name="Graf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7D49A3F" w14:textId="594239F0" w:rsidR="001D7787" w:rsidRPr="001D7787" w:rsidRDefault="00612C2D" w:rsidP="00A34307">
      <w:pPr>
        <w:pStyle w:val="Podtitul"/>
      </w:pPr>
      <w:r>
        <w:t>Zaměstnanci se zdravotním postižením</w:t>
      </w:r>
      <w:r w:rsidR="00BB6531">
        <w:t xml:space="preserve"> </w:t>
      </w:r>
      <w:r w:rsidR="001D7787">
        <w:t>s kratší služební/pracovní dobou</w:t>
      </w:r>
      <w:r w:rsidR="00BB6531">
        <w:t xml:space="preserve"> </w:t>
      </w:r>
      <w:r w:rsidR="00BB6531" w:rsidRPr="00871BDA">
        <w:t>dle</w:t>
      </w:r>
      <w:r w:rsidR="001C386C">
        <w:t> </w:t>
      </w:r>
      <w:r w:rsidR="00BB6531">
        <w:t>uznaného stupně invalidity</w:t>
      </w:r>
    </w:p>
    <w:p w14:paraId="322E512F" w14:textId="77777777" w:rsidR="008E248D" w:rsidRDefault="00871001" w:rsidP="00427569">
      <w:pPr>
        <w:pStyle w:val="Odstavecseseznamem"/>
        <w:numPr>
          <w:ilvl w:val="0"/>
          <w:numId w:val="12"/>
        </w:numPr>
      </w:pPr>
      <w:r>
        <w:t>Kratší služební</w:t>
      </w:r>
      <w:r w:rsidR="008E248D">
        <w:t>/pracovní</w:t>
      </w:r>
      <w:r>
        <w:t xml:space="preserve"> dobu</w:t>
      </w:r>
      <w:r w:rsidR="008E248D">
        <w:t xml:space="preserve"> využívalo celkem 282 osob (16,5</w:t>
      </w:r>
      <w:r w:rsidR="00F575A5">
        <w:t xml:space="preserve"> %</w:t>
      </w:r>
      <w:r w:rsidR="00E15AAA">
        <w:t xml:space="preserve"> z celkového počtu zaměstnaných OZP</w:t>
      </w:r>
      <w:r w:rsidR="008E248D">
        <w:t>), 21 osob se zdravotním znevýhodněním (10,2</w:t>
      </w:r>
      <w:r w:rsidR="00F575A5">
        <w:t xml:space="preserve"> %</w:t>
      </w:r>
      <w:r w:rsidR="001909CC">
        <w:t xml:space="preserve"> z celkového počtu zaměstnanců se zdravotním znevýhodněním</w:t>
      </w:r>
      <w:r w:rsidR="008E248D">
        <w:t>), 144 osob s uznaným prvním stupněm invalidity (13,7</w:t>
      </w:r>
      <w:r w:rsidR="00F575A5">
        <w:t xml:space="preserve"> %</w:t>
      </w:r>
      <w:r w:rsidR="001909CC">
        <w:t xml:space="preserve"> z celkového počtu zaměstnanců s uznaným prvním stupněm invalidity</w:t>
      </w:r>
      <w:r w:rsidR="008E248D">
        <w:t>), 79 osob s uznaným druhým stupněm invalidity (26,4</w:t>
      </w:r>
      <w:r w:rsidR="00F575A5">
        <w:t xml:space="preserve"> %</w:t>
      </w:r>
      <w:r w:rsidR="0097533B">
        <w:t xml:space="preserve"> z celkového počtu zaměstnanců s uz</w:t>
      </w:r>
      <w:r w:rsidR="004A3F31">
        <w:t>naným druhým stupněm invalidity</w:t>
      </w:r>
      <w:r w:rsidR="008E248D">
        <w:t>) a 38 osob s uznaným třetím stupněm invalidity (25,5</w:t>
      </w:r>
      <w:r w:rsidR="00F575A5">
        <w:t xml:space="preserve"> %</w:t>
      </w:r>
      <w:r w:rsidR="0097533B" w:rsidRPr="0097533B">
        <w:t xml:space="preserve"> </w:t>
      </w:r>
      <w:r w:rsidR="0097533B">
        <w:t>z celkového počtu zaměstnanců s uznaným třetím stupněm invalidity</w:t>
      </w:r>
      <w:r w:rsidR="008E248D">
        <w:t>).</w:t>
      </w:r>
    </w:p>
    <w:p w14:paraId="35ED39F0" w14:textId="77777777" w:rsidR="00871001" w:rsidRDefault="006B6234" w:rsidP="00427569">
      <w:pPr>
        <w:pStyle w:val="Odstavecseseznamem"/>
        <w:numPr>
          <w:ilvl w:val="0"/>
          <w:numId w:val="12"/>
        </w:numPr>
      </w:pPr>
      <w:r w:rsidRPr="009C04A8">
        <w:t>Kratší služební dobu</w:t>
      </w:r>
      <w:r>
        <w:t xml:space="preserve"> </w:t>
      </w:r>
      <w:r w:rsidR="00871001">
        <w:t>využívalo celkem 197 osob (18,4</w:t>
      </w:r>
      <w:r w:rsidR="00F575A5">
        <w:t xml:space="preserve"> %</w:t>
      </w:r>
      <w:r w:rsidR="004A3F31">
        <w:t xml:space="preserve"> z celkového počtu OZP ve služebním poměru</w:t>
      </w:r>
      <w:r w:rsidR="00871001">
        <w:t xml:space="preserve">), </w:t>
      </w:r>
      <w:r w:rsidR="00736612">
        <w:t xml:space="preserve">12 </w:t>
      </w:r>
      <w:r w:rsidR="00871001">
        <w:t>osob se zdravotním znevýhodněním</w:t>
      </w:r>
      <w:r w:rsidR="00736612">
        <w:t xml:space="preserve"> </w:t>
      </w:r>
      <w:r w:rsidR="001909CC">
        <w:t>(7,9</w:t>
      </w:r>
      <w:r w:rsidR="00F575A5">
        <w:t xml:space="preserve"> %</w:t>
      </w:r>
      <w:r w:rsidR="001909CC">
        <w:t xml:space="preserve"> z celkového počtu zaměstnanců se zdravotním znevýhodněním</w:t>
      </w:r>
      <w:r w:rsidR="000B6FE0">
        <w:t xml:space="preserve"> ve služebním poměru</w:t>
      </w:r>
      <w:r w:rsidR="00736612">
        <w:t>)</w:t>
      </w:r>
      <w:r w:rsidR="00871001">
        <w:t xml:space="preserve">, </w:t>
      </w:r>
      <w:r w:rsidR="00736612">
        <w:t xml:space="preserve">105 </w:t>
      </w:r>
      <w:r w:rsidR="00871001">
        <w:t>osob s uznaným prvním stupněm invalidity</w:t>
      </w:r>
      <w:r w:rsidR="00736612">
        <w:t xml:space="preserve"> (</w:t>
      </w:r>
      <w:r w:rsidR="00BE4DB1">
        <w:t>13,3</w:t>
      </w:r>
      <w:r w:rsidR="00F575A5">
        <w:t xml:space="preserve"> %</w:t>
      </w:r>
      <w:r w:rsidR="001909CC">
        <w:t xml:space="preserve"> </w:t>
      </w:r>
      <w:r w:rsidR="000B6FE0">
        <w:t>z celkového počtu zaměstnanců s uznaným prvním stupněm invalidity ve služebním poměru</w:t>
      </w:r>
      <w:r w:rsidR="00736612">
        <w:t>)</w:t>
      </w:r>
      <w:r w:rsidR="00871001">
        <w:t xml:space="preserve">, </w:t>
      </w:r>
      <w:r w:rsidR="00736612">
        <w:t xml:space="preserve">54 </w:t>
      </w:r>
      <w:r w:rsidR="00871001">
        <w:t>osob s uznaným druhým stupněm invalidity</w:t>
      </w:r>
      <w:r w:rsidR="00BE4DB1">
        <w:t xml:space="preserve"> (24,2</w:t>
      </w:r>
      <w:r w:rsidR="00F575A5">
        <w:t xml:space="preserve"> %</w:t>
      </w:r>
      <w:r w:rsidR="000B6FE0">
        <w:t xml:space="preserve"> z celkového počtu zaměstnanců s uznaným druhým stupněm invalidity ve služebním poměru</w:t>
      </w:r>
      <w:r w:rsidR="00736612">
        <w:t>)</w:t>
      </w:r>
      <w:r w:rsidR="00871001">
        <w:t xml:space="preserve"> a </w:t>
      </w:r>
      <w:r w:rsidR="00736612">
        <w:t xml:space="preserve">26 </w:t>
      </w:r>
      <w:r w:rsidR="00871001">
        <w:t>osob s uznaným třetím stupněm invalidity</w:t>
      </w:r>
      <w:r w:rsidR="00736612">
        <w:t xml:space="preserve"> (</w:t>
      </w:r>
      <w:r w:rsidR="00BE4DB1">
        <w:t>25,2</w:t>
      </w:r>
      <w:r w:rsidR="00F575A5">
        <w:t xml:space="preserve"> %</w:t>
      </w:r>
      <w:r w:rsidR="000B6FE0">
        <w:t xml:space="preserve"> z celkového počtu zaměstnanců s uznaným třetím stupněm invalidity ve služebním poměru</w:t>
      </w:r>
      <w:r w:rsidR="00736612">
        <w:t>)</w:t>
      </w:r>
      <w:r w:rsidR="00871001">
        <w:t>.</w:t>
      </w:r>
    </w:p>
    <w:p w14:paraId="68D47910" w14:textId="77777777" w:rsidR="00760DF0" w:rsidRPr="00C72DA2" w:rsidRDefault="00871001" w:rsidP="00427569">
      <w:pPr>
        <w:pStyle w:val="Odstavecseseznamem"/>
        <w:numPr>
          <w:ilvl w:val="0"/>
          <w:numId w:val="12"/>
        </w:numPr>
      </w:pPr>
      <w:r>
        <w:t>Kratší pracovní dobu využívalo celkem 85 osob (24,3</w:t>
      </w:r>
      <w:r w:rsidR="00F575A5">
        <w:t xml:space="preserve"> %</w:t>
      </w:r>
      <w:r w:rsidR="004A3F31">
        <w:t xml:space="preserve"> z celkového počtu OZP v pracovním poměru</w:t>
      </w:r>
      <w:r>
        <w:t xml:space="preserve">), </w:t>
      </w:r>
      <w:r w:rsidR="000A454F">
        <w:t>9 osob se zdravotním znevýhodněním (16,7</w:t>
      </w:r>
      <w:r w:rsidR="00F575A5">
        <w:t xml:space="preserve"> %</w:t>
      </w:r>
      <w:r w:rsidR="000A454F">
        <w:t xml:space="preserve"> z celkového počtu zaměstnanců se zdravotním znevýhodněním v pracovním poměru), 39 osob </w:t>
      </w:r>
      <w:r w:rsidR="000A454F">
        <w:lastRenderedPageBreak/>
        <w:t>s uznaným prvním stupněm invalidity (15,1</w:t>
      </w:r>
      <w:r w:rsidR="00F575A5">
        <w:t xml:space="preserve"> %</w:t>
      </w:r>
      <w:r w:rsidR="000A454F">
        <w:t xml:space="preserve"> z celkového počtu zaměstnanců s uznaným prvním stupněm invalidity v pracovním poměru), </w:t>
      </w:r>
      <w:r w:rsidR="00BA56D7">
        <w:t>25</w:t>
      </w:r>
      <w:r w:rsidR="000A454F">
        <w:t xml:space="preserve"> osob s uznaným druhým stupněm invalidity (</w:t>
      </w:r>
      <w:r w:rsidR="00BA56D7">
        <w:t>32,9</w:t>
      </w:r>
      <w:r w:rsidR="00F575A5">
        <w:t xml:space="preserve"> %</w:t>
      </w:r>
      <w:r w:rsidR="000A454F">
        <w:t xml:space="preserve"> z celkového počtu zaměstnanců s uznaným druhým stupněm invalidity </w:t>
      </w:r>
      <w:r w:rsidR="00525B53">
        <w:t>v pracovním</w:t>
      </w:r>
      <w:r w:rsidR="000A454F">
        <w:t xml:space="preserve"> poměru) a </w:t>
      </w:r>
      <w:r w:rsidR="00525B53">
        <w:t>12</w:t>
      </w:r>
      <w:r w:rsidR="000A454F">
        <w:t xml:space="preserve"> osob s uznaným třetím stupněm invalidity (</w:t>
      </w:r>
      <w:r w:rsidR="00525B53">
        <w:t>26,1</w:t>
      </w:r>
      <w:r w:rsidR="00F575A5">
        <w:t xml:space="preserve"> %</w:t>
      </w:r>
      <w:r w:rsidR="000A454F">
        <w:t xml:space="preserve"> z celkového počtu zaměstnanců s uznaným třetím stupněm invalidity ve služebním poměru).</w:t>
      </w:r>
    </w:p>
    <w:p w14:paraId="3A354297" w14:textId="3A3F9E0F" w:rsidR="00423C9A" w:rsidRPr="00423C9A" w:rsidRDefault="00423C9A" w:rsidP="00C320A8">
      <w:pPr>
        <w:pStyle w:val="Titulek"/>
      </w:pPr>
      <w:bookmarkStart w:id="239" w:name="_Toc45512998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23</w:t>
      </w:r>
      <w:r w:rsidR="00FC5B08">
        <w:rPr>
          <w:noProof/>
        </w:rPr>
        <w:fldChar w:fldCharType="end"/>
      </w:r>
      <w:r>
        <w:t xml:space="preserve"> Podíl </w:t>
      </w:r>
      <w:r w:rsidRPr="00F7568A">
        <w:t>OZP s kratší služební/pracovní dobou</w:t>
      </w:r>
      <w:bookmarkEnd w:id="239"/>
    </w:p>
    <w:p w14:paraId="28486449" w14:textId="77777777" w:rsidR="004128AF" w:rsidRPr="00423C9A" w:rsidRDefault="00F7568A" w:rsidP="00085169">
      <w:pPr>
        <w:jc w:val="center"/>
      </w:pPr>
      <w:r>
        <w:rPr>
          <w:noProof/>
        </w:rPr>
        <w:drawing>
          <wp:inline distT="0" distB="0" distL="0" distR="0" wp14:anchorId="55EFEA88" wp14:editId="44C183AC">
            <wp:extent cx="5686425" cy="3371850"/>
            <wp:effectExtent l="0" t="0" r="9525" b="0"/>
            <wp:docPr id="33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3C1EA8" w14:textId="61516930" w:rsidR="00423C9A" w:rsidRDefault="00423C9A" w:rsidP="00C320A8">
      <w:pPr>
        <w:pStyle w:val="Titulek"/>
      </w:pPr>
      <w:bookmarkStart w:id="240" w:name="_Toc45482648"/>
      <w:r>
        <w:t xml:space="preserve">Tabulka </w:t>
      </w:r>
      <w:r w:rsidR="00FC5B08">
        <w:fldChar w:fldCharType="begin"/>
      </w:r>
      <w:r w:rsidR="00FC5B08">
        <w:instrText xml:space="preserve"> SEQ Tabulka \* ARABIC </w:instrText>
      </w:r>
      <w:r w:rsidR="00FC5B08">
        <w:fldChar w:fldCharType="separate"/>
      </w:r>
      <w:r w:rsidR="000F72AB">
        <w:rPr>
          <w:noProof/>
        </w:rPr>
        <w:t>2</w:t>
      </w:r>
      <w:r w:rsidR="00FC5B08">
        <w:rPr>
          <w:noProof/>
        </w:rPr>
        <w:fldChar w:fldCharType="end"/>
      </w:r>
      <w:r>
        <w:t xml:space="preserve"> </w:t>
      </w:r>
      <w:r w:rsidRPr="00542A70">
        <w:t xml:space="preserve">Rozdělení počtu zaměstnanců dle </w:t>
      </w:r>
      <w:r w:rsidR="0016365B">
        <w:t xml:space="preserve">uznaného stupně invalidity a </w:t>
      </w:r>
      <w:r w:rsidRPr="00542A70">
        <w:t>druhu zaměstnaneckého poměru</w:t>
      </w:r>
      <w:bookmarkEnd w:id="240"/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1276"/>
        <w:gridCol w:w="1276"/>
        <w:gridCol w:w="1275"/>
        <w:gridCol w:w="1134"/>
      </w:tblGrid>
      <w:tr w:rsidR="00760DF0" w:rsidRPr="00481F61" w14:paraId="45E0E8DD" w14:textId="77777777" w:rsidTr="0051270A">
        <w:trPr>
          <w:trHeight w:val="96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29710094" w14:textId="77777777" w:rsidR="00760DF0" w:rsidRPr="0094571A" w:rsidRDefault="00760DF0" w:rsidP="007D5114">
            <w:pPr>
              <w:spacing w:line="240" w:lineRule="auto"/>
            </w:pPr>
            <w:r w:rsidRPr="0094571A">
              <w:t>Druh zaměstnaneckého poměru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6F2FF6D1" w14:textId="77777777" w:rsidR="00760DF0" w:rsidRPr="0094571A" w:rsidRDefault="00760DF0" w:rsidP="007D5114">
            <w:pPr>
              <w:spacing w:line="240" w:lineRule="auto"/>
            </w:pPr>
            <w:r>
              <w:t>Osoby se</w:t>
            </w:r>
            <w:r w:rsidR="002D1D6D">
              <w:t> </w:t>
            </w:r>
            <w:r>
              <w:t>z</w:t>
            </w:r>
            <w:r w:rsidR="00E01EC0">
              <w:t>dr</w:t>
            </w:r>
            <w:r w:rsidR="006E731E">
              <w:t>avotním</w:t>
            </w:r>
            <w:r>
              <w:t xml:space="preserve"> </w:t>
            </w:r>
            <w:r w:rsidR="00E01EC0">
              <w:t>z</w:t>
            </w:r>
            <w:r>
              <w:t>n</w:t>
            </w:r>
            <w:r w:rsidR="00E01EC0">
              <w:t>ev</w:t>
            </w:r>
            <w:r w:rsidR="006E731E">
              <w:t>ýhodněním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1E1CB3F4" w14:textId="77777777" w:rsidR="00760DF0" w:rsidRPr="00CB5047" w:rsidRDefault="00760DF0" w:rsidP="007D5114">
            <w:pPr>
              <w:spacing w:line="240" w:lineRule="auto"/>
            </w:pPr>
            <w:r>
              <w:t xml:space="preserve">1. </w:t>
            </w:r>
            <w:r w:rsidRPr="00CB5047">
              <w:t>stupeň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4E304D37" w14:textId="77777777" w:rsidR="00760DF0" w:rsidRPr="00066657" w:rsidRDefault="00760DF0" w:rsidP="007D5114">
            <w:pPr>
              <w:spacing w:line="240" w:lineRule="auto"/>
            </w:pPr>
            <w:r>
              <w:t xml:space="preserve">2. </w:t>
            </w:r>
            <w:r w:rsidRPr="00CB5047">
              <w:t>stupeň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E0F0BF3" w14:textId="77777777" w:rsidR="00760DF0" w:rsidRPr="0094571A" w:rsidRDefault="00760DF0" w:rsidP="007D5114">
            <w:pPr>
              <w:spacing w:line="240" w:lineRule="auto"/>
            </w:pPr>
            <w:r w:rsidRPr="00066657">
              <w:t xml:space="preserve">3. </w:t>
            </w:r>
            <w:r w:rsidRPr="00CB5047">
              <w:t>stupeň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24A425F" w14:textId="77777777" w:rsidR="00760DF0" w:rsidRPr="00066657" w:rsidRDefault="002D1D6D" w:rsidP="007D5114">
            <w:pPr>
              <w:spacing w:line="240" w:lineRule="auto"/>
            </w:pPr>
            <w:r>
              <w:t>C</w:t>
            </w:r>
            <w:r w:rsidR="00760DF0">
              <w:t>elkem</w:t>
            </w:r>
          </w:p>
        </w:tc>
      </w:tr>
      <w:tr w:rsidR="00760DF0" w:rsidRPr="00481F61" w14:paraId="346EED92" w14:textId="77777777" w:rsidTr="0051270A"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60524285" w14:textId="77777777" w:rsidR="00760DF0" w:rsidRPr="008121BB" w:rsidRDefault="00760DF0" w:rsidP="007D5114">
            <w:pPr>
              <w:spacing w:line="240" w:lineRule="auto"/>
            </w:pPr>
            <w:r w:rsidRPr="008121BB">
              <w:t>Služební poměr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4ECED928" w14:textId="77777777" w:rsidR="00760DF0" w:rsidRPr="008121BB" w:rsidRDefault="00760DF0" w:rsidP="007D5114">
            <w:pPr>
              <w:spacing w:line="240" w:lineRule="auto"/>
            </w:pPr>
            <w:r w:rsidRPr="008121BB">
              <w:t>plný úvazek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706DC27F" w14:textId="77777777" w:rsidR="00760DF0" w:rsidRPr="008121BB" w:rsidRDefault="00760DF0" w:rsidP="007D5114">
            <w:pPr>
              <w:spacing w:line="240" w:lineRule="auto"/>
            </w:pPr>
            <w:r>
              <w:t>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3DCB82B7" w14:textId="77777777" w:rsidR="00760DF0" w:rsidRPr="008121BB" w:rsidRDefault="00760DF0" w:rsidP="007D5114">
            <w:pPr>
              <w:spacing w:line="240" w:lineRule="auto"/>
            </w:pPr>
            <w:r>
              <w:t>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436274A1" w14:textId="77777777" w:rsidR="00760DF0" w:rsidRDefault="00760DF0" w:rsidP="007D5114">
            <w:pPr>
              <w:spacing w:line="240" w:lineRule="auto"/>
            </w:pPr>
            <w:r>
              <w:t>169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33212FA3" w14:textId="77777777" w:rsidR="00760DF0" w:rsidRPr="008121BB" w:rsidRDefault="00760DF0" w:rsidP="007D5114">
            <w:pPr>
              <w:spacing w:line="240" w:lineRule="auto"/>
            </w:pPr>
            <w: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1B2D5051" w14:textId="77777777" w:rsidR="00760DF0" w:rsidRPr="00D81786" w:rsidRDefault="00871001" w:rsidP="007D5114">
            <w:pPr>
              <w:spacing w:line="240" w:lineRule="auto"/>
            </w:pPr>
            <w:r w:rsidRPr="00D81786">
              <w:t>1 072</w:t>
            </w:r>
          </w:p>
        </w:tc>
      </w:tr>
      <w:tr w:rsidR="00760DF0" w:rsidRPr="00481F61" w14:paraId="2AD3B6BC" w14:textId="77777777" w:rsidTr="0051270A"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1E9CD215" w14:textId="77777777" w:rsidR="00760DF0" w:rsidRPr="008121BB" w:rsidRDefault="00760DF0" w:rsidP="007D511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01343385" w14:textId="77777777" w:rsidR="00760DF0" w:rsidRPr="008121BB" w:rsidRDefault="00760DF0" w:rsidP="007D5114">
            <w:pPr>
              <w:spacing w:line="240" w:lineRule="auto"/>
            </w:pPr>
            <w:r>
              <w:t>zkrácený</w:t>
            </w:r>
            <w:r w:rsidRPr="008121BB">
              <w:t xml:space="preserve"> úvazek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4AA91828" w14:textId="77777777" w:rsidR="00760DF0" w:rsidRPr="008121BB" w:rsidRDefault="00760DF0" w:rsidP="007D5114">
            <w:pPr>
              <w:spacing w:line="240" w:lineRule="auto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5410A221" w14:textId="77777777" w:rsidR="00760DF0" w:rsidRPr="008121BB" w:rsidRDefault="00760DF0" w:rsidP="007D5114">
            <w:pPr>
              <w:spacing w:line="240" w:lineRule="auto"/>
            </w:pPr>
            <w: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1D28AB00" w14:textId="77777777" w:rsidR="00760DF0" w:rsidRDefault="00760DF0" w:rsidP="007D5114">
            <w:pPr>
              <w:spacing w:line="240" w:lineRule="auto"/>
            </w:pPr>
            <w:r>
              <w:t>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3C34DEC4" w14:textId="77777777" w:rsidR="00760DF0" w:rsidRPr="008121BB" w:rsidRDefault="00760DF0" w:rsidP="007D5114">
            <w:pPr>
              <w:spacing w:line="240" w:lineRule="auto"/>
            </w:pPr>
            <w: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5352CEC8" w14:textId="77777777" w:rsidR="00760DF0" w:rsidRPr="00D81786" w:rsidRDefault="00760DF0" w:rsidP="007D5114">
            <w:pPr>
              <w:spacing w:line="240" w:lineRule="auto"/>
            </w:pPr>
            <w:r w:rsidRPr="00D81786">
              <w:t>197</w:t>
            </w:r>
          </w:p>
        </w:tc>
      </w:tr>
      <w:tr w:rsidR="00760DF0" w:rsidRPr="00481F61" w14:paraId="7D6F51D3" w14:textId="77777777" w:rsidTr="0051270A"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1716093D" w14:textId="77777777" w:rsidR="00760DF0" w:rsidRPr="008121BB" w:rsidRDefault="00760DF0" w:rsidP="007D5114">
            <w:pPr>
              <w:spacing w:line="240" w:lineRule="auto"/>
            </w:pPr>
            <w:r w:rsidRPr="008121BB">
              <w:t>Pracovní poměr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436D32D1" w14:textId="77777777" w:rsidR="00760DF0" w:rsidRPr="008121BB" w:rsidRDefault="00760DF0" w:rsidP="007D5114">
            <w:pPr>
              <w:spacing w:line="240" w:lineRule="auto"/>
            </w:pPr>
            <w:r w:rsidRPr="008121BB">
              <w:t>plný úvazek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4F43449B" w14:textId="77777777" w:rsidR="00760DF0" w:rsidRPr="008121BB" w:rsidRDefault="00760DF0" w:rsidP="007D5114">
            <w:pPr>
              <w:spacing w:line="240" w:lineRule="auto"/>
            </w:pPr>
            <w: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62ABCF7D" w14:textId="77777777" w:rsidR="00760DF0" w:rsidRPr="008121BB" w:rsidRDefault="00760DF0" w:rsidP="007D5114">
            <w:pPr>
              <w:spacing w:line="240" w:lineRule="auto"/>
            </w:pPr>
            <w: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7443DECD" w14:textId="77777777" w:rsidR="00760DF0" w:rsidRDefault="00760DF0" w:rsidP="007D5114">
            <w:pPr>
              <w:spacing w:line="240" w:lineRule="auto"/>
            </w:pPr>
            <w:r>
              <w:t>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6AC749FE" w14:textId="77777777" w:rsidR="00760DF0" w:rsidRPr="008121BB" w:rsidRDefault="00760DF0" w:rsidP="007D5114">
            <w:pPr>
              <w:spacing w:line="240" w:lineRule="auto"/>
            </w:pPr>
            <w: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7A6E8849" w14:textId="77777777" w:rsidR="00760DF0" w:rsidRPr="00D81786" w:rsidRDefault="00871001" w:rsidP="007D5114">
            <w:pPr>
              <w:spacing w:line="240" w:lineRule="auto"/>
            </w:pPr>
            <w:r w:rsidRPr="00D81786">
              <w:t>350</w:t>
            </w:r>
          </w:p>
        </w:tc>
      </w:tr>
      <w:tr w:rsidR="00760DF0" w:rsidRPr="00481F61" w14:paraId="0800809A" w14:textId="77777777" w:rsidTr="0051270A"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32A30EDA" w14:textId="77777777" w:rsidR="00760DF0" w:rsidRPr="008121BB" w:rsidRDefault="00760DF0" w:rsidP="007D511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347D9D22" w14:textId="77777777" w:rsidR="00760DF0" w:rsidRPr="008121BB" w:rsidRDefault="00760DF0" w:rsidP="007D5114">
            <w:pPr>
              <w:spacing w:line="240" w:lineRule="auto"/>
            </w:pPr>
            <w:r>
              <w:t xml:space="preserve">zkrácený </w:t>
            </w:r>
            <w:r w:rsidRPr="008121BB">
              <w:t>úvazek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5201F652" w14:textId="77777777" w:rsidR="00760DF0" w:rsidRPr="008121BB" w:rsidRDefault="00760DF0" w:rsidP="007D5114">
            <w:pPr>
              <w:spacing w:line="240" w:lineRule="auto"/>
            </w:pPr>
            <w: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305380E1" w14:textId="77777777" w:rsidR="00760DF0" w:rsidRPr="008121BB" w:rsidRDefault="00760DF0" w:rsidP="007D5114">
            <w:pPr>
              <w:spacing w:line="240" w:lineRule="auto"/>
            </w:pPr>
            <w: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ED"/>
            <w:vAlign w:val="center"/>
          </w:tcPr>
          <w:p w14:paraId="0E841075" w14:textId="77777777" w:rsidR="00760DF0" w:rsidRDefault="00760DF0" w:rsidP="007D5114">
            <w:pPr>
              <w:spacing w:line="240" w:lineRule="auto"/>
            </w:pPr>
            <w: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7B780E60" w14:textId="77777777" w:rsidR="00760DF0" w:rsidRPr="008121BB" w:rsidRDefault="00760DF0" w:rsidP="007D5114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7ED"/>
            <w:vAlign w:val="center"/>
          </w:tcPr>
          <w:p w14:paraId="47CC69B8" w14:textId="77777777" w:rsidR="00760DF0" w:rsidRPr="00D81786" w:rsidRDefault="00760DF0" w:rsidP="007D5114">
            <w:pPr>
              <w:spacing w:line="240" w:lineRule="auto"/>
            </w:pPr>
            <w:r w:rsidRPr="00D81786">
              <w:t>85</w:t>
            </w:r>
          </w:p>
        </w:tc>
      </w:tr>
      <w:tr w:rsidR="00760DF0" w:rsidRPr="00481F61" w14:paraId="3380DF09" w14:textId="77777777" w:rsidTr="0051270A"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5255BC" w14:textId="77777777" w:rsidR="00760DF0" w:rsidRPr="008121BB" w:rsidRDefault="00760DF0" w:rsidP="007D5114">
            <w:pPr>
              <w:spacing w:line="240" w:lineRule="auto"/>
            </w:pPr>
            <w:r w:rsidRPr="008121BB">
              <w:t>DPP/DPČ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AFD334" w14:textId="77777777" w:rsidR="00760DF0" w:rsidRPr="008121BB" w:rsidRDefault="00760DF0" w:rsidP="007D5114">
            <w:pPr>
              <w:spacing w:line="240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465DCA" w14:textId="77777777" w:rsidR="00760DF0" w:rsidRPr="008121BB" w:rsidRDefault="00760DF0" w:rsidP="007D5114">
            <w:pPr>
              <w:spacing w:line="240" w:lineRule="auto"/>
            </w:pPr>
            <w: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88D76F" w14:textId="77777777" w:rsidR="00760DF0" w:rsidRDefault="00760DF0" w:rsidP="007D5114">
            <w:pPr>
              <w:spacing w:line="240" w:lineRule="auto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BDC159" w14:textId="77777777" w:rsidR="00760DF0" w:rsidRPr="008121BB" w:rsidRDefault="00760DF0" w:rsidP="007D5114">
            <w:pPr>
              <w:spacing w:line="240" w:lineRule="auto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AF4F44" w14:textId="77777777" w:rsidR="00760DF0" w:rsidRPr="00D81786" w:rsidRDefault="00760DF0" w:rsidP="007D5114">
            <w:pPr>
              <w:spacing w:line="240" w:lineRule="auto"/>
            </w:pPr>
            <w:r w:rsidRPr="00D81786">
              <w:t>37</w:t>
            </w:r>
          </w:p>
        </w:tc>
      </w:tr>
    </w:tbl>
    <w:p w14:paraId="71F93582" w14:textId="77777777" w:rsidR="006B1FDF" w:rsidRPr="00085169" w:rsidRDefault="00F55FD7" w:rsidP="00E10D06">
      <w:pPr>
        <w:pStyle w:val="Nadpis3"/>
      </w:pPr>
      <w:bookmarkStart w:id="241" w:name="_Toc20836925"/>
      <w:bookmarkStart w:id="242" w:name="_Toc20837005"/>
      <w:bookmarkStart w:id="243" w:name="_Toc20837092"/>
      <w:bookmarkStart w:id="244" w:name="_Toc20837765"/>
      <w:bookmarkStart w:id="245" w:name="_Toc20838194"/>
      <w:bookmarkStart w:id="246" w:name="_Toc20838235"/>
      <w:bookmarkStart w:id="247" w:name="_Toc21005748"/>
      <w:bookmarkStart w:id="248" w:name="_Toc21069991"/>
      <w:bookmarkStart w:id="249" w:name="_Toc21520851"/>
      <w:bookmarkStart w:id="250" w:name="_Toc21603290"/>
      <w:bookmarkStart w:id="251" w:name="_Toc21614012"/>
      <w:bookmarkStart w:id="252" w:name="_Toc21614888"/>
      <w:bookmarkStart w:id="253" w:name="_Toc21935936"/>
      <w:bookmarkStart w:id="254" w:name="_Toc21958316"/>
      <w:bookmarkStart w:id="255" w:name="_Toc21958372"/>
      <w:bookmarkStart w:id="256" w:name="_Toc22019405"/>
      <w:bookmarkStart w:id="257" w:name="_Toc22019461"/>
      <w:bookmarkStart w:id="258" w:name="_Toc22026793"/>
      <w:bookmarkStart w:id="259" w:name="_Toc24641212"/>
      <w:bookmarkStart w:id="260" w:name="_Toc24641286"/>
      <w:bookmarkStart w:id="261" w:name="_Toc24641354"/>
      <w:bookmarkStart w:id="262" w:name="_Toc24641421"/>
      <w:bookmarkStart w:id="263" w:name="_Toc24641487"/>
      <w:bookmarkStart w:id="264" w:name="_Toc24641552"/>
      <w:bookmarkStart w:id="265" w:name="_Toc24641617"/>
      <w:bookmarkStart w:id="266" w:name="_Toc40358766"/>
      <w:bookmarkStart w:id="267" w:name="_Toc40358969"/>
      <w:bookmarkStart w:id="268" w:name="_Toc24641618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r w:rsidRPr="00632F32">
        <w:lastRenderedPageBreak/>
        <w:t>Zaměstnávání OZP na ministerstvech dle uznaného stupně invalidity</w:t>
      </w:r>
      <w:bookmarkStart w:id="269" w:name="_Toc20836927"/>
      <w:bookmarkStart w:id="270" w:name="_Toc20837007"/>
      <w:bookmarkStart w:id="271" w:name="_Toc20837094"/>
      <w:bookmarkStart w:id="272" w:name="_Toc20837767"/>
      <w:bookmarkStart w:id="273" w:name="_Toc20838196"/>
      <w:bookmarkStart w:id="274" w:name="_Toc20838237"/>
      <w:bookmarkStart w:id="275" w:name="_Toc21005750"/>
      <w:bookmarkStart w:id="276" w:name="_Toc21069993"/>
      <w:bookmarkStart w:id="277" w:name="_Toc21520853"/>
      <w:bookmarkStart w:id="278" w:name="_Toc21603292"/>
      <w:bookmarkStart w:id="279" w:name="_Toc21614014"/>
      <w:bookmarkStart w:id="280" w:name="_Toc21614890"/>
      <w:bookmarkStart w:id="281" w:name="_Toc21935938"/>
      <w:bookmarkStart w:id="282" w:name="_Toc21958318"/>
      <w:bookmarkStart w:id="283" w:name="_Toc21958374"/>
      <w:bookmarkStart w:id="284" w:name="_Toc22019407"/>
      <w:bookmarkStart w:id="285" w:name="_Toc22019463"/>
      <w:bookmarkStart w:id="286" w:name="_Toc22026795"/>
      <w:bookmarkStart w:id="287" w:name="_Toc24641214"/>
      <w:bookmarkStart w:id="288" w:name="_Toc24641288"/>
      <w:bookmarkStart w:id="289" w:name="_Toc24641356"/>
      <w:bookmarkStart w:id="290" w:name="_Toc24641423"/>
      <w:bookmarkStart w:id="291" w:name="_Toc24641489"/>
      <w:bookmarkStart w:id="292" w:name="_Toc24641554"/>
      <w:bookmarkStart w:id="293" w:name="_Toc24641619"/>
      <w:bookmarkStart w:id="294" w:name="_Toc40358768"/>
      <w:bookmarkStart w:id="295" w:name="_Toc40358971"/>
      <w:bookmarkStart w:id="296" w:name="_Toc20836928"/>
      <w:bookmarkStart w:id="297" w:name="_Toc20837008"/>
      <w:bookmarkStart w:id="298" w:name="_Toc20837095"/>
      <w:bookmarkStart w:id="299" w:name="_Toc20837768"/>
      <w:bookmarkStart w:id="300" w:name="_Toc20838197"/>
      <w:bookmarkStart w:id="301" w:name="_Toc20838238"/>
      <w:bookmarkStart w:id="302" w:name="_Toc21005751"/>
      <w:bookmarkStart w:id="303" w:name="_Toc21069994"/>
      <w:bookmarkStart w:id="304" w:name="_Toc21520854"/>
      <w:bookmarkStart w:id="305" w:name="_Toc21603293"/>
      <w:bookmarkStart w:id="306" w:name="_Toc21614015"/>
      <w:bookmarkStart w:id="307" w:name="_Toc21614891"/>
      <w:bookmarkStart w:id="308" w:name="_Toc21935939"/>
      <w:bookmarkStart w:id="309" w:name="_Toc21958319"/>
      <w:bookmarkStart w:id="310" w:name="_Toc21958375"/>
      <w:bookmarkStart w:id="311" w:name="_Toc22019408"/>
      <w:bookmarkStart w:id="312" w:name="_Toc22019464"/>
      <w:bookmarkStart w:id="313" w:name="_Toc22026796"/>
      <w:bookmarkStart w:id="314" w:name="_Toc24641215"/>
      <w:bookmarkStart w:id="315" w:name="_Toc24641289"/>
      <w:bookmarkStart w:id="316" w:name="_Toc24641357"/>
      <w:bookmarkStart w:id="317" w:name="_Toc24641424"/>
      <w:bookmarkStart w:id="318" w:name="_Toc24641490"/>
      <w:bookmarkStart w:id="319" w:name="_Toc24641555"/>
      <w:bookmarkStart w:id="320" w:name="_Toc24641620"/>
      <w:bookmarkStart w:id="321" w:name="_Toc40358769"/>
      <w:bookmarkStart w:id="322" w:name="_Toc40358972"/>
      <w:bookmarkStart w:id="323" w:name="_Toc20836929"/>
      <w:bookmarkStart w:id="324" w:name="_Toc20837009"/>
      <w:bookmarkStart w:id="325" w:name="_Toc20837096"/>
      <w:bookmarkStart w:id="326" w:name="_Toc20837769"/>
      <w:bookmarkStart w:id="327" w:name="_Toc20838198"/>
      <w:bookmarkStart w:id="328" w:name="_Toc20838239"/>
      <w:bookmarkStart w:id="329" w:name="_Toc21005752"/>
      <w:bookmarkStart w:id="330" w:name="_Toc21069995"/>
      <w:bookmarkStart w:id="331" w:name="_Toc21520855"/>
      <w:bookmarkStart w:id="332" w:name="_Toc21603294"/>
      <w:bookmarkStart w:id="333" w:name="_Toc21614016"/>
      <w:bookmarkStart w:id="334" w:name="_Toc21614892"/>
      <w:bookmarkStart w:id="335" w:name="_Toc21935940"/>
      <w:bookmarkStart w:id="336" w:name="_Toc21958320"/>
      <w:bookmarkStart w:id="337" w:name="_Toc21958376"/>
      <w:bookmarkStart w:id="338" w:name="_Toc22019409"/>
      <w:bookmarkStart w:id="339" w:name="_Toc22019465"/>
      <w:bookmarkStart w:id="340" w:name="_Toc22026797"/>
      <w:bookmarkStart w:id="341" w:name="_Toc24641216"/>
      <w:bookmarkStart w:id="342" w:name="_Toc24641290"/>
      <w:bookmarkStart w:id="343" w:name="_Toc24641358"/>
      <w:bookmarkStart w:id="344" w:name="_Toc24641425"/>
      <w:bookmarkStart w:id="345" w:name="_Toc24641491"/>
      <w:bookmarkStart w:id="346" w:name="_Toc24641556"/>
      <w:bookmarkStart w:id="347" w:name="_Toc24641621"/>
      <w:bookmarkStart w:id="348" w:name="_Toc40358770"/>
      <w:bookmarkStart w:id="349" w:name="_Toc40358973"/>
      <w:bookmarkStart w:id="350" w:name="_Toc20836930"/>
      <w:bookmarkStart w:id="351" w:name="_Toc20837010"/>
      <w:bookmarkStart w:id="352" w:name="_Toc20837097"/>
      <w:bookmarkStart w:id="353" w:name="_Toc20837770"/>
      <w:bookmarkStart w:id="354" w:name="_Toc20838199"/>
      <w:bookmarkStart w:id="355" w:name="_Toc20838240"/>
      <w:bookmarkStart w:id="356" w:name="_Toc21005753"/>
      <w:bookmarkStart w:id="357" w:name="_Toc21069996"/>
      <w:bookmarkStart w:id="358" w:name="_Toc21520856"/>
      <w:bookmarkStart w:id="359" w:name="_Toc21603295"/>
      <w:bookmarkStart w:id="360" w:name="_Toc21614017"/>
      <w:bookmarkStart w:id="361" w:name="_Toc21614893"/>
      <w:bookmarkStart w:id="362" w:name="_Toc21935941"/>
      <w:bookmarkStart w:id="363" w:name="_Toc21958321"/>
      <w:bookmarkStart w:id="364" w:name="_Toc21958377"/>
      <w:bookmarkStart w:id="365" w:name="_Toc22019410"/>
      <w:bookmarkStart w:id="366" w:name="_Toc22019466"/>
      <w:bookmarkStart w:id="367" w:name="_Toc22026798"/>
      <w:bookmarkStart w:id="368" w:name="_Toc24641217"/>
      <w:bookmarkStart w:id="369" w:name="_Toc24641291"/>
      <w:bookmarkStart w:id="370" w:name="_Toc24641359"/>
      <w:bookmarkStart w:id="371" w:name="_Toc24641426"/>
      <w:bookmarkStart w:id="372" w:name="_Toc24641492"/>
      <w:bookmarkStart w:id="373" w:name="_Toc24641557"/>
      <w:bookmarkStart w:id="374" w:name="_Toc24641622"/>
      <w:bookmarkStart w:id="375" w:name="_Toc40358771"/>
      <w:bookmarkStart w:id="376" w:name="_Toc40358974"/>
      <w:bookmarkStart w:id="377" w:name="_Toc20836931"/>
      <w:bookmarkStart w:id="378" w:name="_Toc20837011"/>
      <w:bookmarkStart w:id="379" w:name="_Toc20837098"/>
      <w:bookmarkStart w:id="380" w:name="_Toc20837771"/>
      <w:bookmarkStart w:id="381" w:name="_Toc20838200"/>
      <w:bookmarkStart w:id="382" w:name="_Toc20838241"/>
      <w:bookmarkStart w:id="383" w:name="_Toc21005754"/>
      <w:bookmarkStart w:id="384" w:name="_Toc21069997"/>
      <w:bookmarkStart w:id="385" w:name="_Toc21520857"/>
      <w:bookmarkStart w:id="386" w:name="_Toc21603296"/>
      <w:bookmarkStart w:id="387" w:name="_Toc21614018"/>
      <w:bookmarkStart w:id="388" w:name="_Toc21614894"/>
      <w:bookmarkStart w:id="389" w:name="_Toc21935942"/>
      <w:bookmarkStart w:id="390" w:name="_Toc21958322"/>
      <w:bookmarkStart w:id="391" w:name="_Toc21958378"/>
      <w:bookmarkStart w:id="392" w:name="_Toc22019411"/>
      <w:bookmarkStart w:id="393" w:name="_Toc22019467"/>
      <w:bookmarkStart w:id="394" w:name="_Toc22026799"/>
      <w:bookmarkStart w:id="395" w:name="_Toc24641218"/>
      <w:bookmarkStart w:id="396" w:name="_Toc24641292"/>
      <w:bookmarkStart w:id="397" w:name="_Toc24641360"/>
      <w:bookmarkStart w:id="398" w:name="_Toc24641427"/>
      <w:bookmarkStart w:id="399" w:name="_Toc24641493"/>
      <w:bookmarkStart w:id="400" w:name="_Toc24641558"/>
      <w:bookmarkStart w:id="401" w:name="_Toc24641623"/>
      <w:bookmarkStart w:id="402" w:name="_Toc40358772"/>
      <w:bookmarkStart w:id="403" w:name="_Toc40358975"/>
      <w:bookmarkStart w:id="404" w:name="_Toc20836932"/>
      <w:bookmarkStart w:id="405" w:name="_Toc20837012"/>
      <w:bookmarkStart w:id="406" w:name="_Toc20837099"/>
      <w:bookmarkStart w:id="407" w:name="_Toc20837772"/>
      <w:bookmarkStart w:id="408" w:name="_Toc20838201"/>
      <w:bookmarkStart w:id="409" w:name="_Toc20838242"/>
      <w:bookmarkStart w:id="410" w:name="_Toc21005755"/>
      <w:bookmarkStart w:id="411" w:name="_Toc21069998"/>
      <w:bookmarkStart w:id="412" w:name="_Toc21520858"/>
      <w:bookmarkStart w:id="413" w:name="_Toc21603297"/>
      <w:bookmarkStart w:id="414" w:name="_Toc21614019"/>
      <w:bookmarkStart w:id="415" w:name="_Toc21614895"/>
      <w:bookmarkStart w:id="416" w:name="_Toc21935943"/>
      <w:bookmarkStart w:id="417" w:name="_Toc21958323"/>
      <w:bookmarkStart w:id="418" w:name="_Toc21958379"/>
      <w:bookmarkStart w:id="419" w:name="_Toc22019412"/>
      <w:bookmarkStart w:id="420" w:name="_Toc22019468"/>
      <w:bookmarkStart w:id="421" w:name="_Toc22026800"/>
      <w:bookmarkStart w:id="422" w:name="_Toc24641219"/>
      <w:bookmarkStart w:id="423" w:name="_Toc24641293"/>
      <w:bookmarkStart w:id="424" w:name="_Toc24641361"/>
      <w:bookmarkStart w:id="425" w:name="_Toc24641428"/>
      <w:bookmarkStart w:id="426" w:name="_Toc24641494"/>
      <w:bookmarkStart w:id="427" w:name="_Toc24641559"/>
      <w:bookmarkStart w:id="428" w:name="_Toc24641624"/>
      <w:bookmarkStart w:id="429" w:name="_Toc40358773"/>
      <w:bookmarkStart w:id="430" w:name="_Toc40358976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0086A2E2" w14:textId="77777777" w:rsidR="00EA0F05" w:rsidRPr="00EB7B9E" w:rsidRDefault="00612C2D" w:rsidP="00A34307">
      <w:pPr>
        <w:pStyle w:val="Podtitul"/>
      </w:pPr>
      <w:r>
        <w:t>Zaměstnanci</w:t>
      </w:r>
      <w:r w:rsidR="00EA0F05" w:rsidRPr="00EB7B9E">
        <w:t xml:space="preserve"> se </w:t>
      </w:r>
      <w:r w:rsidR="00EA0F05" w:rsidRPr="00A34307">
        <w:t>zdravotním</w:t>
      </w:r>
      <w:r w:rsidR="00EA0F05" w:rsidRPr="00EB7B9E">
        <w:t xml:space="preserve"> </w:t>
      </w:r>
      <w:r w:rsidR="00EA0F05" w:rsidRPr="00A34307">
        <w:t>znevýhodněním</w:t>
      </w:r>
    </w:p>
    <w:p w14:paraId="482365E2" w14:textId="77777777" w:rsidR="00F55FD7" w:rsidRDefault="00F55FD7" w:rsidP="00A34307">
      <w:pPr>
        <w:pStyle w:val="Odstavecseseznamem"/>
      </w:pPr>
      <w:r>
        <w:t>V jednotlivých ministerstvech bylo ve služebním a</w:t>
      </w:r>
      <w:r w:rsidRPr="004059B7">
        <w:t xml:space="preserve"> pracovním poměru</w:t>
      </w:r>
      <w:r>
        <w:t xml:space="preserve"> zaměstnáno</w:t>
      </w:r>
      <w:r w:rsidR="006653B3">
        <w:t xml:space="preserve"> celkem</w:t>
      </w:r>
      <w:r>
        <w:t xml:space="preserve"> </w:t>
      </w:r>
      <w:r w:rsidR="00096A70">
        <w:t xml:space="preserve">65 </w:t>
      </w:r>
      <w:r>
        <w:t>osob se zdravotním znevýhodněním</w:t>
      </w:r>
      <w:r w:rsidR="00EA0F05">
        <w:t>.</w:t>
      </w:r>
    </w:p>
    <w:p w14:paraId="11086845" w14:textId="77777777" w:rsidR="00F55FD7" w:rsidRPr="004059B7" w:rsidRDefault="00F55FD7" w:rsidP="00427569">
      <w:pPr>
        <w:pStyle w:val="Odstavecseseznamem"/>
      </w:pPr>
      <w:r>
        <w:t xml:space="preserve">Ve služebním poměru bylo </w:t>
      </w:r>
      <w:r w:rsidR="00096A70">
        <w:t>57</w:t>
      </w:r>
      <w:r w:rsidR="006653B3">
        <w:t xml:space="preserve"> osob</w:t>
      </w:r>
      <w:r>
        <w:t xml:space="preserve">, z toho </w:t>
      </w:r>
      <w:r w:rsidR="00096A70">
        <w:t>3,5</w:t>
      </w:r>
      <w:r w:rsidR="00F575A5">
        <w:t xml:space="preserve"> %</w:t>
      </w:r>
      <w:r>
        <w:t xml:space="preserve">, </w:t>
      </w:r>
      <w:r w:rsidR="006653B3">
        <w:t>2</w:t>
      </w:r>
      <w:r>
        <w:t xml:space="preserve"> osob</w:t>
      </w:r>
      <w:r w:rsidR="006653B3">
        <w:t>y</w:t>
      </w:r>
      <w:r>
        <w:t>,</w:t>
      </w:r>
      <w:r w:rsidR="006653B3">
        <w:t xml:space="preserve"> měl</w:t>
      </w:r>
      <w:r w:rsidR="009D7632">
        <w:t>o</w:t>
      </w:r>
      <w:r>
        <w:t xml:space="preserve"> kratší služební dobu.</w:t>
      </w:r>
    </w:p>
    <w:p w14:paraId="0A94E3DB" w14:textId="77777777" w:rsidR="00F55FD7" w:rsidRDefault="00F55FD7" w:rsidP="00427569">
      <w:pPr>
        <w:pStyle w:val="Odstavecseseznamem"/>
      </w:pPr>
      <w:r>
        <w:t>V pracovním poměru bylo</w:t>
      </w:r>
      <w:r w:rsidRPr="004059B7">
        <w:t xml:space="preserve"> </w:t>
      </w:r>
      <w:r w:rsidR="006653B3">
        <w:t>8 osob</w:t>
      </w:r>
      <w:r>
        <w:t>, z toho</w:t>
      </w:r>
      <w:r w:rsidR="0031381C">
        <w:t xml:space="preserve"> </w:t>
      </w:r>
      <w:r w:rsidRPr="004059B7">
        <w:t>prá</w:t>
      </w:r>
      <w:r>
        <w:t>ci na zkrácený úvazek vykonával</w:t>
      </w:r>
      <w:r w:rsidR="006653B3">
        <w:t>a jedna osoba, což činí 12,5</w:t>
      </w:r>
      <w:r w:rsidR="00F575A5">
        <w:t xml:space="preserve"> %</w:t>
      </w:r>
      <w:r w:rsidR="006653B3">
        <w:t>.</w:t>
      </w:r>
    </w:p>
    <w:p w14:paraId="0CF5F24C" w14:textId="75C8568B" w:rsidR="00F55FD7" w:rsidRDefault="00F55FD7" w:rsidP="00427569">
      <w:pPr>
        <w:pStyle w:val="Odstavecseseznamem"/>
      </w:pPr>
      <w:r>
        <w:t>N</w:t>
      </w:r>
      <w:r w:rsidRPr="004059B7">
        <w:t>a základě doho</w:t>
      </w:r>
      <w:r>
        <w:t xml:space="preserve">d </w:t>
      </w:r>
      <w:r w:rsidR="0031381C">
        <w:t>práci dle šetření nevykonávala žádná osoba se zdravotním znevýhodněním.</w:t>
      </w:r>
    </w:p>
    <w:p w14:paraId="525D07C1" w14:textId="77777777" w:rsidR="00FA49EF" w:rsidRPr="00EB7B9E" w:rsidRDefault="00612C2D" w:rsidP="00A34307">
      <w:pPr>
        <w:pStyle w:val="Podtitul"/>
      </w:pPr>
      <w:r>
        <w:t>Zaměstnanci</w:t>
      </w:r>
      <w:r w:rsidR="00FA49EF" w:rsidRPr="00EB7B9E">
        <w:t xml:space="preserve"> </w:t>
      </w:r>
      <w:r w:rsidR="00FA49EF">
        <w:t>s uznaným prvním stupněm invalidity</w:t>
      </w:r>
    </w:p>
    <w:p w14:paraId="55FF4F27" w14:textId="77777777" w:rsidR="00FA49EF" w:rsidRDefault="00FA49EF" w:rsidP="00A34307">
      <w:pPr>
        <w:pStyle w:val="Odstavecseseznamem"/>
      </w:pPr>
      <w:r>
        <w:t>V jednotli</w:t>
      </w:r>
      <w:r w:rsidR="00A34307">
        <w:t>v</w:t>
      </w:r>
      <w:r>
        <w:t>ých ministerstvech bylo ve služebním a</w:t>
      </w:r>
      <w:r w:rsidRPr="004059B7">
        <w:t xml:space="preserve"> pracovním poměru</w:t>
      </w:r>
      <w:r>
        <w:t xml:space="preserve"> zaměstnáno celkem </w:t>
      </w:r>
      <w:r w:rsidR="00253C7C">
        <w:t>110</w:t>
      </w:r>
      <w:r w:rsidR="00737C45">
        <w:t xml:space="preserve"> osob s uznaným prvním stupněm invalidity</w:t>
      </w:r>
      <w:r>
        <w:t>.</w:t>
      </w:r>
    </w:p>
    <w:p w14:paraId="3E8C756B" w14:textId="77777777" w:rsidR="00FA49EF" w:rsidRPr="004059B7" w:rsidRDefault="00FA49EF" w:rsidP="00427569">
      <w:pPr>
        <w:pStyle w:val="Odstavecseseznamem"/>
      </w:pPr>
      <w:r>
        <w:t xml:space="preserve">Ve služebním poměru bylo </w:t>
      </w:r>
      <w:r w:rsidR="00737C45">
        <w:t>51</w:t>
      </w:r>
      <w:r>
        <w:t xml:space="preserve"> osob, z toho </w:t>
      </w:r>
      <w:r w:rsidR="00737C45">
        <w:t>11,8</w:t>
      </w:r>
      <w:r w:rsidR="00F575A5">
        <w:t xml:space="preserve"> %</w:t>
      </w:r>
      <w:r>
        <w:t xml:space="preserve">, </w:t>
      </w:r>
      <w:r w:rsidR="00737C45">
        <w:t>6</w:t>
      </w:r>
      <w:r>
        <w:t xml:space="preserve"> osob</w:t>
      </w:r>
      <w:r w:rsidR="00737C45">
        <w:t>,</w:t>
      </w:r>
      <w:r>
        <w:t xml:space="preserve"> mělo kratší služební dobu.</w:t>
      </w:r>
    </w:p>
    <w:p w14:paraId="2D815314" w14:textId="77777777" w:rsidR="00FA49EF" w:rsidRDefault="00FA49EF" w:rsidP="00427569">
      <w:pPr>
        <w:pStyle w:val="Odstavecseseznamem"/>
      </w:pPr>
      <w:r>
        <w:t>V pracovním poměru bylo</w:t>
      </w:r>
      <w:r w:rsidRPr="004059B7">
        <w:t xml:space="preserve"> </w:t>
      </w:r>
      <w:r w:rsidR="00737C45">
        <w:t>59</w:t>
      </w:r>
      <w:r>
        <w:t xml:space="preserve"> osob, z toho </w:t>
      </w:r>
      <w:r w:rsidRPr="004059B7">
        <w:t>prá</w:t>
      </w:r>
      <w:r>
        <w:t>ci na zkrácený úvazek vykonával</w:t>
      </w:r>
      <w:r w:rsidR="00737C45">
        <w:t>o pět osob,</w:t>
      </w:r>
      <w:r>
        <w:t xml:space="preserve"> </w:t>
      </w:r>
      <w:r w:rsidR="00737C45">
        <w:t>8</w:t>
      </w:r>
      <w:r>
        <w:t>,5</w:t>
      </w:r>
      <w:r w:rsidR="00F575A5">
        <w:t xml:space="preserve"> %</w:t>
      </w:r>
      <w:r>
        <w:t>.</w:t>
      </w:r>
    </w:p>
    <w:p w14:paraId="555CEB80" w14:textId="21AD0F8E" w:rsidR="00DE0551" w:rsidRPr="00A15FA3" w:rsidRDefault="00FA49EF" w:rsidP="00427569">
      <w:pPr>
        <w:pStyle w:val="Odstavecseseznamem"/>
      </w:pPr>
      <w:r>
        <w:t>N</w:t>
      </w:r>
      <w:r w:rsidRPr="004059B7">
        <w:t>a základě doho</w:t>
      </w:r>
      <w:r>
        <w:t xml:space="preserve">d práci dle šetření </w:t>
      </w:r>
      <w:r w:rsidR="00737C45">
        <w:t>vykonávalo</w:t>
      </w:r>
      <w:r>
        <w:t xml:space="preserve"> </w:t>
      </w:r>
      <w:r w:rsidR="00737C45">
        <w:t>9 osob s uznaným prvním stupněm invalidity</w:t>
      </w:r>
      <w:r w:rsidR="00E34CE1">
        <w:t>.</w:t>
      </w:r>
    </w:p>
    <w:p w14:paraId="68C3610B" w14:textId="77777777" w:rsidR="00FA49EF" w:rsidRPr="00EB7B9E" w:rsidRDefault="00612C2D" w:rsidP="00A34307">
      <w:pPr>
        <w:pStyle w:val="Podtitul"/>
      </w:pPr>
      <w:r>
        <w:t>Zaměstnanci</w:t>
      </w:r>
      <w:r w:rsidR="00FA49EF" w:rsidRPr="00EB7B9E">
        <w:t xml:space="preserve"> </w:t>
      </w:r>
      <w:r w:rsidR="00737C45">
        <w:t>s uznaným druhým stupněm invalidity</w:t>
      </w:r>
    </w:p>
    <w:p w14:paraId="2A6ED124" w14:textId="77777777" w:rsidR="00FA49EF" w:rsidRDefault="00FA49EF" w:rsidP="00A34307">
      <w:pPr>
        <w:pStyle w:val="Odstavecseseznamem"/>
      </w:pPr>
      <w:r>
        <w:t>V jednotlivých ministerstvech bylo ve služebním a</w:t>
      </w:r>
      <w:r w:rsidRPr="004059B7">
        <w:t xml:space="preserve"> pracovním poměru</w:t>
      </w:r>
      <w:r>
        <w:t xml:space="preserve"> zaměstnáno celkem </w:t>
      </w:r>
      <w:r w:rsidR="00B32025">
        <w:t xml:space="preserve">63 osob </w:t>
      </w:r>
      <w:r w:rsidR="00B32025" w:rsidRPr="00B32025">
        <w:t>s uznaným druhým stupněm invalidity</w:t>
      </w:r>
      <w:r w:rsidR="00B32025">
        <w:t>.</w:t>
      </w:r>
    </w:p>
    <w:p w14:paraId="785A2C5D" w14:textId="77777777" w:rsidR="00FA49EF" w:rsidRPr="004059B7" w:rsidRDefault="00FA49EF" w:rsidP="00427569">
      <w:pPr>
        <w:pStyle w:val="Odstavecseseznamem"/>
      </w:pPr>
      <w:r>
        <w:t xml:space="preserve">Ve služebním poměru bylo </w:t>
      </w:r>
      <w:r w:rsidR="00E34CE1">
        <w:t>32</w:t>
      </w:r>
      <w:r>
        <w:t xml:space="preserve"> osob</w:t>
      </w:r>
      <w:r w:rsidR="00E34CE1">
        <w:t>, 1</w:t>
      </w:r>
      <w:r>
        <w:t xml:space="preserve"> osob</w:t>
      </w:r>
      <w:r w:rsidR="00E34CE1">
        <w:t>a</w:t>
      </w:r>
      <w:r>
        <w:t xml:space="preserve"> měl</w:t>
      </w:r>
      <w:r w:rsidR="00E34CE1">
        <w:t>a</w:t>
      </w:r>
      <w:r>
        <w:t xml:space="preserve"> kratší služební dobu</w:t>
      </w:r>
      <w:r w:rsidR="00E34CE1">
        <w:t xml:space="preserve"> (3,1</w:t>
      </w:r>
      <w:r w:rsidR="00F575A5">
        <w:t xml:space="preserve"> %</w:t>
      </w:r>
      <w:r w:rsidR="00E34CE1">
        <w:t>)</w:t>
      </w:r>
      <w:r>
        <w:t>.</w:t>
      </w:r>
    </w:p>
    <w:p w14:paraId="3664E745" w14:textId="77777777" w:rsidR="00FA49EF" w:rsidRDefault="00FA49EF" w:rsidP="00427569">
      <w:pPr>
        <w:pStyle w:val="Odstavecseseznamem"/>
      </w:pPr>
      <w:r>
        <w:t>V pracovním poměru bylo</w:t>
      </w:r>
      <w:r w:rsidRPr="004059B7">
        <w:t xml:space="preserve"> </w:t>
      </w:r>
      <w:r w:rsidR="00E34CE1">
        <w:t>31</w:t>
      </w:r>
      <w:r>
        <w:t xml:space="preserve"> osob, z toho </w:t>
      </w:r>
      <w:r w:rsidRPr="004059B7">
        <w:t>prá</w:t>
      </w:r>
      <w:r>
        <w:t>ci na zkrácený úvazek vykonával</w:t>
      </w:r>
      <w:r w:rsidR="00253C7C">
        <w:t>y čtyři</w:t>
      </w:r>
      <w:r w:rsidR="00E34CE1">
        <w:t xml:space="preserve"> osoby</w:t>
      </w:r>
      <w:r>
        <w:t xml:space="preserve">, což činí </w:t>
      </w:r>
      <w:r w:rsidR="00E34CE1">
        <w:t>6</w:t>
      </w:r>
      <w:r w:rsidR="00253C7C">
        <w:t>,6</w:t>
      </w:r>
      <w:r w:rsidR="00F575A5">
        <w:t xml:space="preserve"> %</w:t>
      </w:r>
      <w:r>
        <w:t>.</w:t>
      </w:r>
    </w:p>
    <w:p w14:paraId="580902BA" w14:textId="77777777" w:rsidR="00FA49EF" w:rsidRPr="009A036A" w:rsidRDefault="00FA49EF" w:rsidP="00427569">
      <w:pPr>
        <w:pStyle w:val="Odstavecseseznamem"/>
      </w:pPr>
      <w:r>
        <w:t>N</w:t>
      </w:r>
      <w:r w:rsidRPr="004059B7">
        <w:t>a základě doho</w:t>
      </w:r>
      <w:r>
        <w:t xml:space="preserve">d o pracích </w:t>
      </w:r>
      <w:r w:rsidR="003A2D82">
        <w:t>konaných</w:t>
      </w:r>
      <w:r>
        <w:t xml:space="preserve"> mimo pracovní poměr práci dle šetření </w:t>
      </w:r>
      <w:r w:rsidR="00E34CE1">
        <w:t>vykonávaly</w:t>
      </w:r>
      <w:r w:rsidR="009A036A">
        <w:t xml:space="preserve"> </w:t>
      </w:r>
      <w:r w:rsidR="00E34CE1" w:rsidRPr="009A036A">
        <w:t>dvě osoby s uznaným druhým stupněm invalidity.</w:t>
      </w:r>
    </w:p>
    <w:p w14:paraId="6CBA9067" w14:textId="77777777" w:rsidR="00FA49EF" w:rsidRPr="00440B17" w:rsidRDefault="00612C2D" w:rsidP="00A34307">
      <w:pPr>
        <w:pStyle w:val="Podtitul"/>
      </w:pPr>
      <w:r>
        <w:t>Zaměstnanci</w:t>
      </w:r>
      <w:r w:rsidR="00FA49EF" w:rsidRPr="00440B17">
        <w:t xml:space="preserve"> </w:t>
      </w:r>
      <w:r w:rsidR="00737C45" w:rsidRPr="00440B17">
        <w:t xml:space="preserve">s uznaným </w:t>
      </w:r>
      <w:r w:rsidR="007200A6" w:rsidRPr="00440B17">
        <w:t>třetím</w:t>
      </w:r>
      <w:r w:rsidR="00737C45" w:rsidRPr="00440B17">
        <w:t xml:space="preserve"> stupněm invalidity</w:t>
      </w:r>
    </w:p>
    <w:p w14:paraId="4C42C2C4" w14:textId="77777777" w:rsidR="00FA49EF" w:rsidRDefault="00FA49EF" w:rsidP="00A34307">
      <w:pPr>
        <w:pStyle w:val="Odstavecseseznamem"/>
      </w:pPr>
      <w:r>
        <w:t>V jednotlivých ministerstvech bylo ve služebním a</w:t>
      </w:r>
      <w:r w:rsidRPr="004059B7">
        <w:t xml:space="preserve"> pracovním poměru</w:t>
      </w:r>
      <w:r>
        <w:t xml:space="preserve"> zaměstnáno celkem</w:t>
      </w:r>
      <w:r w:rsidR="007200A6">
        <w:t xml:space="preserve"> 32 osob </w:t>
      </w:r>
      <w:r w:rsidR="007200A6" w:rsidRPr="00B32025">
        <w:t xml:space="preserve">s uznaným </w:t>
      </w:r>
      <w:r w:rsidR="007200A6">
        <w:t>třetím</w:t>
      </w:r>
      <w:r w:rsidR="007200A6" w:rsidRPr="00B32025">
        <w:t xml:space="preserve"> stupněm invalidity</w:t>
      </w:r>
      <w:r w:rsidR="009A036A">
        <w:t>.</w:t>
      </w:r>
    </w:p>
    <w:p w14:paraId="3836C314" w14:textId="77777777" w:rsidR="00FA49EF" w:rsidRPr="004059B7" w:rsidRDefault="00FA49EF" w:rsidP="00427569">
      <w:pPr>
        <w:pStyle w:val="Odstavecseseznamem"/>
      </w:pPr>
      <w:r>
        <w:lastRenderedPageBreak/>
        <w:t xml:space="preserve">Ve služebním poměru bylo </w:t>
      </w:r>
      <w:r w:rsidR="007200A6">
        <w:t>21</w:t>
      </w:r>
      <w:r>
        <w:t xml:space="preserve"> osob, z toho </w:t>
      </w:r>
      <w:r w:rsidR="007200A6">
        <w:t>9,5</w:t>
      </w:r>
      <w:r w:rsidR="00F575A5">
        <w:t xml:space="preserve"> %</w:t>
      </w:r>
      <w:r>
        <w:t>, 2 osoby, měl</w:t>
      </w:r>
      <w:r w:rsidR="007200A6">
        <w:t>y</w:t>
      </w:r>
      <w:r>
        <w:t xml:space="preserve"> kratší služební dobu.</w:t>
      </w:r>
    </w:p>
    <w:p w14:paraId="27E6A2FE" w14:textId="77777777" w:rsidR="00FA49EF" w:rsidRDefault="00FA49EF" w:rsidP="00427569">
      <w:pPr>
        <w:pStyle w:val="Odstavecseseznamem"/>
      </w:pPr>
      <w:r>
        <w:t>V pracovním poměru bylo</w:t>
      </w:r>
      <w:r w:rsidRPr="004059B7">
        <w:t xml:space="preserve"> </w:t>
      </w:r>
      <w:r w:rsidR="007200A6">
        <w:t>11</w:t>
      </w:r>
      <w:r>
        <w:t xml:space="preserve"> osob, z toho </w:t>
      </w:r>
      <w:r w:rsidRPr="004059B7">
        <w:t>prá</w:t>
      </w:r>
      <w:r>
        <w:t>ci na zkrácený úvazek vykonával</w:t>
      </w:r>
      <w:r w:rsidR="007200A6">
        <w:t>y</w:t>
      </w:r>
      <w:r>
        <w:t xml:space="preserve"> </w:t>
      </w:r>
      <w:r w:rsidR="003008AE">
        <w:t>také 2</w:t>
      </w:r>
      <w:r w:rsidR="007200A6">
        <w:t xml:space="preserve"> osoby</w:t>
      </w:r>
      <w:r>
        <w:t xml:space="preserve">, </w:t>
      </w:r>
      <w:r w:rsidR="007200A6">
        <w:t>tedy</w:t>
      </w:r>
      <w:r>
        <w:t xml:space="preserve"> </w:t>
      </w:r>
      <w:r w:rsidR="007200A6">
        <w:t>18,2</w:t>
      </w:r>
      <w:r w:rsidR="00F575A5">
        <w:t xml:space="preserve"> %</w:t>
      </w:r>
      <w:r>
        <w:t>.</w:t>
      </w:r>
    </w:p>
    <w:p w14:paraId="5607C41D" w14:textId="77777777" w:rsidR="00C93247" w:rsidRDefault="007200A6" w:rsidP="00427569">
      <w:pPr>
        <w:pStyle w:val="Odstavecseseznamem"/>
      </w:pPr>
      <w:r>
        <w:t>N</w:t>
      </w:r>
      <w:r w:rsidRPr="004059B7">
        <w:t>a základě doho</w:t>
      </w:r>
      <w:r>
        <w:t xml:space="preserve">d o pracích </w:t>
      </w:r>
      <w:r w:rsidR="003A2D82">
        <w:t>konaných</w:t>
      </w:r>
      <w:r>
        <w:t xml:space="preserve"> mimo pracovní poměr práci dle šetření vykonávalo 5 osob </w:t>
      </w:r>
      <w:r w:rsidRPr="00B32025">
        <w:t xml:space="preserve">s uznaným </w:t>
      </w:r>
      <w:r>
        <w:t>třetím</w:t>
      </w:r>
      <w:r w:rsidRPr="00B32025">
        <w:t xml:space="preserve"> stupněm invalidity</w:t>
      </w:r>
      <w:r>
        <w:t>.</w:t>
      </w:r>
    </w:p>
    <w:p w14:paraId="02FB5E36" w14:textId="6A3B6325" w:rsidR="00532280" w:rsidRDefault="00532280" w:rsidP="00C320A8">
      <w:pPr>
        <w:pStyle w:val="Titulek"/>
      </w:pPr>
      <w:bookmarkStart w:id="431" w:name="_Toc45512999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24</w:t>
      </w:r>
      <w:r w:rsidR="00FC5B08">
        <w:rPr>
          <w:noProof/>
        </w:rPr>
        <w:fldChar w:fldCharType="end"/>
      </w:r>
      <w:r>
        <w:t xml:space="preserve"> Počet OZP </w:t>
      </w:r>
      <w:r w:rsidRPr="00A43C36">
        <w:t>dle uznaného st</w:t>
      </w:r>
      <w:r>
        <w:t>upně invalidity na ministerstvech</w:t>
      </w:r>
      <w:bookmarkEnd w:id="431"/>
    </w:p>
    <w:p w14:paraId="0059F0A6" w14:textId="77777777" w:rsidR="00C93247" w:rsidRDefault="007666DC" w:rsidP="00A34307">
      <w:pPr>
        <w:jc w:val="center"/>
      </w:pPr>
      <w:r>
        <w:rPr>
          <w:noProof/>
        </w:rPr>
        <w:drawing>
          <wp:inline distT="0" distB="0" distL="0" distR="0" wp14:anchorId="16EB4A74" wp14:editId="0C438207">
            <wp:extent cx="5829300" cy="3200400"/>
            <wp:effectExtent l="0" t="0" r="0" b="0"/>
            <wp:docPr id="47" name="Graf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571B82C" w14:textId="1A139875" w:rsidR="00C93247" w:rsidRPr="00092E80" w:rsidRDefault="00C93247" w:rsidP="00C320A8">
      <w:pPr>
        <w:pStyle w:val="Titulek"/>
      </w:pPr>
      <w:bookmarkStart w:id="432" w:name="_Toc45513000"/>
      <w:r w:rsidRPr="00A43C36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25</w:t>
      </w:r>
      <w:r w:rsidR="00FC5B08">
        <w:rPr>
          <w:noProof/>
        </w:rPr>
        <w:fldChar w:fldCharType="end"/>
      </w:r>
      <w:r w:rsidRPr="00A43C36">
        <w:t xml:space="preserve"> </w:t>
      </w:r>
      <w:r w:rsidR="007666DC">
        <w:t>Podíl</w:t>
      </w:r>
      <w:r w:rsidR="00532280">
        <w:t xml:space="preserve"> OZP se zkráceným úvazkem </w:t>
      </w:r>
      <w:r w:rsidR="00532280" w:rsidRPr="00A43C36">
        <w:t>dle uznaného st</w:t>
      </w:r>
      <w:r w:rsidR="005962AE">
        <w:t>upně invalidity na </w:t>
      </w:r>
      <w:r w:rsidR="00532280">
        <w:t>ministerstvech</w:t>
      </w:r>
      <w:bookmarkEnd w:id="432"/>
    </w:p>
    <w:p w14:paraId="46B32C5F" w14:textId="77777777" w:rsidR="004E3FAC" w:rsidRDefault="00AE5D5C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5963997B" wp14:editId="5D03DA60">
            <wp:extent cx="5715000" cy="2657475"/>
            <wp:effectExtent l="0" t="0" r="0" b="9525"/>
            <wp:docPr id="59" name="Graf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2BA1186" w14:textId="77777777" w:rsidR="00A52506" w:rsidRPr="00A34307" w:rsidRDefault="00A52506" w:rsidP="00E10D06">
      <w:pPr>
        <w:pStyle w:val="Nadpis3"/>
      </w:pPr>
      <w:bookmarkStart w:id="433" w:name="_Toc24641625"/>
      <w:r w:rsidRPr="00532280">
        <w:lastRenderedPageBreak/>
        <w:t>Zaměstnávání</w:t>
      </w:r>
      <w:r w:rsidRPr="00E23A3B">
        <w:t xml:space="preserve"> OZP </w:t>
      </w:r>
      <w:r w:rsidRPr="007D5114">
        <w:t>ve vybraných organiza</w:t>
      </w:r>
      <w:r w:rsidR="0029447D" w:rsidRPr="007D5114">
        <w:t>čních složkách ministerstev dle </w:t>
      </w:r>
      <w:r w:rsidRPr="007D5114">
        <w:t>uznaného stupně invalidity</w:t>
      </w:r>
      <w:bookmarkStart w:id="434" w:name="_Toc20836938"/>
      <w:bookmarkStart w:id="435" w:name="_Toc20837018"/>
      <w:bookmarkStart w:id="436" w:name="_Toc20837101"/>
      <w:bookmarkStart w:id="437" w:name="_Toc20837774"/>
      <w:bookmarkStart w:id="438" w:name="_Toc20838203"/>
      <w:bookmarkStart w:id="439" w:name="_Toc20838244"/>
      <w:bookmarkStart w:id="440" w:name="_Toc21005757"/>
      <w:bookmarkStart w:id="441" w:name="_Toc21070000"/>
      <w:bookmarkStart w:id="442" w:name="_Toc21520860"/>
      <w:bookmarkStart w:id="443" w:name="_Toc21603299"/>
      <w:bookmarkStart w:id="444" w:name="_Toc21614021"/>
      <w:bookmarkStart w:id="445" w:name="_Toc21614897"/>
      <w:bookmarkStart w:id="446" w:name="_Toc21935945"/>
      <w:bookmarkStart w:id="447" w:name="_Toc21958325"/>
      <w:bookmarkStart w:id="448" w:name="_Toc21958381"/>
      <w:bookmarkStart w:id="449" w:name="_Toc22019414"/>
      <w:bookmarkStart w:id="450" w:name="_Toc22019470"/>
      <w:bookmarkStart w:id="451" w:name="_Toc22026802"/>
      <w:bookmarkStart w:id="452" w:name="_Toc24641221"/>
      <w:bookmarkStart w:id="453" w:name="_Toc24641295"/>
      <w:bookmarkStart w:id="454" w:name="_Toc24641363"/>
      <w:bookmarkStart w:id="455" w:name="_Toc24641430"/>
      <w:bookmarkStart w:id="456" w:name="_Toc24641496"/>
      <w:bookmarkStart w:id="457" w:name="_Toc24641561"/>
      <w:bookmarkStart w:id="458" w:name="_Toc24641626"/>
      <w:bookmarkStart w:id="459" w:name="_Toc40358775"/>
      <w:bookmarkStart w:id="460" w:name="_Toc40358978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p w14:paraId="173F39CB" w14:textId="77777777" w:rsidR="00204D91" w:rsidRPr="00EB7B9E" w:rsidRDefault="00612C2D" w:rsidP="00A34307">
      <w:pPr>
        <w:pStyle w:val="Podtitul"/>
      </w:pPr>
      <w:r>
        <w:t>Zaměstnanci</w:t>
      </w:r>
      <w:r w:rsidR="00204D91" w:rsidRPr="00EB7B9E">
        <w:t xml:space="preserve"> se zdravotním znevýhodněním</w:t>
      </w:r>
    </w:p>
    <w:p w14:paraId="6F98DABD" w14:textId="77777777" w:rsidR="00204D91" w:rsidRDefault="00204D91" w:rsidP="00A34307">
      <w:pPr>
        <w:pStyle w:val="Odstavecseseznamem"/>
      </w:pPr>
      <w:r>
        <w:t>V</w:t>
      </w:r>
      <w:r w:rsidRPr="00204D91">
        <w:t>e vybraných organizačních složkách ministerstev</w:t>
      </w:r>
      <w:r w:rsidRPr="00A34307">
        <w:rPr>
          <w:color w:val="365F91" w:themeColor="accent1" w:themeShade="BF"/>
        </w:rPr>
        <w:t xml:space="preserve"> </w:t>
      </w:r>
      <w:r>
        <w:t>bylo ve služebním a</w:t>
      </w:r>
      <w:r w:rsidRPr="004059B7">
        <w:t xml:space="preserve"> pracovním poměru</w:t>
      </w:r>
      <w:r>
        <w:t xml:space="preserve"> zaměstnáno celkem </w:t>
      </w:r>
      <w:r w:rsidR="00A90660">
        <w:t>1</w:t>
      </w:r>
      <w:r w:rsidR="00704B03">
        <w:t xml:space="preserve">26 </w:t>
      </w:r>
      <w:r>
        <w:t>osob se zdravotním znevýhodněním.</w:t>
      </w:r>
    </w:p>
    <w:p w14:paraId="560C7520" w14:textId="77777777" w:rsidR="00204D91" w:rsidRPr="004059B7" w:rsidRDefault="00204D91" w:rsidP="00427569">
      <w:pPr>
        <w:pStyle w:val="Odstavecseseznamem"/>
      </w:pPr>
      <w:r>
        <w:t xml:space="preserve">Ve služebním poměru bylo </w:t>
      </w:r>
      <w:r w:rsidR="001E0143">
        <w:t>88</w:t>
      </w:r>
      <w:r>
        <w:t xml:space="preserve"> osob, z toho </w:t>
      </w:r>
      <w:r w:rsidR="001E0143">
        <w:t>11,4</w:t>
      </w:r>
      <w:r w:rsidR="00F575A5">
        <w:t xml:space="preserve"> %</w:t>
      </w:r>
      <w:r w:rsidR="00A90660">
        <w:t>, 10</w:t>
      </w:r>
      <w:r>
        <w:t xml:space="preserve"> osob, mělo kratší služební dobu.</w:t>
      </w:r>
    </w:p>
    <w:p w14:paraId="36F63F31" w14:textId="77777777" w:rsidR="00204D91" w:rsidRDefault="00204D91" w:rsidP="00427569">
      <w:pPr>
        <w:pStyle w:val="Odstavecseseznamem"/>
      </w:pPr>
      <w:r>
        <w:t>V pracovním poměru bylo</w:t>
      </w:r>
      <w:r w:rsidRPr="004059B7">
        <w:t xml:space="preserve"> </w:t>
      </w:r>
      <w:r w:rsidR="00A90660">
        <w:t>38</w:t>
      </w:r>
      <w:r>
        <w:t xml:space="preserve"> osob, z toho </w:t>
      </w:r>
      <w:r w:rsidRPr="004059B7">
        <w:t>prá</w:t>
      </w:r>
      <w:r>
        <w:t>ci na zkrácený úvazek vykonával</w:t>
      </w:r>
      <w:r w:rsidR="00437AF7">
        <w:t>o 7 </w:t>
      </w:r>
      <w:r w:rsidR="00A90660">
        <w:t>osob</w:t>
      </w:r>
      <w:r>
        <w:t>, což činí 1</w:t>
      </w:r>
      <w:r w:rsidR="00A90660">
        <w:t>8,4</w:t>
      </w:r>
      <w:r w:rsidR="00F575A5">
        <w:t xml:space="preserve"> %</w:t>
      </w:r>
      <w:r>
        <w:t>.</w:t>
      </w:r>
    </w:p>
    <w:p w14:paraId="1FE30A3A" w14:textId="073A7436" w:rsidR="00204D91" w:rsidRDefault="00204D91" w:rsidP="00427569">
      <w:pPr>
        <w:pStyle w:val="Odstavecseseznamem"/>
      </w:pPr>
      <w:r>
        <w:t>N</w:t>
      </w:r>
      <w:r w:rsidRPr="004059B7">
        <w:t>a základě doho</w:t>
      </w:r>
      <w:r>
        <w:t xml:space="preserve">d práci dle šetření </w:t>
      </w:r>
      <w:r w:rsidR="00A90660">
        <w:t>vykonávalo</w:t>
      </w:r>
      <w:r>
        <w:t xml:space="preserve"> </w:t>
      </w:r>
      <w:r w:rsidR="00A90660">
        <w:t>pět osob</w:t>
      </w:r>
      <w:r>
        <w:t xml:space="preserve"> se zdravotním znevýhodněním.</w:t>
      </w:r>
    </w:p>
    <w:p w14:paraId="640C1B39" w14:textId="77777777" w:rsidR="00204D91" w:rsidRPr="00EB7B9E" w:rsidRDefault="00612C2D" w:rsidP="00A34307">
      <w:pPr>
        <w:pStyle w:val="Podtitul"/>
      </w:pPr>
      <w:r>
        <w:t>Zaměstnanci</w:t>
      </w:r>
      <w:r w:rsidR="00204D91" w:rsidRPr="00EB7B9E">
        <w:t xml:space="preserve"> </w:t>
      </w:r>
      <w:r w:rsidR="00204D91">
        <w:t>s uznaným prvním stupněm invalidity</w:t>
      </w:r>
    </w:p>
    <w:p w14:paraId="3F7D56D6" w14:textId="77777777" w:rsidR="00204D91" w:rsidRDefault="00204D91" w:rsidP="00A34307">
      <w:pPr>
        <w:pStyle w:val="Odstavecseseznamem"/>
      </w:pPr>
      <w:r>
        <w:t>V</w:t>
      </w:r>
      <w:r w:rsidRPr="00204D91">
        <w:t>e vybraných organizačních složkách ministerstev</w:t>
      </w:r>
      <w:r w:rsidRPr="00A34307">
        <w:rPr>
          <w:color w:val="365F91" w:themeColor="accent1" w:themeShade="BF"/>
        </w:rPr>
        <w:t xml:space="preserve"> </w:t>
      </w:r>
      <w:r>
        <w:t>bylo ve služebním a</w:t>
      </w:r>
      <w:r w:rsidRPr="004059B7">
        <w:t xml:space="preserve"> pracovním poměru</w:t>
      </w:r>
      <w:r>
        <w:t xml:space="preserve"> zaměstnáno celkem </w:t>
      </w:r>
      <w:r w:rsidR="00A90660">
        <w:t>906</w:t>
      </w:r>
      <w:r>
        <w:t xml:space="preserve"> osob s uznaným prvním stupněm invalidity.</w:t>
      </w:r>
    </w:p>
    <w:p w14:paraId="4679369E" w14:textId="77777777" w:rsidR="00204D91" w:rsidRPr="004059B7" w:rsidRDefault="00204D91" w:rsidP="00427569">
      <w:pPr>
        <w:pStyle w:val="Odstavecseseznamem"/>
      </w:pPr>
      <w:r>
        <w:t xml:space="preserve">Ve služebním poměru bylo </w:t>
      </w:r>
      <w:r w:rsidR="00A90660">
        <w:t>725</w:t>
      </w:r>
      <w:r>
        <w:t xml:space="preserve"> osob, z toho </w:t>
      </w:r>
      <w:r w:rsidR="00A90660">
        <w:t>13,4</w:t>
      </w:r>
      <w:r w:rsidR="00F575A5">
        <w:t xml:space="preserve"> %</w:t>
      </w:r>
      <w:r>
        <w:t xml:space="preserve">, </w:t>
      </w:r>
      <w:r w:rsidR="00A90660">
        <w:t>97</w:t>
      </w:r>
      <w:r>
        <w:t xml:space="preserve"> osob, mělo kratší služební dobu.</w:t>
      </w:r>
    </w:p>
    <w:p w14:paraId="3331344D" w14:textId="77777777" w:rsidR="00204D91" w:rsidRDefault="00204D91" w:rsidP="00427569">
      <w:pPr>
        <w:pStyle w:val="Odstavecseseznamem"/>
      </w:pPr>
      <w:r>
        <w:t>V pracovním poměru bylo</w:t>
      </w:r>
      <w:r w:rsidRPr="004059B7">
        <w:t xml:space="preserve"> </w:t>
      </w:r>
      <w:r w:rsidR="00A90660">
        <w:t>181</w:t>
      </w:r>
      <w:r>
        <w:t xml:space="preserve"> osob, z toho </w:t>
      </w:r>
      <w:r w:rsidRPr="004059B7">
        <w:t>prá</w:t>
      </w:r>
      <w:r>
        <w:t xml:space="preserve">ci na zkrácený úvazek vykonávalo </w:t>
      </w:r>
      <w:r w:rsidR="00A90660">
        <w:t>34</w:t>
      </w:r>
      <w:r w:rsidR="001151AD">
        <w:t> </w:t>
      </w:r>
      <w:r>
        <w:t xml:space="preserve">osob, </w:t>
      </w:r>
      <w:r w:rsidR="00A90660">
        <w:t>1</w:t>
      </w:r>
      <w:r>
        <w:t>8</w:t>
      </w:r>
      <w:r w:rsidR="00A90660">
        <w:t>,8</w:t>
      </w:r>
      <w:r w:rsidR="00F575A5">
        <w:t xml:space="preserve"> %</w:t>
      </w:r>
      <w:r>
        <w:t>.</w:t>
      </w:r>
    </w:p>
    <w:p w14:paraId="01B02CD7" w14:textId="6888E2E1" w:rsidR="00204D91" w:rsidRDefault="00204D91" w:rsidP="00427569">
      <w:pPr>
        <w:pStyle w:val="Odstavecseseznamem"/>
      </w:pPr>
      <w:r>
        <w:t>N</w:t>
      </w:r>
      <w:r w:rsidRPr="004059B7">
        <w:t>a základě doho</w:t>
      </w:r>
      <w:r>
        <w:t xml:space="preserve">d práci dle šetření vykonávalo </w:t>
      </w:r>
      <w:r w:rsidR="00A90660">
        <w:t>8</w:t>
      </w:r>
      <w:r>
        <w:t xml:space="preserve"> osob s uznaným prvním stupněm invalidity.</w:t>
      </w:r>
    </w:p>
    <w:p w14:paraId="5EB4F6CA" w14:textId="77777777" w:rsidR="00204D91" w:rsidRPr="00EB7B9E" w:rsidRDefault="00612C2D" w:rsidP="00A34307">
      <w:pPr>
        <w:pStyle w:val="Podtitul"/>
      </w:pPr>
      <w:r>
        <w:t>Zaměstnanci</w:t>
      </w:r>
      <w:r w:rsidR="00204D91" w:rsidRPr="00EB7B9E">
        <w:t xml:space="preserve"> </w:t>
      </w:r>
      <w:r w:rsidR="00204D91">
        <w:t>s uznaným druhým stupněm invalidity</w:t>
      </w:r>
    </w:p>
    <w:p w14:paraId="5F6C968C" w14:textId="77777777" w:rsidR="00204D91" w:rsidRDefault="00204D91" w:rsidP="00A34307">
      <w:pPr>
        <w:pStyle w:val="Odstavecseseznamem"/>
      </w:pPr>
      <w:r>
        <w:t>V</w:t>
      </w:r>
      <w:r w:rsidRPr="00204D91">
        <w:t>e vybraných organizačních složkách ministerstev</w:t>
      </w:r>
      <w:r w:rsidRPr="00A34307">
        <w:rPr>
          <w:color w:val="365F91" w:themeColor="accent1" w:themeShade="BF"/>
        </w:rPr>
        <w:t xml:space="preserve"> </w:t>
      </w:r>
      <w:r>
        <w:t>bylo ve služebním a</w:t>
      </w:r>
      <w:r w:rsidRPr="004059B7">
        <w:t xml:space="preserve"> pracovním poměru</w:t>
      </w:r>
      <w:r>
        <w:t xml:space="preserve"> zaměstnáno celkem </w:t>
      </w:r>
      <w:r w:rsidR="0087276C">
        <w:t>226</w:t>
      </w:r>
      <w:r>
        <w:t xml:space="preserve"> osob </w:t>
      </w:r>
      <w:r w:rsidRPr="00B32025">
        <w:t>s uznaným druhým stupněm invalidity</w:t>
      </w:r>
      <w:r>
        <w:t>.</w:t>
      </w:r>
    </w:p>
    <w:p w14:paraId="63D870AB" w14:textId="77777777" w:rsidR="00204D91" w:rsidRPr="004059B7" w:rsidRDefault="00204D91" w:rsidP="00427569">
      <w:pPr>
        <w:pStyle w:val="Odstavecseseznamem"/>
      </w:pPr>
      <w:r>
        <w:t xml:space="preserve">Ve služebním poměru bylo </w:t>
      </w:r>
      <w:r w:rsidR="0087276C">
        <w:t>187</w:t>
      </w:r>
      <w:r>
        <w:t xml:space="preserve"> osob, </w:t>
      </w:r>
      <w:r w:rsidR="00704B03">
        <w:t>51</w:t>
      </w:r>
      <w:r>
        <w:t xml:space="preserve"> osob měl</w:t>
      </w:r>
      <w:r w:rsidR="0087276C">
        <w:t>o</w:t>
      </w:r>
      <w:r>
        <w:t xml:space="preserve"> kratší služební dobu</w:t>
      </w:r>
      <w:r w:rsidR="00CA4837">
        <w:t xml:space="preserve"> (</w:t>
      </w:r>
      <w:r w:rsidR="00704B03">
        <w:t>27,3</w:t>
      </w:r>
      <w:r w:rsidR="00F575A5">
        <w:t xml:space="preserve"> %</w:t>
      </w:r>
      <w:r>
        <w:t>).</w:t>
      </w:r>
    </w:p>
    <w:p w14:paraId="01673AF9" w14:textId="77777777" w:rsidR="00204D91" w:rsidRDefault="00204D91" w:rsidP="00427569">
      <w:pPr>
        <w:pStyle w:val="Odstavecseseznamem"/>
      </w:pPr>
      <w:r>
        <w:t xml:space="preserve">V pracovním poměru </w:t>
      </w:r>
      <w:r w:rsidRPr="007C061B">
        <w:t xml:space="preserve">bylo </w:t>
      </w:r>
      <w:r w:rsidR="0087276C" w:rsidRPr="007C061B">
        <w:t>39</w:t>
      </w:r>
      <w:r w:rsidRPr="007C061B">
        <w:t xml:space="preserve"> osob, z toho práci na zkrácený úvazek vykonával</w:t>
      </w:r>
      <w:r w:rsidR="0087276C" w:rsidRPr="007C061B">
        <w:t>o</w:t>
      </w:r>
      <w:r w:rsidRPr="007C061B">
        <w:t xml:space="preserve"> </w:t>
      </w:r>
      <w:r w:rsidR="0087276C" w:rsidRPr="007C061B">
        <w:t>19</w:t>
      </w:r>
      <w:r w:rsidR="00A67238">
        <w:t> </w:t>
      </w:r>
      <w:r w:rsidR="003538D4">
        <w:t>osob</w:t>
      </w:r>
      <w:r w:rsidRPr="007C061B">
        <w:t xml:space="preserve">, což činí </w:t>
      </w:r>
      <w:r w:rsidR="00CA4837" w:rsidRPr="007C061B">
        <w:t>48,7</w:t>
      </w:r>
      <w:r w:rsidR="00F575A5">
        <w:t xml:space="preserve"> %</w:t>
      </w:r>
      <w:r w:rsidRPr="007C061B">
        <w:t>.</w:t>
      </w:r>
    </w:p>
    <w:p w14:paraId="704E16AE" w14:textId="6674B278" w:rsidR="00204D91" w:rsidRDefault="00204D91" w:rsidP="00427569">
      <w:pPr>
        <w:pStyle w:val="Odstavecseseznamem"/>
      </w:pPr>
      <w:r>
        <w:t>N</w:t>
      </w:r>
      <w:r w:rsidRPr="004059B7">
        <w:t>a základě doho</w:t>
      </w:r>
      <w:r>
        <w:t xml:space="preserve">d </w:t>
      </w:r>
      <w:r w:rsidR="003538D4">
        <w:t>práci dle šetření vykonávala</w:t>
      </w:r>
      <w:r>
        <w:t xml:space="preserve"> </w:t>
      </w:r>
      <w:r w:rsidR="0087276C">
        <w:t>jedna</w:t>
      </w:r>
      <w:r>
        <w:t xml:space="preserve"> osob</w:t>
      </w:r>
      <w:r w:rsidR="0087276C">
        <w:t>a</w:t>
      </w:r>
      <w:r>
        <w:t xml:space="preserve"> </w:t>
      </w:r>
      <w:r w:rsidRPr="00B32025">
        <w:t>s uznaným druhým stupněm invalidity</w:t>
      </w:r>
      <w:r>
        <w:t>.</w:t>
      </w:r>
    </w:p>
    <w:p w14:paraId="7EC90233" w14:textId="77777777" w:rsidR="00204D91" w:rsidRPr="00EB7B9E" w:rsidRDefault="00612C2D" w:rsidP="00A34307">
      <w:pPr>
        <w:pStyle w:val="Podtitul"/>
      </w:pPr>
      <w:r>
        <w:t>Zaměstnanci</w:t>
      </w:r>
      <w:r w:rsidR="00204D91" w:rsidRPr="00EB7B9E">
        <w:t xml:space="preserve"> </w:t>
      </w:r>
      <w:r w:rsidR="00204D91">
        <w:t>s uznaným třetím stupněm invalidity</w:t>
      </w:r>
    </w:p>
    <w:p w14:paraId="006666FA" w14:textId="77777777" w:rsidR="00204D91" w:rsidRDefault="00204D91" w:rsidP="00A34307">
      <w:pPr>
        <w:pStyle w:val="Odstavecseseznamem"/>
      </w:pPr>
      <w:r>
        <w:t>V</w:t>
      </w:r>
      <w:r w:rsidRPr="00204D91">
        <w:t>e vybraných organizačních složkách ministerstev</w:t>
      </w:r>
      <w:r w:rsidRPr="00A34307">
        <w:rPr>
          <w:color w:val="365F91" w:themeColor="accent1" w:themeShade="BF"/>
        </w:rPr>
        <w:t xml:space="preserve"> </w:t>
      </w:r>
      <w:r>
        <w:t>bylo ve služebním a</w:t>
      </w:r>
      <w:r w:rsidRPr="004059B7">
        <w:t xml:space="preserve"> pracovním poměru</w:t>
      </w:r>
      <w:r>
        <w:t xml:space="preserve"> zaměstnáno celkem</w:t>
      </w:r>
      <w:r w:rsidR="00CA4837">
        <w:t xml:space="preserve"> 103</w:t>
      </w:r>
      <w:r>
        <w:t xml:space="preserve"> osob </w:t>
      </w:r>
      <w:r w:rsidRPr="00B32025">
        <w:t xml:space="preserve">s uznaným </w:t>
      </w:r>
      <w:r>
        <w:t>třetím</w:t>
      </w:r>
      <w:r w:rsidRPr="00B32025">
        <w:t xml:space="preserve"> stupněm invalidity</w:t>
      </w:r>
      <w:r w:rsidR="003538D4">
        <w:t>.</w:t>
      </w:r>
    </w:p>
    <w:p w14:paraId="73892F74" w14:textId="77777777" w:rsidR="00204D91" w:rsidRPr="004059B7" w:rsidRDefault="00204D91" w:rsidP="00427569">
      <w:pPr>
        <w:pStyle w:val="Odstavecseseznamem"/>
      </w:pPr>
      <w:r>
        <w:lastRenderedPageBreak/>
        <w:t xml:space="preserve">Ve služebním poměru bylo </w:t>
      </w:r>
      <w:r w:rsidR="00CA4837">
        <w:t>77</w:t>
      </w:r>
      <w:r>
        <w:t xml:space="preserve"> osob, z toho </w:t>
      </w:r>
      <w:r w:rsidR="00797F0E">
        <w:t>28,6</w:t>
      </w:r>
      <w:r w:rsidR="00F575A5">
        <w:t xml:space="preserve"> %</w:t>
      </w:r>
      <w:r>
        <w:t>, 2</w:t>
      </w:r>
      <w:r w:rsidR="00CA4837">
        <w:t>2</w:t>
      </w:r>
      <w:r>
        <w:t xml:space="preserve"> osob, měl</w:t>
      </w:r>
      <w:r w:rsidR="00797F0E">
        <w:t>o</w:t>
      </w:r>
      <w:r>
        <w:t xml:space="preserve"> kratší služební dobu.</w:t>
      </w:r>
    </w:p>
    <w:p w14:paraId="70EE5C8A" w14:textId="77777777" w:rsidR="00204D91" w:rsidRDefault="00204D91" w:rsidP="00427569">
      <w:pPr>
        <w:pStyle w:val="Odstavecseseznamem"/>
      </w:pPr>
      <w:r>
        <w:t>V pracovním poměru bylo</w:t>
      </w:r>
      <w:r w:rsidRPr="004059B7">
        <w:t xml:space="preserve"> </w:t>
      </w:r>
      <w:r w:rsidR="00CA4837">
        <w:t>26</w:t>
      </w:r>
      <w:r>
        <w:t xml:space="preserve"> osob, z toho </w:t>
      </w:r>
      <w:r w:rsidRPr="004059B7">
        <w:t>prá</w:t>
      </w:r>
      <w:r>
        <w:t>ci na zkrácený úvazek vykonával</w:t>
      </w:r>
      <w:r w:rsidR="00CA4837">
        <w:t>o</w:t>
      </w:r>
      <w:r>
        <w:t xml:space="preserve"> </w:t>
      </w:r>
      <w:r w:rsidR="00CA4837">
        <w:t>8</w:t>
      </w:r>
      <w:r w:rsidR="0006646B">
        <w:t> </w:t>
      </w:r>
      <w:r>
        <w:t xml:space="preserve">osob, tedy </w:t>
      </w:r>
      <w:r w:rsidR="00797F0E">
        <w:t>30,8</w:t>
      </w:r>
      <w:r w:rsidR="00F575A5">
        <w:t xml:space="preserve"> %</w:t>
      </w:r>
      <w:r>
        <w:t>.</w:t>
      </w:r>
    </w:p>
    <w:p w14:paraId="03611BD6" w14:textId="25EF928B" w:rsidR="00080B0E" w:rsidRPr="0029447D" w:rsidRDefault="00204D91" w:rsidP="00427569">
      <w:pPr>
        <w:pStyle w:val="Odstavecseseznamem"/>
      </w:pPr>
      <w:r>
        <w:t>N</w:t>
      </w:r>
      <w:r w:rsidRPr="004059B7">
        <w:t>a základě doho</w:t>
      </w:r>
      <w:r>
        <w:t>d pr</w:t>
      </w:r>
      <w:r w:rsidR="0006646B">
        <w:t>áci dle šetření vykonávaly</w:t>
      </w:r>
      <w:r>
        <w:t xml:space="preserve"> </w:t>
      </w:r>
      <w:r w:rsidR="00CA4837">
        <w:t>2</w:t>
      </w:r>
      <w:r>
        <w:t xml:space="preserve"> osob</w:t>
      </w:r>
      <w:r w:rsidR="00CA4837">
        <w:t>y</w:t>
      </w:r>
      <w:r>
        <w:t xml:space="preserve"> </w:t>
      </w:r>
      <w:r w:rsidRPr="00B32025">
        <w:t xml:space="preserve">s uznaným </w:t>
      </w:r>
      <w:r>
        <w:t>třetím</w:t>
      </w:r>
      <w:r w:rsidRPr="00B32025">
        <w:t xml:space="preserve"> stupněm invalidity</w:t>
      </w:r>
      <w:r>
        <w:t>.</w:t>
      </w:r>
    </w:p>
    <w:p w14:paraId="3F75A467" w14:textId="1C5CE3A0" w:rsidR="00532280" w:rsidRDefault="00532280" w:rsidP="00C320A8">
      <w:pPr>
        <w:pStyle w:val="Titulek"/>
      </w:pPr>
      <w:bookmarkStart w:id="461" w:name="_Toc45513001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26</w:t>
      </w:r>
      <w:r w:rsidR="00FC5B08">
        <w:rPr>
          <w:noProof/>
        </w:rPr>
        <w:fldChar w:fldCharType="end"/>
      </w:r>
      <w:r>
        <w:t xml:space="preserve"> </w:t>
      </w:r>
      <w:r w:rsidR="005962AE" w:rsidRPr="007D5114">
        <w:t xml:space="preserve">Počet </w:t>
      </w:r>
      <w:r w:rsidRPr="007D5114">
        <w:t>OZP dle uznaného stupně invalidity v organizačních složkách ministerstev</w:t>
      </w:r>
      <w:bookmarkEnd w:id="461"/>
    </w:p>
    <w:p w14:paraId="1F30DE15" w14:textId="77777777" w:rsidR="00F6384A" w:rsidRPr="00080B0E" w:rsidRDefault="00A16E11" w:rsidP="00E35CD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77DD74C8" wp14:editId="745A1814">
            <wp:extent cx="5772150" cy="2952750"/>
            <wp:effectExtent l="0" t="0" r="0" b="0"/>
            <wp:docPr id="55" name="Graf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0C49D3A" w14:textId="200F8853" w:rsidR="00A16E11" w:rsidRDefault="00A16E11" w:rsidP="00C320A8">
      <w:pPr>
        <w:pStyle w:val="Titulek"/>
      </w:pPr>
      <w:bookmarkStart w:id="462" w:name="_Toc45513002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27</w:t>
      </w:r>
      <w:r w:rsidR="00FC5B08">
        <w:rPr>
          <w:noProof/>
        </w:rPr>
        <w:fldChar w:fldCharType="end"/>
      </w:r>
      <w:r>
        <w:t xml:space="preserve"> Podíl OZP</w:t>
      </w:r>
      <w:r w:rsidRPr="00A43C36">
        <w:t xml:space="preserve"> </w:t>
      </w:r>
      <w:r>
        <w:t xml:space="preserve">se </w:t>
      </w:r>
      <w:r w:rsidRPr="003008AE">
        <w:t>zkráceným úvazkem dle uznaného stupně invalidity v organizačních složkách ministerstev</w:t>
      </w:r>
      <w:bookmarkEnd w:id="462"/>
    </w:p>
    <w:p w14:paraId="01D08C7F" w14:textId="77777777" w:rsidR="00801EE9" w:rsidRPr="00A16E11" w:rsidRDefault="003008AE" w:rsidP="00E35CD7">
      <w:pPr>
        <w:rPr>
          <w:szCs w:val="22"/>
        </w:rPr>
      </w:pPr>
      <w:r>
        <w:rPr>
          <w:noProof/>
        </w:rPr>
        <w:drawing>
          <wp:inline distT="0" distB="0" distL="0" distR="0" wp14:anchorId="7F3E16C6" wp14:editId="6AE4A1E9">
            <wp:extent cx="5772150" cy="2943225"/>
            <wp:effectExtent l="0" t="0" r="0" b="9525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8AA901F" w14:textId="77777777" w:rsidR="00A52506" w:rsidRDefault="00A52506" w:rsidP="00E10D06">
      <w:pPr>
        <w:pStyle w:val="Nadpis3"/>
      </w:pPr>
      <w:bookmarkStart w:id="463" w:name="_Toc24641627"/>
      <w:r w:rsidRPr="00AC25B3">
        <w:lastRenderedPageBreak/>
        <w:t xml:space="preserve">Zaměstnávání </w:t>
      </w:r>
      <w:r>
        <w:t>OZP v ústředních orgánech státní správy dle uznaného stupně invalidity</w:t>
      </w:r>
      <w:bookmarkEnd w:id="463"/>
    </w:p>
    <w:p w14:paraId="0267C0A5" w14:textId="77777777" w:rsidR="00644C4E" w:rsidRPr="00EB7B9E" w:rsidRDefault="00612C2D" w:rsidP="00A14324">
      <w:pPr>
        <w:pStyle w:val="Podtitul"/>
      </w:pPr>
      <w:r>
        <w:t>Zaměstnanci</w:t>
      </w:r>
      <w:r w:rsidR="00644C4E" w:rsidRPr="00EB7B9E">
        <w:t xml:space="preserve"> se zdravotním znevýhodněním</w:t>
      </w:r>
    </w:p>
    <w:p w14:paraId="61563A14" w14:textId="77777777" w:rsidR="00644C4E" w:rsidRDefault="00644C4E" w:rsidP="00A34307">
      <w:pPr>
        <w:pStyle w:val="Odstavecseseznamem"/>
      </w:pPr>
      <w:r>
        <w:t>V ústředních orgánech státní správy bylo ve služebním a</w:t>
      </w:r>
      <w:r w:rsidRPr="004059B7">
        <w:t xml:space="preserve"> pracovním poměru</w:t>
      </w:r>
      <w:r>
        <w:t xml:space="preserve"> zaměstnáno celkem </w:t>
      </w:r>
      <w:r w:rsidR="0072720F">
        <w:t>14</w:t>
      </w:r>
      <w:r>
        <w:t xml:space="preserve"> osob se zdravotním znevýhodněním.</w:t>
      </w:r>
    </w:p>
    <w:p w14:paraId="43FEFDB0" w14:textId="77777777" w:rsidR="00644C4E" w:rsidRPr="004059B7" w:rsidRDefault="00644C4E" w:rsidP="00427569">
      <w:pPr>
        <w:pStyle w:val="Odstavecseseznamem"/>
      </w:pPr>
      <w:r>
        <w:t xml:space="preserve">Ve služebním poměru bylo </w:t>
      </w:r>
      <w:r w:rsidR="0072720F">
        <w:t>6</w:t>
      </w:r>
      <w:r>
        <w:t xml:space="preserve"> osob, z toho </w:t>
      </w:r>
      <w:r w:rsidR="0072720F">
        <w:t xml:space="preserve">nikdo neměl </w:t>
      </w:r>
      <w:r>
        <w:t>kratší služební dobu.</w:t>
      </w:r>
    </w:p>
    <w:p w14:paraId="2857336A" w14:textId="77777777" w:rsidR="00644C4E" w:rsidRDefault="00644C4E" w:rsidP="00427569">
      <w:pPr>
        <w:pStyle w:val="Odstavecseseznamem"/>
      </w:pPr>
      <w:r>
        <w:t>V pracovním poměru bylo</w:t>
      </w:r>
      <w:r w:rsidRPr="004059B7">
        <w:t xml:space="preserve"> </w:t>
      </w:r>
      <w:r w:rsidR="0072720F">
        <w:t>8</w:t>
      </w:r>
      <w:r>
        <w:t xml:space="preserve"> osob, z toho </w:t>
      </w:r>
      <w:r w:rsidRPr="004059B7">
        <w:t>prá</w:t>
      </w:r>
      <w:r w:rsidR="0072720F">
        <w:t>ci na zkrácený úvazek vykonávala jedna</w:t>
      </w:r>
      <w:r>
        <w:t>, což činí 1</w:t>
      </w:r>
      <w:r w:rsidR="00E13168">
        <w:t>2,5</w:t>
      </w:r>
      <w:r w:rsidR="00F575A5">
        <w:t xml:space="preserve"> %</w:t>
      </w:r>
      <w:r>
        <w:t>.</w:t>
      </w:r>
    </w:p>
    <w:p w14:paraId="345C2141" w14:textId="72D59604" w:rsidR="00644C4E" w:rsidRDefault="00644C4E" w:rsidP="00427569">
      <w:pPr>
        <w:pStyle w:val="Odstavecseseznamem"/>
      </w:pPr>
      <w:r>
        <w:t>N</w:t>
      </w:r>
      <w:r w:rsidRPr="004059B7">
        <w:t>a základě doho</w:t>
      </w:r>
      <w:r>
        <w:t xml:space="preserve">d práci dle šetření </w:t>
      </w:r>
      <w:r w:rsidR="0072720F">
        <w:t>vykonávaly</w:t>
      </w:r>
      <w:r>
        <w:t xml:space="preserve"> </w:t>
      </w:r>
      <w:r w:rsidR="0072720F">
        <w:t>dvě</w:t>
      </w:r>
      <w:r>
        <w:t xml:space="preserve"> osob</w:t>
      </w:r>
      <w:r w:rsidR="0072720F">
        <w:t>y</w:t>
      </w:r>
      <w:r>
        <w:t xml:space="preserve"> se zdravotním znevýhodněním.</w:t>
      </w:r>
    </w:p>
    <w:p w14:paraId="4D7499D9" w14:textId="77777777" w:rsidR="00644C4E" w:rsidRPr="00EB7B9E" w:rsidRDefault="00612C2D" w:rsidP="00A34307">
      <w:pPr>
        <w:pStyle w:val="Podtitul"/>
      </w:pPr>
      <w:r>
        <w:t>Zaměstnanci</w:t>
      </w:r>
      <w:r w:rsidR="00644C4E" w:rsidRPr="00EB7B9E">
        <w:t xml:space="preserve"> </w:t>
      </w:r>
      <w:r w:rsidR="00644C4E">
        <w:t>s uznaným prvním stupněm invalidity</w:t>
      </w:r>
    </w:p>
    <w:p w14:paraId="0D3EEE81" w14:textId="77777777" w:rsidR="00644C4E" w:rsidRDefault="00A44923" w:rsidP="00A34307">
      <w:pPr>
        <w:pStyle w:val="Odstavecseseznamem"/>
      </w:pPr>
      <w:r>
        <w:t xml:space="preserve">V ústředních orgánech státní správy </w:t>
      </w:r>
      <w:r w:rsidR="00644C4E">
        <w:t>bylo ve služebním a</w:t>
      </w:r>
      <w:r w:rsidR="00644C4E" w:rsidRPr="004059B7">
        <w:t xml:space="preserve"> pracovním poměru</w:t>
      </w:r>
      <w:r w:rsidR="00644C4E">
        <w:t xml:space="preserve"> zaměstnáno celkem </w:t>
      </w:r>
      <w:r>
        <w:t>35</w:t>
      </w:r>
      <w:r w:rsidR="00644C4E">
        <w:t xml:space="preserve"> osob s uznaným prvním stupněm invalidity.</w:t>
      </w:r>
    </w:p>
    <w:p w14:paraId="42508814" w14:textId="77777777" w:rsidR="00644C4E" w:rsidRPr="004059B7" w:rsidRDefault="00644C4E" w:rsidP="00427569">
      <w:pPr>
        <w:pStyle w:val="Odstavecseseznamem"/>
      </w:pPr>
      <w:r>
        <w:t xml:space="preserve">Ve služebním poměru bylo </w:t>
      </w:r>
      <w:r w:rsidR="00A44923">
        <w:t>16</w:t>
      </w:r>
      <w:r>
        <w:t xml:space="preserve"> osob, z toho </w:t>
      </w:r>
      <w:r w:rsidR="00A44923">
        <w:t>2 (</w:t>
      </w:r>
      <w:r w:rsidR="00E13168">
        <w:t>12,5</w:t>
      </w:r>
      <w:r w:rsidR="00F575A5">
        <w:t xml:space="preserve"> %</w:t>
      </w:r>
      <w:r w:rsidR="00A44923">
        <w:t>)</w:t>
      </w:r>
      <w:r>
        <w:t xml:space="preserve"> </w:t>
      </w:r>
      <w:r w:rsidR="00A44923">
        <w:t>měly</w:t>
      </w:r>
      <w:r>
        <w:t xml:space="preserve"> kratší služební dobu.</w:t>
      </w:r>
    </w:p>
    <w:p w14:paraId="26815078" w14:textId="77777777" w:rsidR="00644C4E" w:rsidRDefault="00644C4E" w:rsidP="00427569">
      <w:pPr>
        <w:pStyle w:val="Odstavecseseznamem"/>
      </w:pPr>
      <w:r>
        <w:t>V pracovním poměru bylo</w:t>
      </w:r>
      <w:r w:rsidRPr="004059B7">
        <w:t xml:space="preserve"> </w:t>
      </w:r>
      <w:r w:rsidR="00A44923">
        <w:t>19</w:t>
      </w:r>
      <w:r>
        <w:t xml:space="preserve"> osob, z toho </w:t>
      </w:r>
      <w:r w:rsidRPr="004059B7">
        <w:t>prá</w:t>
      </w:r>
      <w:r>
        <w:t>c</w:t>
      </w:r>
      <w:r w:rsidR="00A44923">
        <w:t>i na zkrácený úvazek nevykonával nikdo</w:t>
      </w:r>
      <w:r>
        <w:t>.</w:t>
      </w:r>
    </w:p>
    <w:p w14:paraId="49F8BFF8" w14:textId="06E90826" w:rsidR="00644C4E" w:rsidRDefault="00644C4E" w:rsidP="00427569">
      <w:pPr>
        <w:pStyle w:val="Odstavecseseznamem"/>
      </w:pPr>
      <w:r>
        <w:t>N</w:t>
      </w:r>
      <w:r w:rsidRPr="004059B7">
        <w:t>a základě doho</w:t>
      </w:r>
      <w:r>
        <w:t xml:space="preserve">d </w:t>
      </w:r>
      <w:r w:rsidR="00A44923">
        <w:t>práci dle šetření vykonávaly dvě</w:t>
      </w:r>
      <w:r>
        <w:t xml:space="preserve"> osob</w:t>
      </w:r>
      <w:r w:rsidR="00A44923">
        <w:t>y</w:t>
      </w:r>
      <w:r>
        <w:t xml:space="preserve"> s uznaným prvním stupněm invalidity.</w:t>
      </w:r>
    </w:p>
    <w:p w14:paraId="66E965A8" w14:textId="77777777" w:rsidR="00644C4E" w:rsidRPr="00EB7B9E" w:rsidRDefault="00612C2D" w:rsidP="00A34307">
      <w:pPr>
        <w:pStyle w:val="Podtitul"/>
      </w:pPr>
      <w:r>
        <w:t>Zaměstnanci</w:t>
      </w:r>
      <w:r w:rsidR="00644C4E" w:rsidRPr="00EB7B9E">
        <w:t xml:space="preserve"> </w:t>
      </w:r>
      <w:r w:rsidR="00644C4E">
        <w:t>s uznaným druhým stupněm invalidity</w:t>
      </w:r>
    </w:p>
    <w:p w14:paraId="22EDD2B2" w14:textId="77777777" w:rsidR="00644C4E" w:rsidRDefault="00644C4E" w:rsidP="00A34307">
      <w:pPr>
        <w:pStyle w:val="Odstavecseseznamem"/>
      </w:pPr>
      <w:r>
        <w:t>V</w:t>
      </w:r>
      <w:r w:rsidRPr="00204D91">
        <w:t>e vybraných organizačních složkách ministerstev</w:t>
      </w:r>
      <w:r w:rsidRPr="00A34307">
        <w:rPr>
          <w:color w:val="365F91" w:themeColor="accent1" w:themeShade="BF"/>
        </w:rPr>
        <w:t xml:space="preserve"> </w:t>
      </w:r>
      <w:r>
        <w:t>bylo ve služebním a</w:t>
      </w:r>
      <w:r w:rsidRPr="004059B7">
        <w:t xml:space="preserve"> pracovním poměru</w:t>
      </w:r>
      <w:r>
        <w:t xml:space="preserve"> zaměstnáno celkem </w:t>
      </w:r>
      <w:r w:rsidR="00996697">
        <w:t>10</w:t>
      </w:r>
      <w:r>
        <w:t xml:space="preserve"> osob </w:t>
      </w:r>
      <w:r w:rsidRPr="00B32025">
        <w:t>s uznaným druhým stupněm invalidity</w:t>
      </w:r>
      <w:r>
        <w:t>.</w:t>
      </w:r>
    </w:p>
    <w:p w14:paraId="18B8C963" w14:textId="77777777" w:rsidR="00644C4E" w:rsidRPr="004059B7" w:rsidRDefault="00996697" w:rsidP="00427569">
      <w:pPr>
        <w:pStyle w:val="Odstavecseseznamem"/>
      </w:pPr>
      <w:r>
        <w:t>Ve služebním poměru byly</w:t>
      </w:r>
      <w:r w:rsidR="00644C4E">
        <w:t xml:space="preserve"> </w:t>
      </w:r>
      <w:r>
        <w:t>4</w:t>
      </w:r>
      <w:r w:rsidR="00644C4E">
        <w:t xml:space="preserve"> osob</w:t>
      </w:r>
      <w:r>
        <w:t>y</w:t>
      </w:r>
      <w:r w:rsidR="00644C4E">
        <w:t xml:space="preserve">, </w:t>
      </w:r>
      <w:r>
        <w:t xml:space="preserve">2 z nich </w:t>
      </w:r>
      <w:r w:rsidR="00644C4E">
        <w:t>měl</w:t>
      </w:r>
      <w:r>
        <w:t>y</w:t>
      </w:r>
      <w:r w:rsidR="00644C4E">
        <w:t xml:space="preserve"> kratší služební dobu</w:t>
      </w:r>
      <w:r>
        <w:t xml:space="preserve"> (50</w:t>
      </w:r>
      <w:r w:rsidR="00F575A5">
        <w:t xml:space="preserve"> %</w:t>
      </w:r>
      <w:r w:rsidR="00644C4E">
        <w:t>).</w:t>
      </w:r>
    </w:p>
    <w:p w14:paraId="0412A2D3" w14:textId="77777777" w:rsidR="00644C4E" w:rsidRDefault="00644C4E" w:rsidP="00427569">
      <w:pPr>
        <w:pStyle w:val="Odstavecseseznamem"/>
      </w:pPr>
      <w:r>
        <w:t xml:space="preserve">V pracovním poměru </w:t>
      </w:r>
      <w:r w:rsidRPr="007C061B">
        <w:t xml:space="preserve">bylo </w:t>
      </w:r>
      <w:r w:rsidR="00996697">
        <w:t>6</w:t>
      </w:r>
      <w:r w:rsidRPr="007C061B">
        <w:t xml:space="preserve"> osob, z toho práci na zkrácený úvazek vykonával</w:t>
      </w:r>
      <w:r w:rsidR="00996697">
        <w:t>y</w:t>
      </w:r>
      <w:r w:rsidRPr="007C061B">
        <w:t xml:space="preserve"> </w:t>
      </w:r>
      <w:r w:rsidR="00D67B66">
        <w:t xml:space="preserve">také </w:t>
      </w:r>
      <w:r w:rsidR="00996697">
        <w:t>dvě</w:t>
      </w:r>
      <w:r w:rsidRPr="007C061B">
        <w:t xml:space="preserve"> osoby, což činí </w:t>
      </w:r>
      <w:r w:rsidR="00996697">
        <w:t>33,3</w:t>
      </w:r>
      <w:r w:rsidR="00F575A5">
        <w:t xml:space="preserve"> %</w:t>
      </w:r>
      <w:r w:rsidRPr="007C061B">
        <w:t>.</w:t>
      </w:r>
    </w:p>
    <w:p w14:paraId="59FD338B" w14:textId="1EA3B21A" w:rsidR="00644C4E" w:rsidRDefault="00644C4E" w:rsidP="00427569">
      <w:pPr>
        <w:pStyle w:val="Odstavecseseznamem"/>
      </w:pPr>
      <w:r>
        <w:t>N</w:t>
      </w:r>
      <w:r w:rsidRPr="004059B7">
        <w:t>a základě doho</w:t>
      </w:r>
      <w:r>
        <w:t xml:space="preserve">d práci dle šetření </w:t>
      </w:r>
      <w:r w:rsidR="00996697">
        <w:t>nevykonával</w:t>
      </w:r>
      <w:r>
        <w:t xml:space="preserve"> </w:t>
      </w:r>
      <w:r w:rsidR="00996697">
        <w:t>nikdo</w:t>
      </w:r>
      <w:r>
        <w:t xml:space="preserve"> </w:t>
      </w:r>
      <w:r w:rsidRPr="00B32025">
        <w:t>s uznaným druhým stupněm invalidity</w:t>
      </w:r>
      <w:r>
        <w:t>.</w:t>
      </w:r>
    </w:p>
    <w:p w14:paraId="61AF52DB" w14:textId="77777777" w:rsidR="00644C4E" w:rsidRPr="007D5114" w:rsidRDefault="00612C2D" w:rsidP="007D5114">
      <w:pPr>
        <w:pStyle w:val="Podtitul"/>
      </w:pPr>
      <w:r>
        <w:t>Zaměstnanci</w:t>
      </w:r>
      <w:r w:rsidR="00644C4E" w:rsidRPr="00EB7B9E">
        <w:t xml:space="preserve"> </w:t>
      </w:r>
      <w:r w:rsidR="00644C4E">
        <w:t>s uznaným třetím stupněm invalidity</w:t>
      </w:r>
    </w:p>
    <w:p w14:paraId="1E0A82F6" w14:textId="77777777" w:rsidR="00644C4E" w:rsidRDefault="00644C4E" w:rsidP="00A34307">
      <w:pPr>
        <w:pStyle w:val="Odstavecseseznamem"/>
      </w:pPr>
      <w:r>
        <w:t>V</w:t>
      </w:r>
      <w:r w:rsidRPr="00204D91">
        <w:t>e vybraných organizačních složkách ministerstev</w:t>
      </w:r>
      <w:r w:rsidRPr="00A34307">
        <w:rPr>
          <w:color w:val="365F91" w:themeColor="accent1" w:themeShade="BF"/>
        </w:rPr>
        <w:t xml:space="preserve"> </w:t>
      </w:r>
      <w:r>
        <w:t>bylo ve služebním a</w:t>
      </w:r>
      <w:r w:rsidRPr="004059B7">
        <w:t xml:space="preserve"> pracovním poměru</w:t>
      </w:r>
      <w:r>
        <w:t xml:space="preserve"> zaměstnáno celkem</w:t>
      </w:r>
      <w:r w:rsidR="00CF472F">
        <w:t xml:space="preserve"> 14</w:t>
      </w:r>
      <w:r>
        <w:t xml:space="preserve"> osob </w:t>
      </w:r>
      <w:r w:rsidRPr="00B32025">
        <w:t xml:space="preserve">s uznaným </w:t>
      </w:r>
      <w:r>
        <w:t>třetím</w:t>
      </w:r>
      <w:r w:rsidRPr="00B32025">
        <w:t xml:space="preserve"> stupněm invalidity</w:t>
      </w:r>
      <w:r w:rsidR="00233367">
        <w:t>.</w:t>
      </w:r>
    </w:p>
    <w:p w14:paraId="144EE452" w14:textId="77777777" w:rsidR="00644C4E" w:rsidRPr="004059B7" w:rsidRDefault="00644C4E" w:rsidP="00427569">
      <w:pPr>
        <w:pStyle w:val="Odstavecseseznamem"/>
      </w:pPr>
      <w:r>
        <w:t xml:space="preserve">Ve služebním poměru bylo </w:t>
      </w:r>
      <w:r w:rsidR="00CF472F">
        <w:t>5</w:t>
      </w:r>
      <w:r>
        <w:t xml:space="preserve"> osob, z toho </w:t>
      </w:r>
      <w:r w:rsidR="00E13168">
        <w:t>40</w:t>
      </w:r>
      <w:r w:rsidR="00F575A5">
        <w:t xml:space="preserve"> %</w:t>
      </w:r>
      <w:r>
        <w:t>, 2 osob</w:t>
      </w:r>
      <w:r w:rsidR="00CF472F">
        <w:t>y</w:t>
      </w:r>
      <w:r>
        <w:t>, měl</w:t>
      </w:r>
      <w:r w:rsidR="00CF472F">
        <w:t>y</w:t>
      </w:r>
      <w:r>
        <w:t xml:space="preserve"> kratší služební dobu.</w:t>
      </w:r>
    </w:p>
    <w:p w14:paraId="3199E62C" w14:textId="77777777" w:rsidR="00644C4E" w:rsidRDefault="00644C4E" w:rsidP="00427569">
      <w:pPr>
        <w:pStyle w:val="Odstavecseseznamem"/>
      </w:pPr>
      <w:r>
        <w:lastRenderedPageBreak/>
        <w:t>V pracovním poměru bylo</w:t>
      </w:r>
      <w:r w:rsidRPr="004059B7">
        <w:t xml:space="preserve"> </w:t>
      </w:r>
      <w:r w:rsidR="00CF472F">
        <w:t>9</w:t>
      </w:r>
      <w:r>
        <w:t xml:space="preserve"> osob, z toho </w:t>
      </w:r>
      <w:r w:rsidRPr="004059B7">
        <w:t>prá</w:t>
      </w:r>
      <w:r>
        <w:t>ci na zkrácený úvazek vykonával</w:t>
      </w:r>
      <w:r w:rsidR="00CF472F">
        <w:t>y</w:t>
      </w:r>
      <w:r>
        <w:t xml:space="preserve"> </w:t>
      </w:r>
      <w:r w:rsidR="00233367">
        <w:t xml:space="preserve">také </w:t>
      </w:r>
      <w:r w:rsidR="00CF472F">
        <w:t>2</w:t>
      </w:r>
      <w:r w:rsidR="00233367">
        <w:t> </w:t>
      </w:r>
      <w:r>
        <w:t>osob</w:t>
      </w:r>
      <w:r w:rsidR="00CF472F">
        <w:t>y</w:t>
      </w:r>
      <w:r>
        <w:t xml:space="preserve">, tedy </w:t>
      </w:r>
      <w:r w:rsidR="00E13168">
        <w:t>22,2</w:t>
      </w:r>
      <w:r w:rsidR="00F575A5">
        <w:t xml:space="preserve"> %</w:t>
      </w:r>
      <w:r>
        <w:t>.</w:t>
      </w:r>
    </w:p>
    <w:p w14:paraId="781FEB4A" w14:textId="08F4640B" w:rsidR="00644C4E" w:rsidRDefault="00644C4E" w:rsidP="00427569">
      <w:pPr>
        <w:pStyle w:val="Odstavecseseznamem"/>
      </w:pPr>
      <w:r>
        <w:t>N</w:t>
      </w:r>
      <w:r w:rsidRPr="004059B7">
        <w:t>a základě doho</w:t>
      </w:r>
      <w:r>
        <w:t>d prá</w:t>
      </w:r>
      <w:r w:rsidR="00CF472F">
        <w:t>ci dle šetření vykonával</w:t>
      </w:r>
      <w:r w:rsidR="000A337B">
        <w:t>a jedna osoba</w:t>
      </w:r>
      <w:r>
        <w:t xml:space="preserve"> </w:t>
      </w:r>
      <w:r w:rsidRPr="00B32025">
        <w:t xml:space="preserve">s uznaným </w:t>
      </w:r>
      <w:r>
        <w:t>třetím</w:t>
      </w:r>
      <w:r w:rsidRPr="00B32025">
        <w:t xml:space="preserve"> stupněm invalidity</w:t>
      </w:r>
      <w:r>
        <w:t>.</w:t>
      </w:r>
    </w:p>
    <w:p w14:paraId="7B9276C2" w14:textId="06DB57BD" w:rsidR="005962AE" w:rsidRPr="005962AE" w:rsidRDefault="005962AE" w:rsidP="00C320A8">
      <w:pPr>
        <w:pStyle w:val="Titulek"/>
      </w:pPr>
      <w:bookmarkStart w:id="464" w:name="_Toc45513003"/>
      <w:r w:rsidRPr="005962AE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28</w:t>
      </w:r>
      <w:r w:rsidR="00FC5B08">
        <w:rPr>
          <w:noProof/>
        </w:rPr>
        <w:fldChar w:fldCharType="end"/>
      </w:r>
      <w:r w:rsidRPr="005962AE">
        <w:t xml:space="preserve"> Počet OZP dle uznaného stupně invalidity v ústředních orgánech státní správy</w:t>
      </w:r>
      <w:bookmarkEnd w:id="464"/>
    </w:p>
    <w:p w14:paraId="3CE2DA80" w14:textId="77777777" w:rsidR="00CB5047" w:rsidRPr="00A34307" w:rsidRDefault="005962AE" w:rsidP="00E35CD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7531E207" wp14:editId="15B913CB">
            <wp:extent cx="5695950" cy="3295650"/>
            <wp:effectExtent l="0" t="0" r="0" b="0"/>
            <wp:docPr id="56" name="Graf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5E53B3C" w14:textId="5D1F2106" w:rsidR="00DC46D8" w:rsidRDefault="00F602DB" w:rsidP="00C320A8">
      <w:pPr>
        <w:pStyle w:val="Titulek"/>
      </w:pPr>
      <w:bookmarkStart w:id="465" w:name="_Toc45513004"/>
      <w:r w:rsidRPr="00A43C36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29</w:t>
      </w:r>
      <w:r w:rsidR="00FC5B08">
        <w:rPr>
          <w:noProof/>
        </w:rPr>
        <w:fldChar w:fldCharType="end"/>
      </w:r>
      <w:r w:rsidRPr="00A43C36">
        <w:t xml:space="preserve"> </w:t>
      </w:r>
      <w:r>
        <w:t>Podíl OZP</w:t>
      </w:r>
      <w:r w:rsidRPr="00A43C36">
        <w:t xml:space="preserve"> </w:t>
      </w:r>
      <w:r>
        <w:t xml:space="preserve">se zkráceným úvazkem </w:t>
      </w:r>
      <w:r w:rsidRPr="00A43C36">
        <w:t>dle uznaného st</w:t>
      </w:r>
      <w:r>
        <w:t>upně invalidity v organizačních složkách ministerstev</w:t>
      </w:r>
      <w:bookmarkEnd w:id="465"/>
    </w:p>
    <w:p w14:paraId="261E6BBA" w14:textId="77777777" w:rsidR="00F55FD7" w:rsidRPr="00F55FD7" w:rsidRDefault="00AE5D5C" w:rsidP="00E35CD7">
      <w:pPr>
        <w:jc w:val="center"/>
      </w:pPr>
      <w:r>
        <w:rPr>
          <w:noProof/>
        </w:rPr>
        <w:drawing>
          <wp:inline distT="0" distB="0" distL="0" distR="0" wp14:anchorId="7838FFED" wp14:editId="3D9EE0FD">
            <wp:extent cx="5667375" cy="2857500"/>
            <wp:effectExtent l="0" t="0" r="9525" b="0"/>
            <wp:docPr id="57" name="Graf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8178CDE" w14:textId="77777777" w:rsidR="006519D2" w:rsidRPr="00A977C4" w:rsidRDefault="008C48DA" w:rsidP="00E10D06">
      <w:pPr>
        <w:pStyle w:val="Nadpis3"/>
      </w:pPr>
      <w:r w:rsidRPr="00A977C4">
        <w:lastRenderedPageBreak/>
        <w:t>Shrnutí</w:t>
      </w:r>
    </w:p>
    <w:p w14:paraId="3A8419BC" w14:textId="0D1106A2" w:rsidR="00D43420" w:rsidRDefault="006519D2" w:rsidP="00A34307">
      <w:r w:rsidRPr="00F717E3">
        <w:t xml:space="preserve">Z celkového počtu zaměstnaných OZP </w:t>
      </w:r>
      <w:r w:rsidR="008D2E25">
        <w:t>byly</w:t>
      </w:r>
      <w:r w:rsidRPr="00F717E3">
        <w:t xml:space="preserve"> nejvíce zastoupeny osoby s </w:t>
      </w:r>
      <w:r w:rsidR="00F931B9" w:rsidRPr="00F717E3">
        <w:t>uznaným</w:t>
      </w:r>
      <w:r w:rsidRPr="00F717E3">
        <w:t xml:space="preserve"> prvním </w:t>
      </w:r>
      <w:r w:rsidRPr="00A34307">
        <w:t>stupněm invalidity (61,5</w:t>
      </w:r>
      <w:r w:rsidR="00F575A5" w:rsidRPr="00A34307">
        <w:t xml:space="preserve"> %</w:t>
      </w:r>
      <w:r w:rsidRPr="00A34307">
        <w:t>), z nichž většinu tvoř</w:t>
      </w:r>
      <w:r w:rsidR="008D2E25">
        <w:t>ily</w:t>
      </w:r>
      <w:r w:rsidRPr="00A34307">
        <w:t xml:space="preserve"> ženy (77,5</w:t>
      </w:r>
      <w:r w:rsidR="00F575A5" w:rsidRPr="00A34307">
        <w:t xml:space="preserve"> %</w:t>
      </w:r>
      <w:r w:rsidRPr="00A34307">
        <w:t>).</w:t>
      </w:r>
      <w:r w:rsidR="00F74CE6" w:rsidRPr="00A34307">
        <w:t xml:space="preserve"> </w:t>
      </w:r>
      <w:r w:rsidR="00844EC9" w:rsidRPr="00A34307">
        <w:rPr>
          <w:b/>
          <w:bCs/>
        </w:rPr>
        <w:t xml:space="preserve">Nejpočetnější skupinou </w:t>
      </w:r>
      <w:r w:rsidR="008D2E25">
        <w:rPr>
          <w:b/>
          <w:bCs/>
        </w:rPr>
        <w:t>byly</w:t>
      </w:r>
      <w:r w:rsidR="00844EC9" w:rsidRPr="00A34307">
        <w:rPr>
          <w:b/>
          <w:bCs/>
        </w:rPr>
        <w:t xml:space="preserve"> osoby s uznaným prvním stupněm inval</w:t>
      </w:r>
      <w:r w:rsidR="00CE40FE" w:rsidRPr="00A34307">
        <w:rPr>
          <w:b/>
          <w:bCs/>
        </w:rPr>
        <w:t>idity ve služebním poměru</w:t>
      </w:r>
      <w:r w:rsidR="00CE40FE" w:rsidRPr="00A34307">
        <w:t>, jejichž</w:t>
      </w:r>
      <w:r w:rsidR="00844EC9" w:rsidRPr="00A34307">
        <w:t xml:space="preserve"> podíl tvoř</w:t>
      </w:r>
      <w:r w:rsidR="008D2E25">
        <w:t>il</w:t>
      </w:r>
      <w:r w:rsidR="00844EC9" w:rsidRPr="00A34307">
        <w:t xml:space="preserve"> téměř 47</w:t>
      </w:r>
      <w:r w:rsidR="00F575A5" w:rsidRPr="00A34307">
        <w:t xml:space="preserve"> %</w:t>
      </w:r>
      <w:r w:rsidR="00844EC9" w:rsidRPr="00A34307">
        <w:t xml:space="preserve"> všech zaměstnanců se zdravotním postižením ve státní správě. </w:t>
      </w:r>
      <w:r w:rsidR="00F74CE6" w:rsidRPr="00A34307">
        <w:t xml:space="preserve">S výrazným </w:t>
      </w:r>
      <w:r w:rsidR="00492203" w:rsidRPr="00A34307">
        <w:t xml:space="preserve">odstupem </w:t>
      </w:r>
      <w:r w:rsidR="00F74CE6" w:rsidRPr="00A34307">
        <w:t>násled</w:t>
      </w:r>
      <w:r w:rsidR="008D2E25">
        <w:t xml:space="preserve">ovaly </w:t>
      </w:r>
      <w:r w:rsidR="00F74CE6" w:rsidRPr="00A34307">
        <w:t>osoby s uznaným druhým stupněm</w:t>
      </w:r>
      <w:r w:rsidR="00710A62" w:rsidRPr="00A34307">
        <w:t xml:space="preserve"> invalidity, kterých </w:t>
      </w:r>
      <w:r w:rsidR="008D2E25">
        <w:t>bylo</w:t>
      </w:r>
      <w:r w:rsidR="00710A62" w:rsidRPr="00A34307">
        <w:t xml:space="preserve"> </w:t>
      </w:r>
      <w:r w:rsidR="00F74CE6" w:rsidRPr="00A34307">
        <w:t>17,3</w:t>
      </w:r>
      <w:r w:rsidR="00F575A5" w:rsidRPr="00A34307">
        <w:t xml:space="preserve"> %</w:t>
      </w:r>
      <w:r w:rsidR="00710A62" w:rsidRPr="00A34307">
        <w:t xml:space="preserve"> (podíl žen čin</w:t>
      </w:r>
      <w:r w:rsidR="008D2E25">
        <w:t>il</w:t>
      </w:r>
      <w:r w:rsidR="00710A62" w:rsidRPr="00A34307">
        <w:t xml:space="preserve"> 76,5</w:t>
      </w:r>
      <w:r w:rsidR="00F575A5" w:rsidRPr="00A34307">
        <w:t xml:space="preserve"> %</w:t>
      </w:r>
      <w:r w:rsidR="00710A62" w:rsidRPr="00A34307">
        <w:t>), a osoby se zdravotním znevýhodněním s 12,2</w:t>
      </w:r>
      <w:r w:rsidR="00F575A5" w:rsidRPr="00A34307">
        <w:t xml:space="preserve"> %</w:t>
      </w:r>
      <w:r w:rsidR="00710A62" w:rsidRPr="00A34307">
        <w:t xml:space="preserve"> (podíl žen čin</w:t>
      </w:r>
      <w:r w:rsidR="008D2E25">
        <w:t xml:space="preserve">il </w:t>
      </w:r>
      <w:r w:rsidR="00710A62" w:rsidRPr="00A34307">
        <w:t>67,5</w:t>
      </w:r>
      <w:r w:rsidR="00F575A5" w:rsidRPr="00A34307">
        <w:t xml:space="preserve"> %</w:t>
      </w:r>
      <w:r w:rsidR="00710A62" w:rsidRPr="00A34307">
        <w:t>).</w:t>
      </w:r>
      <w:r w:rsidR="00F931B9" w:rsidRPr="00A34307">
        <w:t xml:space="preserve"> </w:t>
      </w:r>
      <w:r w:rsidR="00F931B9" w:rsidRPr="00A34307">
        <w:rPr>
          <w:b/>
          <w:bCs/>
        </w:rPr>
        <w:t>N</w:t>
      </w:r>
      <w:r w:rsidR="00710A62" w:rsidRPr="00A34307">
        <w:rPr>
          <w:b/>
          <w:bCs/>
        </w:rPr>
        <w:t>ejméně početnou skupinu tvoř</w:t>
      </w:r>
      <w:r w:rsidR="008D2E25">
        <w:rPr>
          <w:b/>
          <w:bCs/>
        </w:rPr>
        <w:t>ily</w:t>
      </w:r>
      <w:r w:rsidR="00710A62" w:rsidRPr="00A34307">
        <w:rPr>
          <w:b/>
          <w:bCs/>
        </w:rPr>
        <w:t xml:space="preserve"> osoby se třetím </w:t>
      </w:r>
      <w:r w:rsidR="00F931B9" w:rsidRPr="00A34307">
        <w:rPr>
          <w:b/>
          <w:bCs/>
        </w:rPr>
        <w:t>stupněm invalidity</w:t>
      </w:r>
      <w:r w:rsidR="00F931B9" w:rsidRPr="00A34307">
        <w:t xml:space="preserve"> s</w:t>
      </w:r>
      <w:r w:rsidR="00556845" w:rsidRPr="00A34307">
        <w:t> </w:t>
      </w:r>
      <w:r w:rsidR="00F931B9" w:rsidRPr="00A34307">
        <w:t>9</w:t>
      </w:r>
      <w:r w:rsidR="00F575A5" w:rsidRPr="00A34307">
        <w:t xml:space="preserve"> %</w:t>
      </w:r>
      <w:r w:rsidR="00E54D96" w:rsidRPr="00A34307">
        <w:t>,</w:t>
      </w:r>
      <w:r w:rsidR="00877B1E" w:rsidRPr="00A34307">
        <w:t xml:space="preserve"> ve které </w:t>
      </w:r>
      <w:r w:rsidR="008D2E25">
        <w:t>byl</w:t>
      </w:r>
      <w:r w:rsidR="00877B1E" w:rsidRPr="00A34307">
        <w:t xml:space="preserve"> zároveň ze všech skupin nejnižší rozdíl mez</w:t>
      </w:r>
      <w:r w:rsidR="008838AB" w:rsidRPr="00A34307">
        <w:t>i</w:t>
      </w:r>
      <w:r w:rsidR="00877B1E" w:rsidRPr="00A34307">
        <w:t xml:space="preserve"> počtem mužů a žen, </w:t>
      </w:r>
      <w:r w:rsidR="00E54D96" w:rsidRPr="00A34307">
        <w:t>podíl</w:t>
      </w:r>
      <w:r w:rsidR="008838AB" w:rsidRPr="00A34307">
        <w:t xml:space="preserve"> žen</w:t>
      </w:r>
      <w:r w:rsidR="00844EC9" w:rsidRPr="00A34307">
        <w:t xml:space="preserve"> zde dosah</w:t>
      </w:r>
      <w:r w:rsidR="008D2E25">
        <w:t>oval</w:t>
      </w:r>
      <w:r w:rsidR="00844EC9" w:rsidRPr="00A34307">
        <w:t xml:space="preserve"> 61,2</w:t>
      </w:r>
      <w:r w:rsidR="00F575A5" w:rsidRPr="00A34307">
        <w:t xml:space="preserve"> %</w:t>
      </w:r>
      <w:r w:rsidR="00844EC9" w:rsidRPr="00A34307">
        <w:t xml:space="preserve">. Zaměstnanci se třetím stupněm invalidity v pracovním poměru pak </w:t>
      </w:r>
      <w:r w:rsidR="008D2E25">
        <w:t xml:space="preserve">byly </w:t>
      </w:r>
      <w:r w:rsidR="00844EC9" w:rsidRPr="00A34307">
        <w:t>s</w:t>
      </w:r>
      <w:r w:rsidR="00844EC9" w:rsidRPr="00844EC9">
        <w:t xml:space="preserve"> 2,7</w:t>
      </w:r>
      <w:r w:rsidR="00F575A5">
        <w:t xml:space="preserve"> %</w:t>
      </w:r>
      <w:r w:rsidR="00844EC9" w:rsidRPr="00844EC9">
        <w:t xml:space="preserve"> </w:t>
      </w:r>
      <w:r w:rsidR="003C2DA8" w:rsidRPr="003C2DA8">
        <w:t>vůbec</w:t>
      </w:r>
      <w:r w:rsidR="003C2DA8">
        <w:t xml:space="preserve"> </w:t>
      </w:r>
      <w:r w:rsidR="00844EC9" w:rsidRPr="00844EC9">
        <w:t>nejmenší skupinou o</w:t>
      </w:r>
      <w:r w:rsidR="003008AE">
        <w:t>sob se zdravotním postižením ve </w:t>
      </w:r>
      <w:r w:rsidR="005A6744">
        <w:t>vybraných úřadech státní správy</w:t>
      </w:r>
      <w:r w:rsidR="00844EC9" w:rsidRPr="00844EC9">
        <w:t>.</w:t>
      </w:r>
    </w:p>
    <w:p w14:paraId="2C57FE6D" w14:textId="69560C18" w:rsidR="00FA41DB" w:rsidRDefault="00D43420" w:rsidP="00961DE8">
      <w:r w:rsidRPr="0009152C">
        <w:t>Největší rozdíl v podílu zaměstnávání žen a mužů dle uznaného stupně invalidity je patrný</w:t>
      </w:r>
      <w:r w:rsidR="0009152C">
        <w:t xml:space="preserve"> u </w:t>
      </w:r>
      <w:r w:rsidRPr="0009152C">
        <w:t xml:space="preserve">osob s uznaným třetím stupněm invalidity, kdy zaměstnaných mužů s tímto stupněm </w:t>
      </w:r>
      <w:r w:rsidR="005A7837">
        <w:t>bylo</w:t>
      </w:r>
      <w:r w:rsidRPr="0009152C">
        <w:t xml:space="preserve"> dvakrát více než žen (14</w:t>
      </w:r>
      <w:r w:rsidR="00F575A5">
        <w:t xml:space="preserve"> %</w:t>
      </w:r>
      <w:r w:rsidRPr="0009152C">
        <w:t xml:space="preserve"> vs. 7</w:t>
      </w:r>
      <w:r w:rsidR="00F575A5">
        <w:t xml:space="preserve"> %</w:t>
      </w:r>
      <w:r w:rsidRPr="0009152C">
        <w:t xml:space="preserve">), taktéž </w:t>
      </w:r>
      <w:r w:rsidR="005A7837">
        <w:t>byl</w:t>
      </w:r>
      <w:r w:rsidRPr="0009152C">
        <w:t xml:space="preserve"> větší podíl zaměstnaných mužů se</w:t>
      </w:r>
      <w:r w:rsidR="005A7837">
        <w:t> </w:t>
      </w:r>
      <w:r w:rsidRPr="0009152C">
        <w:t>zdravotním znevýhodněním (16</w:t>
      </w:r>
      <w:r w:rsidR="00F575A5">
        <w:t xml:space="preserve"> %</w:t>
      </w:r>
      <w:r w:rsidRPr="0009152C">
        <w:t xml:space="preserve"> vs. 11</w:t>
      </w:r>
      <w:r w:rsidR="00F575A5">
        <w:t xml:space="preserve"> %</w:t>
      </w:r>
      <w:r w:rsidRPr="0009152C">
        <w:t>). Naopak zaměstnaných že</w:t>
      </w:r>
      <w:r w:rsidR="00F14C57">
        <w:t>n s uznaným prvním stupněm</w:t>
      </w:r>
      <w:r w:rsidR="00CE40FE">
        <w:t xml:space="preserve"> invalidity</w:t>
      </w:r>
      <w:r w:rsidR="00F14C57">
        <w:t xml:space="preserve"> </w:t>
      </w:r>
      <w:r w:rsidR="005A7837">
        <w:t>bylo</w:t>
      </w:r>
      <w:r w:rsidR="00F14C57">
        <w:t xml:space="preserve"> o </w:t>
      </w:r>
      <w:r w:rsidRPr="0009152C">
        <w:t>10</w:t>
      </w:r>
      <w:r w:rsidR="00F575A5">
        <w:t xml:space="preserve"> %</w:t>
      </w:r>
      <w:r w:rsidRPr="0009152C">
        <w:t xml:space="preserve"> více než mužů (64</w:t>
      </w:r>
      <w:r w:rsidR="00F575A5">
        <w:t xml:space="preserve"> %</w:t>
      </w:r>
      <w:r w:rsidRPr="0009152C">
        <w:t xml:space="preserve"> vs. 54</w:t>
      </w:r>
      <w:r w:rsidR="00F575A5">
        <w:t xml:space="preserve"> %</w:t>
      </w:r>
      <w:r w:rsidRPr="0009152C">
        <w:t xml:space="preserve">), ve druhém </w:t>
      </w:r>
      <w:r w:rsidR="00CE40FE">
        <w:t xml:space="preserve">stupni </w:t>
      </w:r>
      <w:r w:rsidRPr="0009152C">
        <w:t>pak rozdíl čin</w:t>
      </w:r>
      <w:r w:rsidR="005A7837">
        <w:t>il</w:t>
      </w:r>
      <w:r w:rsidRPr="0009152C">
        <w:t xml:space="preserve"> 2</w:t>
      </w:r>
      <w:r w:rsidR="00F575A5">
        <w:t xml:space="preserve"> %</w:t>
      </w:r>
      <w:r w:rsidRPr="0009152C">
        <w:t xml:space="preserve"> (18</w:t>
      </w:r>
      <w:r w:rsidR="003008AE">
        <w:t> </w:t>
      </w:r>
      <w:r w:rsidR="00F575A5">
        <w:t>%</w:t>
      </w:r>
      <w:r w:rsidRPr="0009152C">
        <w:t xml:space="preserve"> vs. 16</w:t>
      </w:r>
      <w:r w:rsidR="00F575A5">
        <w:t xml:space="preserve"> %</w:t>
      </w:r>
      <w:r w:rsidRPr="0009152C">
        <w:t xml:space="preserve">).  </w:t>
      </w:r>
      <w:r w:rsidR="003A3C7C">
        <w:t>Liš</w:t>
      </w:r>
      <w:r w:rsidR="005A7837">
        <w:t>í</w:t>
      </w:r>
      <w:r w:rsidR="003A3C7C">
        <w:t xml:space="preserve"> se také míra využívání zkrácených úvazků. </w:t>
      </w:r>
      <w:r w:rsidR="003A3C7C" w:rsidRPr="00A34307">
        <w:rPr>
          <w:b/>
          <w:bCs/>
        </w:rPr>
        <w:t xml:space="preserve">Největší podíl </w:t>
      </w:r>
      <w:r w:rsidR="00E43CC7" w:rsidRPr="00A34307">
        <w:rPr>
          <w:b/>
          <w:bCs/>
        </w:rPr>
        <w:t>zaměstnanců se </w:t>
      </w:r>
      <w:r w:rsidR="00F14C57" w:rsidRPr="00A34307">
        <w:rPr>
          <w:b/>
          <w:bCs/>
        </w:rPr>
        <w:t>zdravotním postižením</w:t>
      </w:r>
      <w:r w:rsidR="003A3C7C" w:rsidRPr="00A34307">
        <w:rPr>
          <w:b/>
          <w:bCs/>
        </w:rPr>
        <w:t xml:space="preserve"> s kratší </w:t>
      </w:r>
      <w:r w:rsidR="009E668D" w:rsidRPr="00A34307">
        <w:rPr>
          <w:b/>
          <w:bCs/>
        </w:rPr>
        <w:t xml:space="preserve">služební či </w:t>
      </w:r>
      <w:r w:rsidR="003A3C7C" w:rsidRPr="00A34307">
        <w:rPr>
          <w:b/>
          <w:bCs/>
        </w:rPr>
        <w:t xml:space="preserve">pracovní dobou </w:t>
      </w:r>
      <w:r w:rsidR="005A7837">
        <w:rPr>
          <w:b/>
          <w:bCs/>
        </w:rPr>
        <w:t>byl</w:t>
      </w:r>
      <w:r w:rsidR="003A3C7C" w:rsidRPr="00A34307">
        <w:rPr>
          <w:b/>
          <w:bCs/>
        </w:rPr>
        <w:t xml:space="preserve"> ve skupině osob s uznaným druhým stupněm invalidity</w:t>
      </w:r>
      <w:r w:rsidR="003A3C7C" w:rsidRPr="007B595E">
        <w:t>, a to 26,4</w:t>
      </w:r>
      <w:r w:rsidR="00F575A5">
        <w:t xml:space="preserve"> %</w:t>
      </w:r>
      <w:r w:rsidR="003A3C7C">
        <w:t xml:space="preserve"> (v pracovním poměru podíl v rámci </w:t>
      </w:r>
      <w:r w:rsidR="00766D8E">
        <w:t>této skupiny dosah</w:t>
      </w:r>
      <w:r w:rsidR="005A7837">
        <w:t>oval</w:t>
      </w:r>
      <w:r w:rsidR="00766D8E">
        <w:t xml:space="preserve"> dokonce 32,9</w:t>
      </w:r>
      <w:r w:rsidR="00F575A5">
        <w:t xml:space="preserve"> %</w:t>
      </w:r>
      <w:r w:rsidR="003A3C7C">
        <w:t xml:space="preserve">), následují osoby s třetím stupněm invalidity </w:t>
      </w:r>
      <w:r w:rsidR="00F14C57">
        <w:t xml:space="preserve">s </w:t>
      </w:r>
      <w:r w:rsidR="003A3C7C" w:rsidRPr="00B408BF">
        <w:t>25,5</w:t>
      </w:r>
      <w:r w:rsidR="00F575A5">
        <w:t xml:space="preserve"> %</w:t>
      </w:r>
      <w:r w:rsidR="003A3C7C" w:rsidRPr="00B408BF">
        <w:t xml:space="preserve"> (</w:t>
      </w:r>
      <w:r w:rsidR="00766D8E">
        <w:t xml:space="preserve">v této skupině zaměstnanců </w:t>
      </w:r>
      <w:r w:rsidR="005A7837">
        <w:t>byl</w:t>
      </w:r>
      <w:r w:rsidR="00766D8E">
        <w:t xml:space="preserve"> poměr využívání </w:t>
      </w:r>
      <w:r w:rsidR="003008AE">
        <w:t>zkrácených úvazků v pracovním a </w:t>
      </w:r>
      <w:r w:rsidR="00766D8E">
        <w:t>služebním poměru nejvyrovnanější, u obou poměrů tvoř</w:t>
      </w:r>
      <w:r w:rsidR="005A7837">
        <w:t xml:space="preserve">ili </w:t>
      </w:r>
      <w:r w:rsidR="00766D8E">
        <w:t xml:space="preserve">zaměstnanci se zkráceným úvazkem ¼ zaměstnanců) </w:t>
      </w:r>
      <w:r w:rsidR="003A3C7C" w:rsidRPr="00B408BF">
        <w:t>a osoby s uznaným pr</w:t>
      </w:r>
      <w:r w:rsidR="00F14C57">
        <w:t>vním stupněm invalidity s 13,7</w:t>
      </w:r>
      <w:r w:rsidR="00F575A5">
        <w:t xml:space="preserve"> %</w:t>
      </w:r>
      <w:r w:rsidR="003A3C7C" w:rsidRPr="00B408BF">
        <w:t>.</w:t>
      </w:r>
      <w:r w:rsidR="003A3C7C">
        <w:t xml:space="preserve"> Z</w:t>
      </w:r>
      <w:r w:rsidR="003A3C7C" w:rsidRPr="00E71E35">
        <w:t>krácený úvazek využív</w:t>
      </w:r>
      <w:r w:rsidR="005A7837">
        <w:t>alo</w:t>
      </w:r>
      <w:r w:rsidR="003A3C7C" w:rsidRPr="00E71E35">
        <w:t xml:space="preserve"> pouhých 10,2</w:t>
      </w:r>
      <w:r w:rsidR="00F575A5">
        <w:t xml:space="preserve"> %</w:t>
      </w:r>
      <w:r w:rsidR="003A3C7C" w:rsidRPr="00E71E35">
        <w:t xml:space="preserve"> osob</w:t>
      </w:r>
      <w:r w:rsidR="00766D8E">
        <w:t xml:space="preserve"> se zdravotním znevýhodněním (16,7</w:t>
      </w:r>
      <w:r w:rsidR="00F575A5">
        <w:t xml:space="preserve"> %</w:t>
      </w:r>
      <w:r w:rsidR="003A3C7C" w:rsidRPr="00E71E35">
        <w:t xml:space="preserve"> v pracovním poměru).</w:t>
      </w:r>
    </w:p>
    <w:p w14:paraId="46C86CBF" w14:textId="77777777" w:rsidR="0075764D" w:rsidRPr="006E11D9" w:rsidRDefault="0075764D" w:rsidP="009B209E">
      <w:pPr>
        <w:pStyle w:val="Nadpis2"/>
        <w:rPr>
          <w:color w:val="76923C" w:themeColor="accent3" w:themeShade="BF"/>
        </w:rPr>
      </w:pPr>
      <w:bookmarkStart w:id="466" w:name="_Toc45513057"/>
      <w:r w:rsidRPr="006E11D9">
        <w:rPr>
          <w:color w:val="76923C" w:themeColor="accent3" w:themeShade="BF"/>
        </w:rPr>
        <w:t>Počet zaměstnanců se zdravotním postižením dle platových tříd</w:t>
      </w:r>
      <w:bookmarkEnd w:id="466"/>
    </w:p>
    <w:p w14:paraId="1200AA5D" w14:textId="77777777" w:rsidR="009E4063" w:rsidRPr="00D43033" w:rsidRDefault="00D43033" w:rsidP="00682316">
      <w:pPr>
        <w:spacing w:after="0"/>
      </w:pPr>
      <w:r w:rsidRPr="000900E1">
        <w:t xml:space="preserve">Pro účely průzkumu </w:t>
      </w:r>
      <w:r w:rsidR="00554E11">
        <w:t xml:space="preserve">byly platové třídy rozděleny do </w:t>
      </w:r>
      <w:r w:rsidRPr="000900E1">
        <w:t>šest</w:t>
      </w:r>
      <w:r w:rsidR="00554E11">
        <w:t>i</w:t>
      </w:r>
      <w:r w:rsidRPr="000900E1">
        <w:t xml:space="preserve"> skupin, a to:</w:t>
      </w:r>
    </w:p>
    <w:p w14:paraId="3E94767F" w14:textId="77777777" w:rsidR="00D43033" w:rsidRPr="00D43033" w:rsidRDefault="00D43033" w:rsidP="00A34307">
      <w:pPr>
        <w:pStyle w:val="Odstavecseseznamem"/>
        <w:numPr>
          <w:ilvl w:val="6"/>
          <w:numId w:val="5"/>
        </w:numPr>
        <w:spacing w:before="0" w:after="0"/>
        <w:ind w:left="425" w:hanging="425"/>
      </w:pPr>
      <w:r w:rsidRPr="00D43033">
        <w:t xml:space="preserve">5 a nižší </w:t>
      </w:r>
      <w:r w:rsidR="00554E11">
        <w:t xml:space="preserve">platová </w:t>
      </w:r>
      <w:r w:rsidRPr="00D43033">
        <w:t>třída – základní vzdělání až střední vzdělání s výučním listem</w:t>
      </w:r>
    </w:p>
    <w:p w14:paraId="6092AF44" w14:textId="77777777" w:rsidR="00D43033" w:rsidRPr="00D43033" w:rsidRDefault="00F575A5" w:rsidP="00A34307">
      <w:pPr>
        <w:pStyle w:val="Odstavecseseznamem"/>
        <w:numPr>
          <w:ilvl w:val="6"/>
          <w:numId w:val="5"/>
        </w:numPr>
        <w:spacing w:before="0" w:after="0"/>
        <w:ind w:left="425" w:hanging="425"/>
      </w:pPr>
      <w:r>
        <w:t xml:space="preserve">6–8 </w:t>
      </w:r>
      <w:r w:rsidR="00554E11">
        <w:t xml:space="preserve">platová </w:t>
      </w:r>
      <w:r w:rsidR="00767ADD">
        <w:t>třída – střední</w:t>
      </w:r>
      <w:r w:rsidR="00D43033" w:rsidRPr="00D43033">
        <w:t xml:space="preserve"> vzdělání s maturitou</w:t>
      </w:r>
    </w:p>
    <w:p w14:paraId="765AA854" w14:textId="77777777" w:rsidR="00D43033" w:rsidRPr="00D43033" w:rsidRDefault="00F575A5" w:rsidP="00A34307">
      <w:pPr>
        <w:pStyle w:val="Odstavecseseznamem"/>
        <w:numPr>
          <w:ilvl w:val="6"/>
          <w:numId w:val="5"/>
        </w:numPr>
        <w:spacing w:before="0" w:after="0"/>
        <w:ind w:left="425" w:hanging="425"/>
      </w:pPr>
      <w:r>
        <w:t xml:space="preserve">9–10 </w:t>
      </w:r>
      <w:r w:rsidR="00554E11">
        <w:t xml:space="preserve">platová </w:t>
      </w:r>
      <w:r w:rsidR="00767ADD">
        <w:t>třída – vyšší</w:t>
      </w:r>
      <w:r w:rsidR="00D43033" w:rsidRPr="00D43033">
        <w:t xml:space="preserve"> odborné vzdělání, vysokoškolské bakalářské vzdělání</w:t>
      </w:r>
    </w:p>
    <w:p w14:paraId="0EF89C8C" w14:textId="77777777" w:rsidR="00D43033" w:rsidRPr="00D43033" w:rsidRDefault="00F575A5" w:rsidP="00A34307">
      <w:pPr>
        <w:pStyle w:val="Odstavecseseznamem"/>
        <w:numPr>
          <w:ilvl w:val="6"/>
          <w:numId w:val="5"/>
        </w:numPr>
        <w:spacing w:before="0" w:after="0"/>
        <w:ind w:left="425" w:hanging="425"/>
      </w:pPr>
      <w:r>
        <w:t>11–</w:t>
      </w:r>
      <w:r w:rsidR="00D43033" w:rsidRPr="00D43033">
        <w:t xml:space="preserve">12 </w:t>
      </w:r>
      <w:r w:rsidR="00554E11">
        <w:t xml:space="preserve">platová </w:t>
      </w:r>
      <w:r w:rsidR="00767ADD" w:rsidRPr="00D43033">
        <w:t xml:space="preserve">třída </w:t>
      </w:r>
      <w:r w:rsidR="00767ADD">
        <w:t>– vysokoškolské</w:t>
      </w:r>
      <w:r w:rsidR="00D43033">
        <w:t xml:space="preserve"> magisterské či bakalářské vzdělání</w:t>
      </w:r>
    </w:p>
    <w:p w14:paraId="729A6E6A" w14:textId="77777777" w:rsidR="00D43033" w:rsidRPr="00D43033" w:rsidRDefault="00F575A5" w:rsidP="00A34307">
      <w:pPr>
        <w:pStyle w:val="Odstavecseseznamem"/>
        <w:numPr>
          <w:ilvl w:val="6"/>
          <w:numId w:val="5"/>
        </w:numPr>
        <w:spacing w:before="0" w:after="0"/>
        <w:ind w:left="425" w:hanging="425"/>
      </w:pPr>
      <w:r>
        <w:t>13–</w:t>
      </w:r>
      <w:r w:rsidR="00D43033" w:rsidRPr="00D43033">
        <w:t>14</w:t>
      </w:r>
      <w:r w:rsidR="00554E11">
        <w:t xml:space="preserve"> platová</w:t>
      </w:r>
      <w:r w:rsidR="00D43033" w:rsidRPr="00D43033">
        <w:t xml:space="preserve"> </w:t>
      </w:r>
      <w:r w:rsidR="00767ADD" w:rsidRPr="00D43033">
        <w:t>třída</w:t>
      </w:r>
      <w:r w:rsidR="00767ADD">
        <w:t xml:space="preserve"> – vysokoškolské</w:t>
      </w:r>
      <w:r w:rsidR="00D43033">
        <w:t xml:space="preserve"> magisterské vzdělání</w:t>
      </w:r>
    </w:p>
    <w:p w14:paraId="298AC442" w14:textId="77777777" w:rsidR="00821C63" w:rsidRDefault="00821C63" w:rsidP="00A34307">
      <w:pPr>
        <w:pStyle w:val="Odstavecseseznamem"/>
        <w:numPr>
          <w:ilvl w:val="6"/>
          <w:numId w:val="5"/>
        </w:numPr>
        <w:spacing w:before="0" w:after="0"/>
        <w:ind w:left="425" w:hanging="425"/>
      </w:pPr>
      <w:r>
        <w:t>15</w:t>
      </w:r>
      <w:r w:rsidR="00F575A5">
        <w:t>–</w:t>
      </w:r>
      <w:r w:rsidR="00D43033" w:rsidRPr="00D43033">
        <w:t xml:space="preserve">16 </w:t>
      </w:r>
      <w:r w:rsidR="00554E11">
        <w:t xml:space="preserve">platová </w:t>
      </w:r>
      <w:r w:rsidR="00767ADD">
        <w:t>třída – vysokoškolské</w:t>
      </w:r>
      <w:r w:rsidR="00554E11">
        <w:t xml:space="preserve"> magisterské vzdělání</w:t>
      </w:r>
    </w:p>
    <w:p w14:paraId="4B97D33F" w14:textId="77777777" w:rsidR="00821C63" w:rsidRDefault="000D7725" w:rsidP="00427569">
      <w:pPr>
        <w:pStyle w:val="Odstavecseseznamem"/>
      </w:pPr>
      <w:r>
        <w:lastRenderedPageBreak/>
        <w:t>Z</w:t>
      </w:r>
      <w:r w:rsidR="00554E11">
        <w:t xml:space="preserve"> průzkumu </w:t>
      </w:r>
      <w:r>
        <w:t>vyplývá, že</w:t>
      </w:r>
      <w:r w:rsidR="00821C63">
        <w:t xml:space="preserve"> z celkového počtu 1 704 OZP </w:t>
      </w:r>
      <w:r>
        <w:t xml:space="preserve">zaměstnaných v úřadech bylo </w:t>
      </w:r>
      <w:r w:rsidR="00821C63">
        <w:t xml:space="preserve">97 osob zařazeno do </w:t>
      </w:r>
      <w:r w:rsidR="00FA05F0">
        <w:t>páté a nižší platové třídy (30 žen a 67 mužů</w:t>
      </w:r>
      <w:r w:rsidR="00F575A5">
        <w:t>), 251 osob do 6</w:t>
      </w:r>
      <w:r w:rsidR="00821C63">
        <w:t>–</w:t>
      </w:r>
      <w:r w:rsidR="00FA05F0">
        <w:t>8 platové třídy (186 žen a 65 mužů</w:t>
      </w:r>
      <w:r w:rsidR="00F575A5">
        <w:t>), 923 osob do 9</w:t>
      </w:r>
      <w:r w:rsidR="00821C63">
        <w:t>–</w:t>
      </w:r>
      <w:r w:rsidR="006C788E">
        <w:t>10 platové třídy (786 žen a 13</w:t>
      </w:r>
      <w:r w:rsidR="00FA05F0">
        <w:t>7 mužů)</w:t>
      </w:r>
      <w:r w:rsidR="00821C63">
        <w:t>, 248 osob do 1</w:t>
      </w:r>
      <w:r w:rsidR="00F575A5">
        <w:t>1</w:t>
      </w:r>
      <w:r w:rsidR="00821C63">
        <w:t>–</w:t>
      </w:r>
      <w:r w:rsidR="00FA05F0">
        <w:t>12 platové třídy (167 žen a 81 mužů</w:t>
      </w:r>
      <w:r w:rsidR="00F575A5">
        <w:t>), 175 osob do 13–</w:t>
      </w:r>
      <w:r w:rsidR="00821C63">
        <w:t>14 platové tříd</w:t>
      </w:r>
      <w:r w:rsidR="00FA05F0">
        <w:t>y (107 žen a 68 mužů</w:t>
      </w:r>
      <w:r w:rsidR="00F575A5">
        <w:t>) a 10 osob do 15</w:t>
      </w:r>
      <w:r w:rsidR="00821C63">
        <w:t>–</w:t>
      </w:r>
      <w:r w:rsidR="00FA05F0">
        <w:t xml:space="preserve">16 platové třídy (5 žen a </w:t>
      </w:r>
      <w:r w:rsidR="00554E11">
        <w:t>5</w:t>
      </w:r>
      <w:r w:rsidR="00FA05F0">
        <w:t xml:space="preserve"> mužů</w:t>
      </w:r>
      <w:r w:rsidR="00821C63">
        <w:t>).</w:t>
      </w:r>
    </w:p>
    <w:p w14:paraId="1A8FE55D" w14:textId="020C9736" w:rsidR="00DC46D8" w:rsidRPr="00DC46D8" w:rsidRDefault="00DC46D8" w:rsidP="00C320A8">
      <w:pPr>
        <w:pStyle w:val="Titulek"/>
      </w:pPr>
      <w:bookmarkStart w:id="467" w:name="_Toc45513005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30</w:t>
      </w:r>
      <w:r w:rsidR="00FC5B08">
        <w:rPr>
          <w:noProof/>
        </w:rPr>
        <w:fldChar w:fldCharType="end"/>
      </w:r>
      <w:r>
        <w:t xml:space="preserve"> Podíl OZP dle platových tříd</w:t>
      </w:r>
      <w:bookmarkEnd w:id="467"/>
    </w:p>
    <w:p w14:paraId="1D5EF395" w14:textId="77777777" w:rsidR="00B408BF" w:rsidRPr="00A34307" w:rsidRDefault="00F26B03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669EC5F6" wp14:editId="0B23C365">
            <wp:extent cx="5000625" cy="3257550"/>
            <wp:effectExtent l="0" t="0" r="9525" b="0"/>
            <wp:docPr id="36" name="Graf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EB369F4" w14:textId="1CC640E5" w:rsidR="00DC46D8" w:rsidRDefault="00DC46D8" w:rsidP="00C320A8">
      <w:pPr>
        <w:pStyle w:val="Titulek"/>
      </w:pPr>
      <w:bookmarkStart w:id="468" w:name="_Toc45513006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31</w:t>
      </w:r>
      <w:r w:rsidR="00FC5B08">
        <w:rPr>
          <w:noProof/>
        </w:rPr>
        <w:fldChar w:fldCharType="end"/>
      </w:r>
      <w:r>
        <w:t xml:space="preserve"> Podíl žen a mužů se zdravotním postižením</w:t>
      </w:r>
      <w:r w:rsidRPr="00A43C36">
        <w:t xml:space="preserve"> </w:t>
      </w:r>
      <w:r>
        <w:t>dle zařazení do platových tříd</w:t>
      </w:r>
      <w:bookmarkEnd w:id="468"/>
    </w:p>
    <w:p w14:paraId="23F492C7" w14:textId="77777777" w:rsidR="00B37B4F" w:rsidRDefault="00AF47A5" w:rsidP="007D5114">
      <w:pPr>
        <w:jc w:val="center"/>
      </w:pPr>
      <w:r>
        <w:rPr>
          <w:noProof/>
        </w:rPr>
        <w:drawing>
          <wp:inline distT="0" distB="0" distL="0" distR="0" wp14:anchorId="23C97B05" wp14:editId="71590E89">
            <wp:extent cx="5076825" cy="2676525"/>
            <wp:effectExtent l="0" t="0" r="9525" b="9525"/>
            <wp:docPr id="41" name="Graf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37A34BF1" w14:textId="77777777" w:rsidR="00C273D5" w:rsidRDefault="00C273D5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i/>
          <w:iCs/>
          <w:color w:val="244061" w:themeColor="accent1" w:themeShade="80"/>
          <w:spacing w:val="15"/>
          <w:sz w:val="24"/>
          <w:szCs w:val="24"/>
        </w:rPr>
      </w:pPr>
      <w:r>
        <w:br w:type="page"/>
      </w:r>
    </w:p>
    <w:p w14:paraId="78AFADA9" w14:textId="760BA419" w:rsidR="00612C2D" w:rsidRPr="00C320A8" w:rsidRDefault="00612C2D" w:rsidP="00C320A8">
      <w:pPr>
        <w:pStyle w:val="Podtitul"/>
      </w:pPr>
      <w:r>
        <w:lastRenderedPageBreak/>
        <w:t xml:space="preserve">Zaměstnanci se zdravotním postižením dle </w:t>
      </w:r>
      <w:r w:rsidR="00645999">
        <w:t xml:space="preserve">zařazení do platové třídy a </w:t>
      </w:r>
      <w:r w:rsidR="00DA03D7">
        <w:t xml:space="preserve">druhu </w:t>
      </w:r>
      <w:r>
        <w:t>zaměstnaneckého poměru</w:t>
      </w:r>
    </w:p>
    <w:p w14:paraId="06A636A4" w14:textId="77777777" w:rsidR="00821C63" w:rsidRPr="004059B7" w:rsidRDefault="00821C63" w:rsidP="00427569">
      <w:pPr>
        <w:pStyle w:val="Odstavecseseznamem"/>
      </w:pPr>
      <w:r>
        <w:t xml:space="preserve">Ve služebním poměru </w:t>
      </w:r>
      <w:r w:rsidR="00382BC5">
        <w:t>z c</w:t>
      </w:r>
      <w:r w:rsidR="00645999">
        <w:t>elkového počtu 1 269 OZP nebyl do</w:t>
      </w:r>
      <w:r w:rsidR="00382BC5">
        <w:t xml:space="preserve"> páté a nižší </w:t>
      </w:r>
      <w:r w:rsidR="009F2177">
        <w:t>třídy</w:t>
      </w:r>
      <w:r w:rsidR="00382BC5">
        <w:t xml:space="preserve"> zařazen nikdo, </w:t>
      </w:r>
      <w:r w:rsidR="00645999">
        <w:t>do</w:t>
      </w:r>
      <w:r w:rsidR="00F575A5">
        <w:t xml:space="preserve"> 6–</w:t>
      </w:r>
      <w:r w:rsidR="00645999">
        <w:t>8 platové třídy</w:t>
      </w:r>
      <w:r w:rsidR="007E118B">
        <w:t xml:space="preserve"> bylo</w:t>
      </w:r>
      <w:r w:rsidR="00645999">
        <w:t xml:space="preserve"> zařazeno</w:t>
      </w:r>
      <w:r w:rsidR="007E118B">
        <w:t xml:space="preserve"> 112 OZP (8,8</w:t>
      </w:r>
      <w:r w:rsidR="00645999">
        <w:t xml:space="preserve"> %), do</w:t>
      </w:r>
      <w:r w:rsidR="00F575A5">
        <w:t xml:space="preserve"> 9–</w:t>
      </w:r>
      <w:r w:rsidR="007E118B">
        <w:t xml:space="preserve">10 </w:t>
      </w:r>
      <w:r w:rsidR="00645999">
        <w:t>platové třídy</w:t>
      </w:r>
      <w:r w:rsidR="007E118B">
        <w:t xml:space="preserve"> 772 OZP (60,8</w:t>
      </w:r>
      <w:r w:rsidR="00556845">
        <w:t xml:space="preserve"> %</w:t>
      </w:r>
      <w:r w:rsidR="00645999">
        <w:t>), do</w:t>
      </w:r>
      <w:r w:rsidR="00F575A5">
        <w:t xml:space="preserve"> 11–</w:t>
      </w:r>
      <w:r w:rsidR="00645999">
        <w:t>12 platové třídy</w:t>
      </w:r>
      <w:r w:rsidR="007E118B">
        <w:t xml:space="preserve"> 216</w:t>
      </w:r>
      <w:r w:rsidR="00645999">
        <w:t xml:space="preserve"> OZP</w:t>
      </w:r>
      <w:r w:rsidR="007E118B">
        <w:t xml:space="preserve"> (17</w:t>
      </w:r>
      <w:r w:rsidR="00645999">
        <w:t xml:space="preserve"> %), do</w:t>
      </w:r>
      <w:r w:rsidR="00F575A5">
        <w:t xml:space="preserve"> 13–</w:t>
      </w:r>
      <w:r w:rsidR="007E118B">
        <w:t xml:space="preserve">14 platové </w:t>
      </w:r>
      <w:r w:rsidR="009F2177">
        <w:t>třídy</w:t>
      </w:r>
      <w:r w:rsidR="007E118B">
        <w:t xml:space="preserve"> 160 </w:t>
      </w:r>
      <w:r w:rsidR="00645999">
        <w:t xml:space="preserve">OZP </w:t>
      </w:r>
      <w:r w:rsidR="007E118B">
        <w:t>(12,6</w:t>
      </w:r>
      <w:r w:rsidR="00F575A5">
        <w:t xml:space="preserve"> %) a 9 osob bylo </w:t>
      </w:r>
      <w:r w:rsidR="00645999">
        <w:t>zařazeno do</w:t>
      </w:r>
      <w:r w:rsidR="00F575A5">
        <w:t xml:space="preserve"> 15–</w:t>
      </w:r>
      <w:r w:rsidR="00645999">
        <w:t>16 platové třídy</w:t>
      </w:r>
      <w:r w:rsidR="007E118B">
        <w:t xml:space="preserve"> (0,7</w:t>
      </w:r>
      <w:r w:rsidR="00F575A5">
        <w:t xml:space="preserve"> %</w:t>
      </w:r>
      <w:r w:rsidR="007E118B">
        <w:t>).</w:t>
      </w:r>
    </w:p>
    <w:p w14:paraId="318AEA00" w14:textId="77777777" w:rsidR="00D11E50" w:rsidRDefault="00C63971" w:rsidP="00427569">
      <w:pPr>
        <w:pStyle w:val="Odstavecseseznamem"/>
      </w:pPr>
      <w:r>
        <w:t>V pracovním poměru</w:t>
      </w:r>
      <w:r w:rsidR="00645999">
        <w:t xml:space="preserve"> bylo</w:t>
      </w:r>
      <w:r>
        <w:t xml:space="preserve"> z celkového počtu 435 OZP </w:t>
      </w:r>
      <w:r w:rsidR="00645999">
        <w:t>do páté a nižší třídy</w:t>
      </w:r>
      <w:r>
        <w:t xml:space="preserve"> zařazeno 97 </w:t>
      </w:r>
      <w:r w:rsidR="00645999">
        <w:t>OZP</w:t>
      </w:r>
      <w:r>
        <w:t xml:space="preserve"> (</w:t>
      </w:r>
      <w:r w:rsidR="00A20521">
        <w:t>22,3</w:t>
      </w:r>
      <w:r w:rsidR="00F575A5">
        <w:t xml:space="preserve"> %</w:t>
      </w:r>
      <w:r w:rsidR="00A20521">
        <w:t>)</w:t>
      </w:r>
      <w:r w:rsidR="00645999">
        <w:t>, do</w:t>
      </w:r>
      <w:r w:rsidR="00F575A5">
        <w:t xml:space="preserve"> 6–</w:t>
      </w:r>
      <w:r>
        <w:t xml:space="preserve">8 </w:t>
      </w:r>
      <w:r w:rsidR="00645999">
        <w:t>platové třídy</w:t>
      </w:r>
      <w:r>
        <w:t xml:space="preserve"> jich bylo</w:t>
      </w:r>
      <w:r w:rsidR="00645999">
        <w:t xml:space="preserve"> zařazeno</w:t>
      </w:r>
      <w:r>
        <w:t xml:space="preserve"> 139 (</w:t>
      </w:r>
      <w:r w:rsidR="00A20521">
        <w:t>32</w:t>
      </w:r>
      <w:r w:rsidR="00645999">
        <w:t xml:space="preserve"> %), do</w:t>
      </w:r>
      <w:r w:rsidR="00877A5B">
        <w:t xml:space="preserve"> 9–1</w:t>
      </w:r>
      <w:r w:rsidR="00645999">
        <w:t>0 platové třídy</w:t>
      </w:r>
      <w:r>
        <w:t xml:space="preserve"> 151 (</w:t>
      </w:r>
      <w:r w:rsidR="00A20521">
        <w:t>34,7</w:t>
      </w:r>
      <w:r w:rsidR="00556845">
        <w:t xml:space="preserve"> %</w:t>
      </w:r>
      <w:r w:rsidR="00645999">
        <w:t>), do</w:t>
      </w:r>
      <w:r w:rsidR="00F575A5">
        <w:t xml:space="preserve"> 11–</w:t>
      </w:r>
      <w:r w:rsidR="00645999">
        <w:t>12 platové třídy</w:t>
      </w:r>
      <w:r>
        <w:t xml:space="preserve"> 32 (</w:t>
      </w:r>
      <w:r w:rsidR="00A20521">
        <w:t>7,4</w:t>
      </w:r>
      <w:r w:rsidR="00556845">
        <w:t xml:space="preserve"> %</w:t>
      </w:r>
      <w:r w:rsidR="00645999">
        <w:t>), do</w:t>
      </w:r>
      <w:r w:rsidR="00F575A5">
        <w:t xml:space="preserve"> 13–</w:t>
      </w:r>
      <w:r w:rsidR="00645999">
        <w:t>14 platové třídy</w:t>
      </w:r>
      <w:r>
        <w:t xml:space="preserve"> 15 (</w:t>
      </w:r>
      <w:r w:rsidR="00A20521">
        <w:t>3,44</w:t>
      </w:r>
      <w:r w:rsidR="00CF6751">
        <w:t> </w:t>
      </w:r>
      <w:r w:rsidR="00645999">
        <w:t>%) a jedna OZP</w:t>
      </w:r>
      <w:r w:rsidR="00F575A5">
        <w:t xml:space="preserve"> byl</w:t>
      </w:r>
      <w:r w:rsidR="00645999">
        <w:t>a zařazena do</w:t>
      </w:r>
      <w:r w:rsidR="00F575A5">
        <w:t xml:space="preserve"> 15–</w:t>
      </w:r>
      <w:r w:rsidR="00645999">
        <w:t>16 platové třídy</w:t>
      </w:r>
      <w:r>
        <w:t xml:space="preserve"> (0,</w:t>
      </w:r>
      <w:r w:rsidR="00A20521">
        <w:t>2</w:t>
      </w:r>
      <w:r w:rsidR="00F575A5">
        <w:t xml:space="preserve"> %</w:t>
      </w:r>
      <w:r>
        <w:t>).</w:t>
      </w:r>
    </w:p>
    <w:p w14:paraId="393FD339" w14:textId="1158804A" w:rsidR="00877A5B" w:rsidRDefault="00877A5B" w:rsidP="00C320A8">
      <w:pPr>
        <w:pStyle w:val="Titulek"/>
      </w:pPr>
      <w:bookmarkStart w:id="469" w:name="_Toc45513007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32</w:t>
      </w:r>
      <w:r w:rsidR="00FC5B08">
        <w:rPr>
          <w:noProof/>
        </w:rPr>
        <w:fldChar w:fldCharType="end"/>
      </w:r>
      <w:r>
        <w:t xml:space="preserve"> Počet OZP dle druhu zaměstnaneckého poměru a zařazení do platové třídy</w:t>
      </w:r>
      <w:bookmarkEnd w:id="469"/>
    </w:p>
    <w:p w14:paraId="609707A6" w14:textId="77777777" w:rsidR="00877A5B" w:rsidRPr="007E03D7" w:rsidRDefault="00AF47A5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10857573" wp14:editId="6AF7793E">
            <wp:extent cx="5095875" cy="2705100"/>
            <wp:effectExtent l="0" t="0" r="9525" b="0"/>
            <wp:docPr id="43" name="Graf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D0D5242" w14:textId="73132CC6" w:rsidR="007F0AEB" w:rsidRPr="00B408BF" w:rsidRDefault="007F0AEB" w:rsidP="00A34307">
      <w:pPr>
        <w:pStyle w:val="Podtitul"/>
      </w:pPr>
      <w:r>
        <w:t xml:space="preserve">Zaměstnanci </w:t>
      </w:r>
      <w:r w:rsidR="00612C2D">
        <w:t>se zdravotním postižením</w:t>
      </w:r>
      <w:r>
        <w:t xml:space="preserve"> s kratší služební/pracovní dobou</w:t>
      </w:r>
      <w:r w:rsidR="00DA03D7">
        <w:t xml:space="preserve"> dle</w:t>
      </w:r>
      <w:r w:rsidR="00C273D5">
        <w:t> </w:t>
      </w:r>
      <w:r w:rsidR="00DA03D7">
        <w:t>zařazení do platových tříd</w:t>
      </w:r>
    </w:p>
    <w:p w14:paraId="2319777C" w14:textId="77777777" w:rsidR="007F0AEB" w:rsidRPr="002177D8" w:rsidRDefault="007F0AEB" w:rsidP="00427569">
      <w:pPr>
        <w:pStyle w:val="Odstavecseseznamem"/>
      </w:pPr>
      <w:r>
        <w:t xml:space="preserve">Z celkového počtu OZP v jednotlivých skupinách platových tříd </w:t>
      </w:r>
      <w:r w:rsidR="00B86EF4">
        <w:t xml:space="preserve">(182) </w:t>
      </w:r>
      <w:r>
        <w:t xml:space="preserve">bylo s kratší služební/pracovní dobou </w:t>
      </w:r>
      <w:r w:rsidR="002177D8">
        <w:t>24 osob zařazeno</w:t>
      </w:r>
      <w:r>
        <w:t xml:space="preserve"> páté a </w:t>
      </w:r>
      <w:r w:rsidRPr="002177D8">
        <w:t xml:space="preserve">nižší </w:t>
      </w:r>
      <w:r w:rsidR="002177D8" w:rsidRPr="002177D8">
        <w:t>platové třídy</w:t>
      </w:r>
      <w:r w:rsidRPr="002177D8">
        <w:t xml:space="preserve"> (24,7</w:t>
      </w:r>
      <w:r w:rsidR="00F575A5" w:rsidRPr="002177D8">
        <w:t xml:space="preserve"> %</w:t>
      </w:r>
      <w:r w:rsidR="002177D8" w:rsidRPr="002177D8">
        <w:t xml:space="preserve"> OZP zařazených do páté a nižší platové třídy), 46 osob do</w:t>
      </w:r>
      <w:r w:rsidR="00F575A5" w:rsidRPr="002177D8">
        <w:t xml:space="preserve"> 6–</w:t>
      </w:r>
      <w:r w:rsidR="002177D8" w:rsidRPr="002177D8">
        <w:t>8 platové třídy</w:t>
      </w:r>
      <w:r w:rsidRPr="002177D8">
        <w:t xml:space="preserve"> (18,3</w:t>
      </w:r>
      <w:r w:rsidR="00F575A5" w:rsidRPr="002177D8">
        <w:t xml:space="preserve"> %</w:t>
      </w:r>
      <w:r w:rsidR="002177D8" w:rsidRPr="002177D8">
        <w:t xml:space="preserve"> OZP zařazených do 6–8 platové třídy), 129 osob do</w:t>
      </w:r>
      <w:r w:rsidR="00F575A5" w:rsidRPr="002177D8">
        <w:t xml:space="preserve"> 9–</w:t>
      </w:r>
      <w:r w:rsidR="002177D8" w:rsidRPr="002177D8">
        <w:t>10 platové třídy</w:t>
      </w:r>
      <w:r w:rsidRPr="002177D8">
        <w:t xml:space="preserve"> (13,8</w:t>
      </w:r>
      <w:r w:rsidR="00F575A5" w:rsidRPr="002177D8">
        <w:t xml:space="preserve"> %</w:t>
      </w:r>
      <w:r w:rsidR="002177D8" w:rsidRPr="002177D8">
        <w:t xml:space="preserve"> OZP zařazených do 9–10 platové třídy), 31 osob do</w:t>
      </w:r>
      <w:r w:rsidR="00F575A5" w:rsidRPr="002177D8">
        <w:t xml:space="preserve"> 11–</w:t>
      </w:r>
      <w:r w:rsidR="002177D8" w:rsidRPr="002177D8">
        <w:t>12 platové třídy</w:t>
      </w:r>
      <w:r w:rsidRPr="002177D8">
        <w:t xml:space="preserve"> (12,5</w:t>
      </w:r>
      <w:r w:rsidR="00F575A5" w:rsidRPr="002177D8">
        <w:t xml:space="preserve"> %</w:t>
      </w:r>
      <w:r w:rsidR="002177D8" w:rsidRPr="002177D8">
        <w:t xml:space="preserve"> OZP zařazených do 11–12 platové třídy), 52 osob do</w:t>
      </w:r>
      <w:r w:rsidR="00F575A5" w:rsidRPr="002177D8">
        <w:t xml:space="preserve"> 13–</w:t>
      </w:r>
      <w:r w:rsidR="002177D8" w:rsidRPr="002177D8">
        <w:t>14 platové třídy</w:t>
      </w:r>
      <w:r w:rsidRPr="002177D8">
        <w:t xml:space="preserve"> (29,7</w:t>
      </w:r>
      <w:r w:rsidR="00F575A5" w:rsidRPr="002177D8">
        <w:t xml:space="preserve"> %</w:t>
      </w:r>
      <w:r w:rsidR="002177D8" w:rsidRPr="002177D8">
        <w:t xml:space="preserve"> OZP zařazených do 13–14 platové třídy) a do</w:t>
      </w:r>
      <w:r w:rsidR="00F575A5" w:rsidRPr="002177D8">
        <w:t xml:space="preserve"> 15–</w:t>
      </w:r>
      <w:r w:rsidRPr="002177D8">
        <w:t xml:space="preserve">16 platové </w:t>
      </w:r>
      <w:r w:rsidR="009F2177">
        <w:t>třídy</w:t>
      </w:r>
      <w:r w:rsidRPr="002177D8">
        <w:t xml:space="preserve"> </w:t>
      </w:r>
      <w:r w:rsidR="00CF6751">
        <w:t>nebyl zařazen se </w:t>
      </w:r>
      <w:r w:rsidR="002177D8" w:rsidRPr="002177D8">
        <w:t>zkráceným úvazkem</w:t>
      </w:r>
      <w:r w:rsidRPr="002177D8">
        <w:t xml:space="preserve"> nikdo.</w:t>
      </w:r>
    </w:p>
    <w:p w14:paraId="23098ACB" w14:textId="21781457" w:rsidR="006E731E" w:rsidRDefault="006E731E" w:rsidP="00C320A8">
      <w:pPr>
        <w:pStyle w:val="Titulek"/>
      </w:pPr>
      <w:bookmarkStart w:id="470" w:name="_Toc45513008"/>
      <w:r w:rsidRPr="002177D8"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33</w:t>
      </w:r>
      <w:r w:rsidR="00FC5B08">
        <w:rPr>
          <w:noProof/>
        </w:rPr>
        <w:fldChar w:fldCharType="end"/>
      </w:r>
      <w:r w:rsidRPr="002177D8">
        <w:t xml:space="preserve"> Podíl </w:t>
      </w:r>
      <w:r w:rsidRPr="00D54467">
        <w:t>OZP se zkráceným úvazkem v platových třídách</w:t>
      </w:r>
      <w:bookmarkEnd w:id="470"/>
    </w:p>
    <w:p w14:paraId="401E50CF" w14:textId="77777777" w:rsidR="0090119A" w:rsidRPr="006E731E" w:rsidRDefault="002B7B5F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32F32FC4" wp14:editId="7364BC49">
            <wp:extent cx="5038725" cy="2095500"/>
            <wp:effectExtent l="0" t="0" r="9525" b="0"/>
            <wp:docPr id="44" name="Graf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660EDE7A" w14:textId="77777777" w:rsidR="007F0AEB" w:rsidRPr="004059B7" w:rsidRDefault="007F0AEB" w:rsidP="00427569">
      <w:pPr>
        <w:pStyle w:val="Odstavecseseznamem"/>
      </w:pPr>
      <w:r>
        <w:t xml:space="preserve">Ve služebním poměru </w:t>
      </w:r>
      <w:r w:rsidR="002238AE">
        <w:t xml:space="preserve">bylo </w:t>
      </w:r>
      <w:r>
        <w:t xml:space="preserve">z celkového počtu </w:t>
      </w:r>
      <w:r w:rsidR="000A0799">
        <w:t>197</w:t>
      </w:r>
      <w:r>
        <w:t xml:space="preserve"> </w:t>
      </w:r>
      <w:r w:rsidR="00E41CFF">
        <w:t>zaměstnanců se zdravotním postižením</w:t>
      </w:r>
      <w:r>
        <w:t xml:space="preserve"> </w:t>
      </w:r>
      <w:r w:rsidR="00833669">
        <w:t>maj</w:t>
      </w:r>
      <w:r w:rsidR="002238AE">
        <w:t xml:space="preserve">ících kratší služební dobu </w:t>
      </w:r>
      <w:r w:rsidR="00833669">
        <w:t xml:space="preserve">23 </w:t>
      </w:r>
      <w:r w:rsidR="00810814">
        <w:t xml:space="preserve">osob </w:t>
      </w:r>
      <w:r w:rsidR="00833669">
        <w:t>zařazeno do</w:t>
      </w:r>
      <w:r w:rsidR="00F575A5">
        <w:t xml:space="preserve"> 6–</w:t>
      </w:r>
      <w:r>
        <w:t>8 platové tří</w:t>
      </w:r>
      <w:r w:rsidR="00833669">
        <w:t>dy</w:t>
      </w:r>
      <w:r w:rsidR="00810814">
        <w:t xml:space="preserve"> (20,5</w:t>
      </w:r>
      <w:r w:rsidR="00556845">
        <w:t xml:space="preserve"> %</w:t>
      </w:r>
      <w:r w:rsidR="00810814">
        <w:t xml:space="preserve"> OZP zařazených </w:t>
      </w:r>
      <w:r w:rsidR="00F575A5">
        <w:t>do 6–</w:t>
      </w:r>
      <w:r w:rsidR="00810814">
        <w:t>8 platové třídy)</w:t>
      </w:r>
      <w:r w:rsidR="00833669">
        <w:t xml:space="preserve">, </w:t>
      </w:r>
      <w:r w:rsidR="00E5111C">
        <w:t>108</w:t>
      </w:r>
      <w:r w:rsidR="007F0D48">
        <w:t xml:space="preserve"> osob</w:t>
      </w:r>
      <w:r w:rsidR="00E5111C">
        <w:t xml:space="preserve"> </w:t>
      </w:r>
      <w:r w:rsidR="00F575A5">
        <w:t>do 9–</w:t>
      </w:r>
      <w:r w:rsidR="00833669">
        <w:t>10 platové třídy</w:t>
      </w:r>
      <w:r w:rsidR="00810814">
        <w:t xml:space="preserve"> (14</w:t>
      </w:r>
      <w:r w:rsidR="00F575A5">
        <w:t xml:space="preserve"> % OZP zařazených do 9–</w:t>
      </w:r>
      <w:r w:rsidR="00810814">
        <w:t>10 platové třídy)</w:t>
      </w:r>
      <w:r w:rsidR="00833669">
        <w:t>, 17</w:t>
      </w:r>
      <w:r w:rsidR="007F0D48">
        <w:t xml:space="preserve"> osob</w:t>
      </w:r>
      <w:r w:rsidR="00833669">
        <w:t xml:space="preserve"> do</w:t>
      </w:r>
      <w:r w:rsidR="00F575A5">
        <w:t xml:space="preserve"> 11–</w:t>
      </w:r>
      <w:r w:rsidR="00E5111C">
        <w:t>12 platové třídy</w:t>
      </w:r>
      <w:r w:rsidR="00833669">
        <w:t xml:space="preserve"> </w:t>
      </w:r>
      <w:r w:rsidR="00810814">
        <w:t>(7,9</w:t>
      </w:r>
      <w:r w:rsidR="00F575A5">
        <w:t xml:space="preserve"> % OZP zařazených do 11–</w:t>
      </w:r>
      <w:r w:rsidR="00810814">
        <w:t xml:space="preserve">12 platové třídy), </w:t>
      </w:r>
      <w:r w:rsidR="00833669">
        <w:t>a 49</w:t>
      </w:r>
      <w:r w:rsidR="007F0D48">
        <w:t xml:space="preserve"> osob</w:t>
      </w:r>
      <w:r w:rsidR="00833669">
        <w:t xml:space="preserve"> </w:t>
      </w:r>
      <w:r w:rsidR="00E41CFF">
        <w:t>do </w:t>
      </w:r>
      <w:r w:rsidR="00833669">
        <w:t>13</w:t>
      </w:r>
      <w:r w:rsidR="00F575A5">
        <w:t>–</w:t>
      </w:r>
      <w:r w:rsidR="00E5111C">
        <w:t>14 platové třídy</w:t>
      </w:r>
      <w:r w:rsidR="00810814">
        <w:t xml:space="preserve"> (30,6</w:t>
      </w:r>
      <w:r w:rsidR="00F575A5">
        <w:t xml:space="preserve"> % OZP zařazených do 13–</w:t>
      </w:r>
      <w:r w:rsidR="00810814">
        <w:t>14 platové třídy)</w:t>
      </w:r>
      <w:r w:rsidR="00C931EB">
        <w:t>, žádná OZP zařazená do 15</w:t>
      </w:r>
      <w:r w:rsidR="00C931EB" w:rsidRPr="00C931EB">
        <w:t>−</w:t>
      </w:r>
      <w:r w:rsidR="00C931EB">
        <w:t>16 třídy kratší služební dobu nevyužívala.</w:t>
      </w:r>
    </w:p>
    <w:p w14:paraId="6379E0E2" w14:textId="77777777" w:rsidR="002238AE" w:rsidRDefault="002238AE" w:rsidP="00427569">
      <w:pPr>
        <w:pStyle w:val="Odstavecseseznamem"/>
      </w:pPr>
      <w:r>
        <w:t xml:space="preserve">V pracovním poměru bylo z celkového počtu 85 </w:t>
      </w:r>
      <w:r w:rsidR="00E41CFF">
        <w:t xml:space="preserve">zaměstnanců se zdravotním postižením </w:t>
      </w:r>
      <w:r>
        <w:t>majících kratší pracovní dobu zařazeno do páté a nižší platové třídy</w:t>
      </w:r>
      <w:r w:rsidR="007F0D48">
        <w:t xml:space="preserve"> </w:t>
      </w:r>
      <w:r w:rsidR="00FE59F7">
        <w:t xml:space="preserve">24 osob </w:t>
      </w:r>
      <w:r w:rsidR="007F0D48">
        <w:t>(24,7</w:t>
      </w:r>
      <w:r w:rsidR="00556845">
        <w:t xml:space="preserve"> %</w:t>
      </w:r>
      <w:r w:rsidR="007F0D48">
        <w:t xml:space="preserve"> OZP zařazených do 5 a nižší platové třídy)</w:t>
      </w:r>
      <w:r>
        <w:t xml:space="preserve">, 23 </w:t>
      </w:r>
      <w:r w:rsidR="007F0D48">
        <w:t xml:space="preserve">osob </w:t>
      </w:r>
      <w:r w:rsidR="00F575A5">
        <w:t>zařazeno do 6–</w:t>
      </w:r>
      <w:r>
        <w:t>8 platové třídy</w:t>
      </w:r>
      <w:r w:rsidR="007F0D48">
        <w:t xml:space="preserve"> (16,5</w:t>
      </w:r>
      <w:r w:rsidR="00556845">
        <w:t xml:space="preserve"> %</w:t>
      </w:r>
      <w:r w:rsidR="00F575A5">
        <w:t xml:space="preserve"> OZP zařazených do 6–</w:t>
      </w:r>
      <w:r w:rsidR="007F0D48">
        <w:t>8 platové třídy)</w:t>
      </w:r>
      <w:r>
        <w:t xml:space="preserve">, 21 </w:t>
      </w:r>
      <w:r w:rsidR="007F0D48">
        <w:t xml:space="preserve">osob </w:t>
      </w:r>
      <w:r w:rsidR="00F575A5">
        <w:t>do 9–</w:t>
      </w:r>
      <w:r>
        <w:t>10 platové třídy</w:t>
      </w:r>
      <w:r w:rsidR="007F0D48">
        <w:t xml:space="preserve"> (13,9</w:t>
      </w:r>
      <w:r w:rsidR="00F575A5">
        <w:t xml:space="preserve"> % OZP zařazených do 9–1</w:t>
      </w:r>
      <w:r w:rsidR="007F0D48">
        <w:t>0 platové třídy)</w:t>
      </w:r>
      <w:r>
        <w:t xml:space="preserve">, 14 </w:t>
      </w:r>
      <w:r w:rsidR="007F0D48">
        <w:t xml:space="preserve">osob </w:t>
      </w:r>
      <w:r w:rsidR="00F575A5">
        <w:t>do 11–</w:t>
      </w:r>
      <w:r>
        <w:t xml:space="preserve">12 platové třídy </w:t>
      </w:r>
      <w:r w:rsidR="007F0D48">
        <w:t>(43,8</w:t>
      </w:r>
      <w:r w:rsidR="00F575A5">
        <w:t xml:space="preserve"> % OZP zařazených do 11–</w:t>
      </w:r>
      <w:r w:rsidR="007F0D48">
        <w:t>12 platové třídy) a 3 osob</w:t>
      </w:r>
      <w:r w:rsidR="00FE59F7">
        <w:t>y</w:t>
      </w:r>
      <w:r w:rsidR="007F0D48">
        <w:t xml:space="preserve"> </w:t>
      </w:r>
      <w:r w:rsidR="00F575A5">
        <w:t>do 13–</w:t>
      </w:r>
      <w:r>
        <w:t>14 platové třídy</w:t>
      </w:r>
      <w:r w:rsidR="007F0D48">
        <w:t xml:space="preserve"> (20</w:t>
      </w:r>
      <w:r w:rsidR="00F575A5">
        <w:t xml:space="preserve"> % OZP zařazených do 13–</w:t>
      </w:r>
      <w:r w:rsidR="007F0D48">
        <w:t>14 platové třídy)</w:t>
      </w:r>
      <w:r w:rsidR="00FE59F7">
        <w:t>, jedna OZP zařazena do 15-16 třídy zkrácenou pracovní dobu nevyužívala</w:t>
      </w:r>
      <w:r>
        <w:t>.</w:t>
      </w:r>
    </w:p>
    <w:p w14:paraId="55B533E3" w14:textId="7917B879" w:rsidR="006E731E" w:rsidRDefault="006E731E" w:rsidP="00C320A8">
      <w:pPr>
        <w:pStyle w:val="Titulek"/>
      </w:pPr>
      <w:bookmarkStart w:id="471" w:name="_Toc45513009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34</w:t>
      </w:r>
      <w:r w:rsidR="00FC5B08">
        <w:rPr>
          <w:noProof/>
        </w:rPr>
        <w:fldChar w:fldCharType="end"/>
      </w:r>
      <w:r>
        <w:t xml:space="preserve"> Podíl OZP se zkráceným </w:t>
      </w:r>
      <w:r w:rsidRPr="00C320A8">
        <w:t>úvazkem</w:t>
      </w:r>
      <w:r>
        <w:t xml:space="preserve"> v jednotlivých platových třídách dle druhu zaměstnaneckého </w:t>
      </w:r>
      <w:r w:rsidRPr="00C320A8">
        <w:t>poměru</w:t>
      </w:r>
      <w:bookmarkEnd w:id="471"/>
    </w:p>
    <w:p w14:paraId="239479FC" w14:textId="77777777" w:rsidR="00877A5B" w:rsidRPr="00A34307" w:rsidRDefault="0024351C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5A138CF1" wp14:editId="2BF43D9F">
            <wp:extent cx="5019675" cy="2009775"/>
            <wp:effectExtent l="0" t="0" r="9525" b="9525"/>
            <wp:docPr id="46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12188F51" w14:textId="03752C37" w:rsidR="006E731E" w:rsidRDefault="006E731E" w:rsidP="00C320A8">
      <w:pPr>
        <w:pStyle w:val="Titulek"/>
      </w:pPr>
      <w:bookmarkStart w:id="472" w:name="_Toc45482649"/>
      <w:r>
        <w:lastRenderedPageBreak/>
        <w:t xml:space="preserve">Tabulka </w:t>
      </w:r>
      <w:r w:rsidR="00FC5B08">
        <w:fldChar w:fldCharType="begin"/>
      </w:r>
      <w:r w:rsidR="00FC5B08">
        <w:instrText xml:space="preserve"> SEQ Tabulka \* ARABIC </w:instrText>
      </w:r>
      <w:r w:rsidR="00FC5B08">
        <w:fldChar w:fldCharType="separate"/>
      </w:r>
      <w:r w:rsidR="000F72AB">
        <w:rPr>
          <w:noProof/>
        </w:rPr>
        <w:t>3</w:t>
      </w:r>
      <w:r w:rsidR="00FC5B08">
        <w:rPr>
          <w:noProof/>
        </w:rPr>
        <w:fldChar w:fldCharType="end"/>
      </w:r>
      <w:r>
        <w:t xml:space="preserve"> </w:t>
      </w:r>
      <w:r w:rsidRPr="00542A70">
        <w:t xml:space="preserve">Rozdělení počtu </w:t>
      </w:r>
      <w:r w:rsidR="00767ADD" w:rsidRPr="00542A70">
        <w:t>zaměstnanců</w:t>
      </w:r>
      <w:r w:rsidR="00767ADD">
        <w:t xml:space="preserve"> – OZP</w:t>
      </w:r>
      <w:r w:rsidRPr="00542A70">
        <w:t xml:space="preserve"> dle </w:t>
      </w:r>
      <w:r w:rsidR="00CF6751">
        <w:t>druhu zaměstnaneckého poměru a </w:t>
      </w:r>
      <w:r w:rsidRPr="00C320A8">
        <w:t>platových</w:t>
      </w:r>
      <w:r>
        <w:t xml:space="preserve"> tříd</w:t>
      </w:r>
      <w:bookmarkEnd w:id="472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17"/>
        <w:gridCol w:w="1072"/>
        <w:gridCol w:w="1072"/>
        <w:gridCol w:w="1073"/>
        <w:gridCol w:w="1073"/>
        <w:gridCol w:w="1073"/>
        <w:gridCol w:w="1073"/>
      </w:tblGrid>
      <w:tr w:rsidR="00151713" w14:paraId="7FA227CC" w14:textId="77777777" w:rsidTr="00877A5B">
        <w:tc>
          <w:tcPr>
            <w:tcW w:w="2127" w:type="dxa"/>
            <w:shd w:val="clear" w:color="auto" w:fill="C2D69B" w:themeFill="accent3" w:themeFillTint="99"/>
            <w:vAlign w:val="center"/>
          </w:tcPr>
          <w:p w14:paraId="533ED6F0" w14:textId="77777777" w:rsidR="00151713" w:rsidRPr="00834536" w:rsidRDefault="00151713" w:rsidP="00A34307"/>
        </w:tc>
        <w:tc>
          <w:tcPr>
            <w:tcW w:w="617" w:type="dxa"/>
            <w:shd w:val="clear" w:color="auto" w:fill="C2D69B" w:themeFill="accent3" w:themeFillTint="99"/>
            <w:vAlign w:val="center"/>
          </w:tcPr>
          <w:p w14:paraId="2CC89E17" w14:textId="77777777" w:rsidR="00151713" w:rsidRPr="00834536" w:rsidRDefault="00151713" w:rsidP="00A34307">
            <w:r w:rsidRPr="00834536">
              <w:t>≤ 5</w:t>
            </w:r>
          </w:p>
        </w:tc>
        <w:tc>
          <w:tcPr>
            <w:tcW w:w="1072" w:type="dxa"/>
            <w:shd w:val="clear" w:color="auto" w:fill="C2D69B" w:themeFill="accent3" w:themeFillTint="99"/>
            <w:vAlign w:val="center"/>
          </w:tcPr>
          <w:p w14:paraId="27659739" w14:textId="77777777" w:rsidR="00151713" w:rsidRPr="00834536" w:rsidRDefault="007932CD" w:rsidP="00A34307">
            <w:r>
              <w:t>6−</w:t>
            </w:r>
            <w:r w:rsidR="00151713">
              <w:t>8</w:t>
            </w:r>
          </w:p>
        </w:tc>
        <w:tc>
          <w:tcPr>
            <w:tcW w:w="1072" w:type="dxa"/>
            <w:shd w:val="clear" w:color="auto" w:fill="C2D69B" w:themeFill="accent3" w:themeFillTint="99"/>
            <w:vAlign w:val="center"/>
          </w:tcPr>
          <w:p w14:paraId="7F672864" w14:textId="77777777" w:rsidR="00151713" w:rsidRPr="00834536" w:rsidRDefault="007932CD" w:rsidP="00A34307">
            <w:r>
              <w:t>9−</w:t>
            </w:r>
            <w:r w:rsidR="00151713" w:rsidRPr="00834536">
              <w:t>10</w:t>
            </w:r>
          </w:p>
        </w:tc>
        <w:tc>
          <w:tcPr>
            <w:tcW w:w="1073" w:type="dxa"/>
            <w:shd w:val="clear" w:color="auto" w:fill="C2D69B" w:themeFill="accent3" w:themeFillTint="99"/>
            <w:vAlign w:val="center"/>
          </w:tcPr>
          <w:p w14:paraId="3385777E" w14:textId="77777777" w:rsidR="00151713" w:rsidRPr="00834536" w:rsidRDefault="007932CD" w:rsidP="00A34307">
            <w:r>
              <w:t>11−</w:t>
            </w:r>
            <w:r w:rsidR="00151713" w:rsidRPr="00834536">
              <w:t>12</w:t>
            </w:r>
          </w:p>
        </w:tc>
        <w:tc>
          <w:tcPr>
            <w:tcW w:w="1073" w:type="dxa"/>
            <w:shd w:val="clear" w:color="auto" w:fill="C2D69B" w:themeFill="accent3" w:themeFillTint="99"/>
            <w:vAlign w:val="center"/>
          </w:tcPr>
          <w:p w14:paraId="2245FDA8" w14:textId="77777777" w:rsidR="00151713" w:rsidRPr="00834536" w:rsidRDefault="007932CD" w:rsidP="00A34307">
            <w:r>
              <w:t>13−</w:t>
            </w:r>
            <w:r w:rsidR="00151713" w:rsidRPr="00834536">
              <w:t>14</w:t>
            </w:r>
          </w:p>
        </w:tc>
        <w:tc>
          <w:tcPr>
            <w:tcW w:w="1073" w:type="dxa"/>
            <w:shd w:val="clear" w:color="auto" w:fill="C2D69B" w:themeFill="accent3" w:themeFillTint="99"/>
            <w:vAlign w:val="center"/>
          </w:tcPr>
          <w:p w14:paraId="7220EA8C" w14:textId="77777777" w:rsidR="00151713" w:rsidRPr="00834536" w:rsidRDefault="007932CD" w:rsidP="00A34307">
            <w:r>
              <w:t>15−</w:t>
            </w:r>
            <w:r w:rsidR="00151713" w:rsidRPr="00834536">
              <w:t>16</w:t>
            </w:r>
          </w:p>
        </w:tc>
        <w:tc>
          <w:tcPr>
            <w:tcW w:w="1073" w:type="dxa"/>
            <w:shd w:val="clear" w:color="auto" w:fill="C2D69B" w:themeFill="accent3" w:themeFillTint="99"/>
            <w:vAlign w:val="center"/>
          </w:tcPr>
          <w:p w14:paraId="73D2F8DD" w14:textId="77777777" w:rsidR="00151713" w:rsidRPr="00E40A97" w:rsidRDefault="00151713" w:rsidP="00A34307">
            <w:r w:rsidRPr="00E40A97">
              <w:t>celkem</w:t>
            </w:r>
          </w:p>
        </w:tc>
      </w:tr>
      <w:tr w:rsidR="00151713" w14:paraId="5ABCB323" w14:textId="77777777" w:rsidTr="00877A5B">
        <w:tc>
          <w:tcPr>
            <w:tcW w:w="2127" w:type="dxa"/>
            <w:shd w:val="clear" w:color="auto" w:fill="EAF1DD" w:themeFill="accent3" w:themeFillTint="33"/>
            <w:vAlign w:val="center"/>
          </w:tcPr>
          <w:p w14:paraId="0ADDC482" w14:textId="77777777" w:rsidR="00151713" w:rsidRPr="00834536" w:rsidRDefault="00151713" w:rsidP="00097310">
            <w:pPr>
              <w:jc w:val="left"/>
            </w:pPr>
            <w:r w:rsidRPr="00834536">
              <w:t>Služební poměr</w:t>
            </w:r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14:paraId="78C86B64" w14:textId="77777777" w:rsidR="00151713" w:rsidRPr="00834536" w:rsidRDefault="00151713" w:rsidP="00A34307">
            <w:r w:rsidRPr="00834536">
              <w:t>0</w:t>
            </w:r>
          </w:p>
        </w:tc>
        <w:tc>
          <w:tcPr>
            <w:tcW w:w="1072" w:type="dxa"/>
            <w:shd w:val="clear" w:color="auto" w:fill="EAF1DD" w:themeFill="accent3" w:themeFillTint="33"/>
            <w:vAlign w:val="center"/>
          </w:tcPr>
          <w:p w14:paraId="3BCCD610" w14:textId="77777777" w:rsidR="00151713" w:rsidRPr="00834536" w:rsidRDefault="00151713" w:rsidP="00A34307">
            <w:r w:rsidRPr="00834536">
              <w:t>112</w:t>
            </w:r>
          </w:p>
        </w:tc>
        <w:tc>
          <w:tcPr>
            <w:tcW w:w="1072" w:type="dxa"/>
            <w:shd w:val="clear" w:color="auto" w:fill="D6E3BC" w:themeFill="accent3" w:themeFillTint="66"/>
            <w:vAlign w:val="center"/>
          </w:tcPr>
          <w:p w14:paraId="3C3CEBAB" w14:textId="77777777" w:rsidR="00151713" w:rsidRPr="00382BC5" w:rsidRDefault="00151713" w:rsidP="00A34307">
            <w:r w:rsidRPr="00382BC5">
              <w:t>772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0829E062" w14:textId="77777777" w:rsidR="00151713" w:rsidRPr="00834536" w:rsidRDefault="00151713" w:rsidP="00A34307">
            <w:r w:rsidRPr="00834536">
              <w:t>216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4991BA3C" w14:textId="77777777" w:rsidR="00151713" w:rsidRPr="00834536" w:rsidRDefault="00151713" w:rsidP="00A34307">
            <w:r w:rsidRPr="00834536">
              <w:t>160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76A27732" w14:textId="77777777" w:rsidR="00151713" w:rsidRPr="00834536" w:rsidRDefault="00151713" w:rsidP="00A34307">
            <w:r w:rsidRPr="00834536">
              <w:t>9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51C3AC7A" w14:textId="77777777" w:rsidR="00151713" w:rsidRPr="00E40A97" w:rsidRDefault="00151713" w:rsidP="00A34307">
            <w:r w:rsidRPr="00E40A97">
              <w:t>1269</w:t>
            </w:r>
          </w:p>
        </w:tc>
      </w:tr>
      <w:tr w:rsidR="00151713" w14:paraId="2C50F5B4" w14:textId="77777777" w:rsidTr="00877A5B">
        <w:tc>
          <w:tcPr>
            <w:tcW w:w="2127" w:type="dxa"/>
            <w:shd w:val="clear" w:color="auto" w:fill="EAF1DD" w:themeFill="accent3" w:themeFillTint="33"/>
            <w:vAlign w:val="center"/>
          </w:tcPr>
          <w:p w14:paraId="1431385C" w14:textId="77777777" w:rsidR="00151713" w:rsidRPr="00834536" w:rsidRDefault="00151713" w:rsidP="00097310">
            <w:pPr>
              <w:jc w:val="left"/>
            </w:pPr>
            <w:r w:rsidRPr="00834536">
              <w:t>Z toho zkrácený úvazek</w:t>
            </w:r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14:paraId="3F4BD174" w14:textId="77777777" w:rsidR="00151713" w:rsidRPr="00834536" w:rsidRDefault="00151713" w:rsidP="00A34307">
            <w:r w:rsidRPr="00834536">
              <w:t>0</w:t>
            </w:r>
          </w:p>
        </w:tc>
        <w:tc>
          <w:tcPr>
            <w:tcW w:w="1072" w:type="dxa"/>
            <w:shd w:val="clear" w:color="auto" w:fill="EAF1DD" w:themeFill="accent3" w:themeFillTint="33"/>
            <w:vAlign w:val="center"/>
          </w:tcPr>
          <w:p w14:paraId="5AAF132D" w14:textId="77777777" w:rsidR="00151713" w:rsidRPr="00834536" w:rsidRDefault="00151713" w:rsidP="00A34307">
            <w:r w:rsidRPr="00834536">
              <w:t>23</w:t>
            </w:r>
          </w:p>
        </w:tc>
        <w:tc>
          <w:tcPr>
            <w:tcW w:w="1072" w:type="dxa"/>
            <w:shd w:val="clear" w:color="auto" w:fill="EAF1DD" w:themeFill="accent3" w:themeFillTint="33"/>
            <w:vAlign w:val="center"/>
          </w:tcPr>
          <w:p w14:paraId="097F7C7E" w14:textId="77777777" w:rsidR="00151713" w:rsidRPr="00834536" w:rsidRDefault="00151713" w:rsidP="00A34307">
            <w:r w:rsidRPr="00834536">
              <w:t>108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7AD7AAC3" w14:textId="77777777" w:rsidR="00151713" w:rsidRPr="00834536" w:rsidRDefault="00151713" w:rsidP="00A34307">
            <w:r w:rsidRPr="00834536">
              <w:t>17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3EBEF57F" w14:textId="77777777" w:rsidR="00151713" w:rsidRPr="00834536" w:rsidRDefault="00151713" w:rsidP="00A34307">
            <w:r w:rsidRPr="00834536">
              <w:t>49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3EDCF050" w14:textId="77777777" w:rsidR="00151713" w:rsidRPr="00834536" w:rsidRDefault="00151713" w:rsidP="00A34307">
            <w:r w:rsidRPr="00834536">
              <w:t>0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3CFC0B79" w14:textId="77777777" w:rsidR="00151713" w:rsidRPr="00E40A97" w:rsidRDefault="00151713" w:rsidP="00A34307">
            <w:r w:rsidRPr="00E40A97">
              <w:t>197</w:t>
            </w:r>
          </w:p>
        </w:tc>
      </w:tr>
      <w:tr w:rsidR="00151713" w14:paraId="60C304F7" w14:textId="77777777" w:rsidTr="00877A5B">
        <w:tc>
          <w:tcPr>
            <w:tcW w:w="2127" w:type="dxa"/>
            <w:shd w:val="clear" w:color="auto" w:fill="EAF1DD" w:themeFill="accent3" w:themeFillTint="33"/>
            <w:vAlign w:val="center"/>
          </w:tcPr>
          <w:p w14:paraId="38EEBE93" w14:textId="77777777" w:rsidR="00151713" w:rsidRPr="00834536" w:rsidRDefault="007932CD" w:rsidP="00097310">
            <w:pPr>
              <w:jc w:val="left"/>
            </w:pPr>
            <w:r>
              <w:t>P</w:t>
            </w:r>
            <w:r w:rsidR="00151713" w:rsidRPr="00834536">
              <w:t>racovní poměr</w:t>
            </w:r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14:paraId="3A11F27B" w14:textId="77777777" w:rsidR="00151713" w:rsidRPr="00834536" w:rsidRDefault="00151713" w:rsidP="00A34307">
            <w:r w:rsidRPr="00834536">
              <w:t>97</w:t>
            </w:r>
          </w:p>
        </w:tc>
        <w:tc>
          <w:tcPr>
            <w:tcW w:w="1072" w:type="dxa"/>
            <w:shd w:val="clear" w:color="auto" w:fill="EAF1DD" w:themeFill="accent3" w:themeFillTint="33"/>
            <w:vAlign w:val="center"/>
          </w:tcPr>
          <w:p w14:paraId="5D9033CB" w14:textId="77777777" w:rsidR="00151713" w:rsidRPr="00834536" w:rsidRDefault="00151713" w:rsidP="00A34307">
            <w:r w:rsidRPr="00834536">
              <w:t>139</w:t>
            </w:r>
          </w:p>
        </w:tc>
        <w:tc>
          <w:tcPr>
            <w:tcW w:w="1072" w:type="dxa"/>
            <w:shd w:val="clear" w:color="auto" w:fill="D6E3BC" w:themeFill="accent3" w:themeFillTint="66"/>
            <w:vAlign w:val="center"/>
          </w:tcPr>
          <w:p w14:paraId="001FEE28" w14:textId="77777777" w:rsidR="00151713" w:rsidRPr="00834536" w:rsidRDefault="00151713" w:rsidP="00A34307">
            <w:r w:rsidRPr="0025773D">
              <w:t>151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64002E39" w14:textId="77777777" w:rsidR="00151713" w:rsidRPr="00834536" w:rsidRDefault="00151713" w:rsidP="00A34307">
            <w:r w:rsidRPr="00834536">
              <w:t>32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75FA3BAA" w14:textId="77777777" w:rsidR="00151713" w:rsidRPr="00834536" w:rsidRDefault="00151713" w:rsidP="00A34307">
            <w:r w:rsidRPr="00834536">
              <w:t>15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1BCFD3C2" w14:textId="77777777" w:rsidR="00151713" w:rsidRPr="00834536" w:rsidRDefault="00151713" w:rsidP="00A34307">
            <w:r w:rsidRPr="00834536">
              <w:t>1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0EFB7BA4" w14:textId="77777777" w:rsidR="00151713" w:rsidRPr="00E40A97" w:rsidRDefault="00151713" w:rsidP="00A34307">
            <w:r w:rsidRPr="00E40A97">
              <w:t>435</w:t>
            </w:r>
          </w:p>
        </w:tc>
      </w:tr>
      <w:tr w:rsidR="00151713" w14:paraId="4A5EBC1E" w14:textId="77777777" w:rsidTr="00877A5B">
        <w:tc>
          <w:tcPr>
            <w:tcW w:w="2127" w:type="dxa"/>
            <w:shd w:val="clear" w:color="auto" w:fill="EAF1DD" w:themeFill="accent3" w:themeFillTint="33"/>
            <w:vAlign w:val="center"/>
          </w:tcPr>
          <w:p w14:paraId="34A24F06" w14:textId="77777777" w:rsidR="00151713" w:rsidRPr="00834536" w:rsidRDefault="00151713" w:rsidP="00097310">
            <w:pPr>
              <w:jc w:val="left"/>
            </w:pPr>
            <w:r w:rsidRPr="00834536">
              <w:t>Z toho zkrácený úvazek</w:t>
            </w:r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14:paraId="51BE641B" w14:textId="77777777" w:rsidR="00151713" w:rsidRPr="00834536" w:rsidRDefault="00151713" w:rsidP="00A34307">
            <w:r w:rsidRPr="00834536">
              <w:t>24</w:t>
            </w:r>
          </w:p>
        </w:tc>
        <w:tc>
          <w:tcPr>
            <w:tcW w:w="1072" w:type="dxa"/>
            <w:shd w:val="clear" w:color="auto" w:fill="EAF1DD" w:themeFill="accent3" w:themeFillTint="33"/>
            <w:vAlign w:val="center"/>
          </w:tcPr>
          <w:p w14:paraId="1013523A" w14:textId="77777777" w:rsidR="00151713" w:rsidRPr="00834536" w:rsidRDefault="00151713" w:rsidP="00A34307">
            <w:r w:rsidRPr="00834536">
              <w:t>23</w:t>
            </w:r>
          </w:p>
        </w:tc>
        <w:tc>
          <w:tcPr>
            <w:tcW w:w="1072" w:type="dxa"/>
            <w:shd w:val="clear" w:color="auto" w:fill="EAF1DD" w:themeFill="accent3" w:themeFillTint="33"/>
            <w:vAlign w:val="center"/>
          </w:tcPr>
          <w:p w14:paraId="50463C8F" w14:textId="77777777" w:rsidR="00151713" w:rsidRPr="00834536" w:rsidRDefault="00151713" w:rsidP="00A34307">
            <w:r w:rsidRPr="00834536">
              <w:t>21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318E0A59" w14:textId="77777777" w:rsidR="00151713" w:rsidRPr="00834536" w:rsidRDefault="00151713" w:rsidP="00A34307">
            <w:r w:rsidRPr="00834536">
              <w:t>14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312FCE5A" w14:textId="77777777" w:rsidR="00151713" w:rsidRPr="00834536" w:rsidRDefault="00151713" w:rsidP="00A34307">
            <w:r w:rsidRPr="00834536">
              <w:t>3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120C1A41" w14:textId="77777777" w:rsidR="00151713" w:rsidRPr="00834536" w:rsidRDefault="00151713" w:rsidP="00A34307">
            <w:r w:rsidRPr="00834536">
              <w:t>0</w:t>
            </w:r>
          </w:p>
        </w:tc>
        <w:tc>
          <w:tcPr>
            <w:tcW w:w="1073" w:type="dxa"/>
            <w:shd w:val="clear" w:color="auto" w:fill="EAF1DD" w:themeFill="accent3" w:themeFillTint="33"/>
            <w:vAlign w:val="center"/>
          </w:tcPr>
          <w:p w14:paraId="7557F4FE" w14:textId="77777777" w:rsidR="00151713" w:rsidRPr="00E40A97" w:rsidRDefault="00151713" w:rsidP="00A34307">
            <w:r w:rsidRPr="00E40A97">
              <w:t>85</w:t>
            </w:r>
          </w:p>
        </w:tc>
      </w:tr>
      <w:tr w:rsidR="00151713" w14:paraId="6F74F145" w14:textId="77777777" w:rsidTr="00877A5B">
        <w:tc>
          <w:tcPr>
            <w:tcW w:w="2127" w:type="dxa"/>
            <w:shd w:val="clear" w:color="auto" w:fill="9BBB59" w:themeFill="accent3"/>
            <w:vAlign w:val="center"/>
          </w:tcPr>
          <w:p w14:paraId="2F63B0E1" w14:textId="77777777" w:rsidR="00151713" w:rsidRPr="00E40A97" w:rsidRDefault="00151713" w:rsidP="00A34307">
            <w:r w:rsidRPr="00E40A97">
              <w:t>celkem</w:t>
            </w:r>
          </w:p>
        </w:tc>
        <w:tc>
          <w:tcPr>
            <w:tcW w:w="617" w:type="dxa"/>
            <w:shd w:val="clear" w:color="auto" w:fill="9BBB59" w:themeFill="accent3"/>
            <w:vAlign w:val="center"/>
          </w:tcPr>
          <w:p w14:paraId="1E856362" w14:textId="77777777" w:rsidR="00151713" w:rsidRPr="00E40A97" w:rsidRDefault="00151713" w:rsidP="00A34307">
            <w:r w:rsidRPr="00E40A97">
              <w:t>97</w:t>
            </w:r>
          </w:p>
        </w:tc>
        <w:tc>
          <w:tcPr>
            <w:tcW w:w="1072" w:type="dxa"/>
            <w:shd w:val="clear" w:color="auto" w:fill="9BBB59" w:themeFill="accent3"/>
            <w:vAlign w:val="center"/>
          </w:tcPr>
          <w:p w14:paraId="7E42708D" w14:textId="77777777" w:rsidR="00151713" w:rsidRPr="00E40A97" w:rsidRDefault="00151713" w:rsidP="00A34307">
            <w:r w:rsidRPr="00E40A97">
              <w:t>251</w:t>
            </w:r>
          </w:p>
        </w:tc>
        <w:tc>
          <w:tcPr>
            <w:tcW w:w="1072" w:type="dxa"/>
            <w:shd w:val="clear" w:color="auto" w:fill="9BBB59" w:themeFill="accent3"/>
            <w:vAlign w:val="center"/>
          </w:tcPr>
          <w:p w14:paraId="55E4DC24" w14:textId="77777777" w:rsidR="00151713" w:rsidRPr="00E40A97" w:rsidRDefault="00151713" w:rsidP="00A34307">
            <w:r w:rsidRPr="00E40A97">
              <w:t>923</w:t>
            </w:r>
          </w:p>
        </w:tc>
        <w:tc>
          <w:tcPr>
            <w:tcW w:w="1073" w:type="dxa"/>
            <w:shd w:val="clear" w:color="auto" w:fill="9BBB59" w:themeFill="accent3"/>
            <w:vAlign w:val="center"/>
          </w:tcPr>
          <w:p w14:paraId="47DE21ED" w14:textId="77777777" w:rsidR="00151713" w:rsidRPr="00E40A97" w:rsidRDefault="00151713" w:rsidP="00A34307">
            <w:r w:rsidRPr="00E40A97">
              <w:t>248</w:t>
            </w:r>
          </w:p>
        </w:tc>
        <w:tc>
          <w:tcPr>
            <w:tcW w:w="1073" w:type="dxa"/>
            <w:shd w:val="clear" w:color="auto" w:fill="9BBB59" w:themeFill="accent3"/>
            <w:vAlign w:val="center"/>
          </w:tcPr>
          <w:p w14:paraId="2FC85A90" w14:textId="77777777" w:rsidR="00151713" w:rsidRPr="00E40A97" w:rsidRDefault="00151713" w:rsidP="00A34307">
            <w:r w:rsidRPr="00E40A97">
              <w:t>175</w:t>
            </w:r>
          </w:p>
        </w:tc>
        <w:tc>
          <w:tcPr>
            <w:tcW w:w="1073" w:type="dxa"/>
            <w:shd w:val="clear" w:color="auto" w:fill="9BBB59" w:themeFill="accent3"/>
            <w:vAlign w:val="center"/>
          </w:tcPr>
          <w:p w14:paraId="34471B82" w14:textId="77777777" w:rsidR="00151713" w:rsidRPr="00E40A97" w:rsidRDefault="00151713" w:rsidP="00A34307">
            <w:r w:rsidRPr="00E40A97">
              <w:t>10</w:t>
            </w:r>
          </w:p>
        </w:tc>
        <w:tc>
          <w:tcPr>
            <w:tcW w:w="1073" w:type="dxa"/>
            <w:shd w:val="clear" w:color="auto" w:fill="9BBB59" w:themeFill="accent3"/>
            <w:vAlign w:val="center"/>
          </w:tcPr>
          <w:p w14:paraId="26F711DC" w14:textId="77777777" w:rsidR="00151713" w:rsidRPr="00E40A97" w:rsidRDefault="00151713" w:rsidP="00A34307">
            <w:r>
              <w:t>1 704</w:t>
            </w:r>
          </w:p>
        </w:tc>
      </w:tr>
    </w:tbl>
    <w:p w14:paraId="3794E8BA" w14:textId="68EB408D" w:rsidR="000941A7" w:rsidRPr="00C320A8" w:rsidRDefault="00610703" w:rsidP="00C320A8">
      <w:pPr>
        <w:pStyle w:val="Podtitul"/>
      </w:pPr>
      <w:r w:rsidRPr="005A108D">
        <w:t>Zaměstnanci se zdravotním postižením</w:t>
      </w:r>
      <w:r w:rsidR="000941A7" w:rsidRPr="005A108D">
        <w:t xml:space="preserve"> dle uznaného stupně invalidity</w:t>
      </w:r>
      <w:r w:rsidR="0097445F" w:rsidRPr="0097445F">
        <w:t xml:space="preserve"> </w:t>
      </w:r>
      <w:r w:rsidR="00F21FB0">
        <w:t>dle </w:t>
      </w:r>
      <w:r w:rsidR="0097445F">
        <w:t>zařazení do platových tříd</w:t>
      </w:r>
    </w:p>
    <w:p w14:paraId="66B10621" w14:textId="77777777" w:rsidR="00905054" w:rsidRDefault="000941A7" w:rsidP="00427569">
      <w:pPr>
        <w:pStyle w:val="Odstavecseseznamem"/>
      </w:pPr>
      <w:r>
        <w:t xml:space="preserve">Z celkového počtu </w:t>
      </w:r>
      <w:r w:rsidR="00535A0C">
        <w:t xml:space="preserve">205 </w:t>
      </w:r>
      <w:r w:rsidR="00914221">
        <w:t>zaměstnanců</w:t>
      </w:r>
      <w:r w:rsidR="00905054">
        <w:t xml:space="preserve"> se zdravot</w:t>
      </w:r>
      <w:r w:rsidR="00711ECA">
        <w:t>ním znevýhodněním jich bylo 8 zařazeno</w:t>
      </w:r>
      <w:r w:rsidR="00E41CFF">
        <w:t> </w:t>
      </w:r>
      <w:r w:rsidR="00711ECA">
        <w:t xml:space="preserve">do </w:t>
      </w:r>
      <w:r w:rsidR="00905054">
        <w:t>páté a nižší platové tří</w:t>
      </w:r>
      <w:r w:rsidR="00711ECA">
        <w:t>dy, 10 do 6–8 platové třídy, 95 do</w:t>
      </w:r>
      <w:r w:rsidR="00F575A5">
        <w:t xml:space="preserve"> 9–</w:t>
      </w:r>
      <w:r w:rsidR="00711ECA">
        <w:t>10 platové třídy</w:t>
      </w:r>
      <w:r w:rsidR="00821F9D">
        <w:t>, 56</w:t>
      </w:r>
      <w:r w:rsidR="00711ECA">
        <w:t xml:space="preserve"> do</w:t>
      </w:r>
      <w:r w:rsidR="00F575A5">
        <w:t xml:space="preserve"> 11–</w:t>
      </w:r>
      <w:r w:rsidR="00711ECA">
        <w:t>12 platové třídy</w:t>
      </w:r>
      <w:r w:rsidR="00905054">
        <w:t xml:space="preserve">, 33 </w:t>
      </w:r>
      <w:r w:rsidR="00711ECA">
        <w:t>do 13–14 platové třídy a 3 do</w:t>
      </w:r>
      <w:r w:rsidR="00F575A5">
        <w:t xml:space="preserve"> 15–</w:t>
      </w:r>
      <w:r w:rsidR="00711ECA">
        <w:t>16 platové třídy</w:t>
      </w:r>
      <w:r w:rsidR="00905054">
        <w:t>.</w:t>
      </w:r>
    </w:p>
    <w:p w14:paraId="304502AC" w14:textId="77777777" w:rsidR="00905054" w:rsidRDefault="00905054" w:rsidP="00427569">
      <w:pPr>
        <w:pStyle w:val="Odstavecseseznamem"/>
      </w:pPr>
      <w:r>
        <w:t xml:space="preserve">Z celkového počtu </w:t>
      </w:r>
      <w:r w:rsidR="00535A0C">
        <w:t xml:space="preserve">1 051 </w:t>
      </w:r>
      <w:r w:rsidR="00914221">
        <w:t>zaměstnanců s uznaným prvním stupněm invalidity</w:t>
      </w:r>
      <w:r w:rsidR="00173E9C">
        <w:t xml:space="preserve"> jich bylo </w:t>
      </w:r>
      <w:r w:rsidR="00A146A1">
        <w:t xml:space="preserve">zařazeno </w:t>
      </w:r>
      <w:r w:rsidR="00173E9C">
        <w:t>56</w:t>
      </w:r>
      <w:r w:rsidR="00970BF0">
        <w:t xml:space="preserve"> </w:t>
      </w:r>
      <w:r w:rsidR="00A146A1">
        <w:t>do páté a nižší platové třídy, 166 do 6–8 platové třídy, 623 do</w:t>
      </w:r>
      <w:r w:rsidR="00F575A5">
        <w:t xml:space="preserve"> 9–</w:t>
      </w:r>
      <w:r w:rsidR="00A146A1">
        <w:t>10 platové třídy</w:t>
      </w:r>
      <w:r w:rsidR="00821F9D">
        <w:t>, 138</w:t>
      </w:r>
      <w:r w:rsidR="00A146A1">
        <w:t xml:space="preserve"> do</w:t>
      </w:r>
      <w:r w:rsidR="00F575A5">
        <w:t xml:space="preserve"> 11–</w:t>
      </w:r>
      <w:r w:rsidR="00A146A1">
        <w:t>12 platové třídy</w:t>
      </w:r>
      <w:r w:rsidR="00173E9C">
        <w:t>, 64</w:t>
      </w:r>
      <w:r>
        <w:t xml:space="preserve"> </w:t>
      </w:r>
      <w:r w:rsidR="00A146A1">
        <w:t>do</w:t>
      </w:r>
      <w:r w:rsidR="00F575A5">
        <w:t xml:space="preserve"> 13–1</w:t>
      </w:r>
      <w:r w:rsidR="00173E9C">
        <w:t>4 pla</w:t>
      </w:r>
      <w:r w:rsidR="00A146A1">
        <w:t>tové třídy</w:t>
      </w:r>
      <w:r w:rsidR="00173E9C">
        <w:t xml:space="preserve"> a 4</w:t>
      </w:r>
      <w:r w:rsidR="00A146A1">
        <w:t xml:space="preserve"> do</w:t>
      </w:r>
      <w:r w:rsidR="00F575A5">
        <w:t xml:space="preserve"> 15–</w:t>
      </w:r>
      <w:r w:rsidR="00A146A1">
        <w:t>16 platové třídy</w:t>
      </w:r>
      <w:r>
        <w:t>.</w:t>
      </w:r>
    </w:p>
    <w:p w14:paraId="62843C6D" w14:textId="77777777" w:rsidR="00905054" w:rsidRDefault="00905054" w:rsidP="00427569">
      <w:pPr>
        <w:pStyle w:val="Odstavecseseznamem"/>
      </w:pPr>
      <w:r>
        <w:t>Z celkového počtu</w:t>
      </w:r>
      <w:r w:rsidR="00A146A1">
        <w:t xml:space="preserve"> 299</w:t>
      </w:r>
      <w:r>
        <w:t xml:space="preserve"> </w:t>
      </w:r>
      <w:r w:rsidR="00970BF0">
        <w:t>zaměstnanců s uznaným druhým stupněm invalidity jich bylo 21</w:t>
      </w:r>
      <w:r w:rsidR="00A146A1">
        <w:t xml:space="preserve"> zařazeno do </w:t>
      </w:r>
      <w:r w:rsidR="00970BF0">
        <w:t>pát</w:t>
      </w:r>
      <w:r w:rsidR="00A146A1">
        <w:t>é a nižší platové třídy, 60 do 6–8 platové třídy, 139 do</w:t>
      </w:r>
      <w:r w:rsidR="00F575A5">
        <w:t xml:space="preserve"> 9–</w:t>
      </w:r>
      <w:r w:rsidR="00A146A1">
        <w:t>10 platové třídy</w:t>
      </w:r>
      <w:r w:rsidR="00970BF0">
        <w:t>, 27</w:t>
      </w:r>
      <w:r>
        <w:t xml:space="preserve"> </w:t>
      </w:r>
      <w:r w:rsidR="00A146A1">
        <w:t>do</w:t>
      </w:r>
      <w:r w:rsidR="00F90F35">
        <w:t> </w:t>
      </w:r>
      <w:r w:rsidR="00F575A5">
        <w:t>11–</w:t>
      </w:r>
      <w:r w:rsidR="00A146A1">
        <w:t>12 platové třídy</w:t>
      </w:r>
      <w:r w:rsidR="00821F9D">
        <w:t>, 52</w:t>
      </w:r>
      <w:r w:rsidR="00970BF0">
        <w:t xml:space="preserve"> </w:t>
      </w:r>
      <w:r w:rsidR="00A146A1">
        <w:t>do</w:t>
      </w:r>
      <w:r w:rsidR="00F575A5">
        <w:t xml:space="preserve"> 13–</w:t>
      </w:r>
      <w:r w:rsidR="00A146A1">
        <w:t>14 platové třídy</w:t>
      </w:r>
      <w:r w:rsidR="00970BF0">
        <w:t xml:space="preserve"> a </w:t>
      </w:r>
      <w:r w:rsidR="00A146A1">
        <w:t>do</w:t>
      </w:r>
      <w:r w:rsidR="00F575A5">
        <w:t xml:space="preserve"> 15–</w:t>
      </w:r>
      <w:r w:rsidR="00A146A1">
        <w:t>16 platové třídy nebyl zařazen nikdo</w:t>
      </w:r>
      <w:r>
        <w:t>.</w:t>
      </w:r>
    </w:p>
    <w:p w14:paraId="060F076E" w14:textId="77777777" w:rsidR="00905054" w:rsidRDefault="00905054" w:rsidP="00427569">
      <w:pPr>
        <w:pStyle w:val="Odstavecseseznamem"/>
      </w:pPr>
      <w:r>
        <w:t xml:space="preserve">Z celkového počtu </w:t>
      </w:r>
      <w:r w:rsidR="00535A0C">
        <w:t xml:space="preserve">149 </w:t>
      </w:r>
      <w:r w:rsidR="00970BF0">
        <w:t xml:space="preserve">zaměstnanců s uznaným třetím stupněm invalidity jich bylo 12 </w:t>
      </w:r>
      <w:r w:rsidR="00B63657">
        <w:t>zařazeno do</w:t>
      </w:r>
      <w:r w:rsidR="00970BF0">
        <w:t xml:space="preserve"> pát</w:t>
      </w:r>
      <w:r w:rsidR="00B63657">
        <w:t>é a nižší platové třídy, 15 do</w:t>
      </w:r>
      <w:r w:rsidR="00CD0406">
        <w:t xml:space="preserve"> 6–</w:t>
      </w:r>
      <w:r w:rsidR="00B63657">
        <w:t>8 platové třídy, 66 do</w:t>
      </w:r>
      <w:r w:rsidR="00095DCF">
        <w:t xml:space="preserve"> 9–</w:t>
      </w:r>
      <w:r w:rsidR="00B63657">
        <w:t>10 platové třídy</w:t>
      </w:r>
      <w:r w:rsidR="00970BF0">
        <w:t>, 27</w:t>
      </w:r>
      <w:r>
        <w:t xml:space="preserve"> </w:t>
      </w:r>
      <w:r w:rsidR="00B63657">
        <w:t>do</w:t>
      </w:r>
      <w:r w:rsidR="00CD0406">
        <w:t xml:space="preserve"> 11–</w:t>
      </w:r>
      <w:r w:rsidR="00B63657">
        <w:t>12 platové třídy</w:t>
      </w:r>
      <w:r w:rsidR="00970BF0">
        <w:t>, 26</w:t>
      </w:r>
      <w:r w:rsidR="00B63657">
        <w:t xml:space="preserve"> do 13–14 platové třídy a 3 do</w:t>
      </w:r>
      <w:r w:rsidR="00CD0406">
        <w:t xml:space="preserve"> 15–</w:t>
      </w:r>
      <w:r w:rsidR="00B63657">
        <w:t>16 platové třídy</w:t>
      </w:r>
      <w:r>
        <w:t>.</w:t>
      </w:r>
    </w:p>
    <w:p w14:paraId="099CB4AC" w14:textId="35D9542B" w:rsidR="006E731E" w:rsidRPr="00877A5B" w:rsidRDefault="006E731E" w:rsidP="00C320A8">
      <w:pPr>
        <w:pStyle w:val="Titulek"/>
      </w:pPr>
      <w:bookmarkStart w:id="473" w:name="_Toc45513010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35</w:t>
      </w:r>
      <w:r w:rsidR="00FC5B08">
        <w:rPr>
          <w:noProof/>
        </w:rPr>
        <w:fldChar w:fldCharType="end"/>
      </w:r>
      <w:r w:rsidR="00877A5B">
        <w:t xml:space="preserve"> Počet OZP dle stupně invalidity a zařazení do platové třídy</w:t>
      </w:r>
      <w:bookmarkEnd w:id="473"/>
    </w:p>
    <w:p w14:paraId="5BCBD651" w14:textId="77777777" w:rsidR="006E731E" w:rsidRPr="00A34307" w:rsidRDefault="007E4E36" w:rsidP="00864186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5E949A5B" wp14:editId="041F334C">
            <wp:extent cx="5076825" cy="3762375"/>
            <wp:effectExtent l="0" t="0" r="9525" b="9525"/>
            <wp:docPr id="51" name="Graf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bookmarkStart w:id="474" w:name="_Toc24641630"/>
    </w:p>
    <w:p w14:paraId="35E9C53B" w14:textId="77777777" w:rsidR="00BA5113" w:rsidRDefault="00BA5113" w:rsidP="00E10D06">
      <w:pPr>
        <w:pStyle w:val="Nadpis3"/>
      </w:pPr>
      <w:r w:rsidRPr="00632F32">
        <w:t>Zaměstnávání</w:t>
      </w:r>
      <w:r w:rsidRPr="00E23A3B">
        <w:t xml:space="preserve"> OZP </w:t>
      </w:r>
      <w:r w:rsidR="00741B6F">
        <w:t>na ministerstvech</w:t>
      </w:r>
      <w:r>
        <w:t xml:space="preserve"> dle </w:t>
      </w:r>
      <w:r w:rsidR="00741B6F">
        <w:t>zařazení do platové třídy</w:t>
      </w:r>
      <w:bookmarkEnd w:id="474"/>
    </w:p>
    <w:p w14:paraId="6440402C" w14:textId="77777777" w:rsidR="00F4125F" w:rsidRPr="00455CFF" w:rsidRDefault="00741B6F" w:rsidP="00427569">
      <w:pPr>
        <w:pStyle w:val="Odstavecseseznamem"/>
        <w:numPr>
          <w:ilvl w:val="0"/>
          <w:numId w:val="22"/>
        </w:numPr>
      </w:pPr>
      <w:r>
        <w:t xml:space="preserve">V ministerstvech bylo z celkového počtu </w:t>
      </w:r>
      <w:r w:rsidR="009A626B">
        <w:t>270</w:t>
      </w:r>
      <w:r>
        <w:t xml:space="preserve"> zaměstnanců se zdravotním postižením</w:t>
      </w:r>
      <w:r w:rsidRPr="00741B6F">
        <w:t xml:space="preserve"> </w:t>
      </w:r>
      <w:r w:rsidR="009A626B">
        <w:t xml:space="preserve">zařazeno 15 osob do páté a nižší platové třídy </w:t>
      </w:r>
      <w:r w:rsidR="009A626B" w:rsidRPr="00741B6F">
        <w:t>(</w:t>
      </w:r>
      <w:r w:rsidR="009A626B">
        <w:t>9 žen a 6</w:t>
      </w:r>
      <w:r w:rsidR="009A626B" w:rsidRPr="00741B6F">
        <w:t xml:space="preserve"> mužů),</w:t>
      </w:r>
      <w:r w:rsidR="009A626B">
        <w:t xml:space="preserve"> 42</w:t>
      </w:r>
      <w:r w:rsidR="00CD0406">
        <w:t xml:space="preserve"> osob do 6–</w:t>
      </w:r>
      <w:r w:rsidRPr="00741B6F">
        <w:t>8 platové třídy (</w:t>
      </w:r>
      <w:r w:rsidR="009A626B">
        <w:t>23 žen a 19</w:t>
      </w:r>
      <w:r w:rsidRPr="00741B6F">
        <w:t xml:space="preserve"> mužů), </w:t>
      </w:r>
      <w:r w:rsidR="009A626B">
        <w:t>72</w:t>
      </w:r>
      <w:r w:rsidR="00CD0406">
        <w:t xml:space="preserve"> osob do 9–</w:t>
      </w:r>
      <w:r w:rsidRPr="00741B6F">
        <w:t>10 platové třídy (</w:t>
      </w:r>
      <w:r w:rsidR="009A626B">
        <w:t>52 žen a 20</w:t>
      </w:r>
      <w:r w:rsidRPr="00741B6F">
        <w:t xml:space="preserve"> mužů), </w:t>
      </w:r>
      <w:r w:rsidR="009A626B">
        <w:t>49</w:t>
      </w:r>
      <w:r w:rsidRPr="00741B6F">
        <w:t xml:space="preserve"> osob </w:t>
      </w:r>
      <w:r w:rsidR="00CD0406">
        <w:t>do 11–</w:t>
      </w:r>
      <w:r w:rsidRPr="00741B6F">
        <w:t>12 platové třídy (</w:t>
      </w:r>
      <w:r w:rsidR="009A626B">
        <w:t>35 žen a 14</w:t>
      </w:r>
      <w:r w:rsidRPr="00741B6F">
        <w:t xml:space="preserve"> mužů), </w:t>
      </w:r>
      <w:r w:rsidR="009A626B">
        <w:t>86</w:t>
      </w:r>
      <w:r w:rsidR="00CD0406">
        <w:t xml:space="preserve"> osob do 13–1</w:t>
      </w:r>
      <w:r w:rsidRPr="00741B6F">
        <w:t>4 platové třídy (</w:t>
      </w:r>
      <w:r w:rsidR="009A626B">
        <w:t>51 žen a 35 mužů) a 6</w:t>
      </w:r>
      <w:r w:rsidRPr="00741B6F">
        <w:t xml:space="preserve"> osob do 1</w:t>
      </w:r>
      <w:r w:rsidR="00CD0406">
        <w:t>5–</w:t>
      </w:r>
      <w:r w:rsidR="009A626B">
        <w:t>16 platové třídy (2</w:t>
      </w:r>
      <w:r w:rsidRPr="00741B6F">
        <w:t xml:space="preserve"> žen</w:t>
      </w:r>
      <w:r w:rsidR="009A626B">
        <w:t>y a 4 muži</w:t>
      </w:r>
      <w:r w:rsidRPr="00741B6F">
        <w:t>)</w:t>
      </w:r>
      <w:r w:rsidRPr="00FF66C6">
        <w:t>.</w:t>
      </w:r>
    </w:p>
    <w:p w14:paraId="0FEACCBA" w14:textId="76350E8B" w:rsidR="00877A5B" w:rsidRDefault="00877A5B" w:rsidP="00C320A8">
      <w:pPr>
        <w:pStyle w:val="Titulek"/>
      </w:pPr>
      <w:bookmarkStart w:id="475" w:name="_Toc45513011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36</w:t>
      </w:r>
      <w:r w:rsidR="00FC5B08">
        <w:rPr>
          <w:noProof/>
        </w:rPr>
        <w:fldChar w:fldCharType="end"/>
      </w:r>
      <w:r>
        <w:t xml:space="preserve"> Podíl OZP</w:t>
      </w:r>
      <w:r w:rsidRPr="00A43C36">
        <w:t xml:space="preserve"> </w:t>
      </w:r>
      <w:r>
        <w:t>dle zařazení do platových tříd na ministerstvech</w:t>
      </w:r>
      <w:bookmarkEnd w:id="475"/>
    </w:p>
    <w:p w14:paraId="3DBCAEE6" w14:textId="77777777" w:rsidR="00F4125F" w:rsidRPr="00A34307" w:rsidRDefault="00E04D20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45860653" wp14:editId="64FA4CAB">
            <wp:extent cx="5019675" cy="2638425"/>
            <wp:effectExtent l="0" t="0" r="9525" b="9525"/>
            <wp:docPr id="53" name="Graf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0A8E714B" w14:textId="420F5F5B" w:rsidR="00877A5B" w:rsidRDefault="00877A5B" w:rsidP="00C320A8">
      <w:pPr>
        <w:pStyle w:val="Titulek"/>
      </w:pPr>
      <w:bookmarkStart w:id="476" w:name="_Toc45513012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37</w:t>
      </w:r>
      <w:r w:rsidR="00FC5B08">
        <w:rPr>
          <w:noProof/>
        </w:rPr>
        <w:fldChar w:fldCharType="end"/>
      </w:r>
      <w:r>
        <w:t xml:space="preserve"> Podíl žen a mužů se zdravotním postižením v platových třídách na </w:t>
      </w:r>
      <w:r w:rsidRPr="00877A5B">
        <w:t>ministerstvech</w:t>
      </w:r>
      <w:bookmarkEnd w:id="476"/>
    </w:p>
    <w:p w14:paraId="159D0584" w14:textId="77777777" w:rsidR="005202D7" w:rsidRDefault="00E04D20" w:rsidP="00A34307">
      <w:pPr>
        <w:jc w:val="center"/>
      </w:pPr>
      <w:r>
        <w:rPr>
          <w:noProof/>
        </w:rPr>
        <w:drawing>
          <wp:inline distT="0" distB="0" distL="0" distR="0" wp14:anchorId="3548EF4F" wp14:editId="1E4AC6A0">
            <wp:extent cx="4991100" cy="3000375"/>
            <wp:effectExtent l="0" t="0" r="0" b="9525"/>
            <wp:docPr id="58" name="Graf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3E9666E" w14:textId="77777777" w:rsidR="00F4125F" w:rsidRPr="00612C2D" w:rsidRDefault="00F4125F" w:rsidP="00A34307">
      <w:pPr>
        <w:pStyle w:val="Podtitul"/>
      </w:pPr>
      <w:r>
        <w:t>Zaměstnanci se zdravotním postižením dle druhu zaměstnaneckého poměru</w:t>
      </w:r>
      <w:r w:rsidR="0074073C">
        <w:t xml:space="preserve"> </w:t>
      </w:r>
      <w:r w:rsidR="005E26CF">
        <w:t xml:space="preserve">a dle zařazení do platových tříd </w:t>
      </w:r>
      <w:r w:rsidR="0074073C">
        <w:t>na ministerstvech</w:t>
      </w:r>
    </w:p>
    <w:p w14:paraId="6C0B5CC1" w14:textId="77777777" w:rsidR="00F4125F" w:rsidRPr="004059B7" w:rsidRDefault="00F4125F" w:rsidP="00427569">
      <w:pPr>
        <w:pStyle w:val="Odstavecseseznamem"/>
        <w:numPr>
          <w:ilvl w:val="0"/>
          <w:numId w:val="22"/>
        </w:numPr>
      </w:pPr>
      <w:r>
        <w:t xml:space="preserve">Ve služebním poměru z celkového počtu </w:t>
      </w:r>
      <w:r w:rsidR="00B532DF">
        <w:t>161</w:t>
      </w:r>
      <w:r>
        <w:t xml:space="preserve"> OZP nebyl </w:t>
      </w:r>
      <w:r w:rsidR="007C5564">
        <w:t>na ministerstvech do</w:t>
      </w:r>
      <w:r>
        <w:t> páté a</w:t>
      </w:r>
      <w:r w:rsidR="007C5564">
        <w:t xml:space="preserve"> nižší třídy zařazen nikdo, do</w:t>
      </w:r>
      <w:r w:rsidR="004643DE">
        <w:t xml:space="preserve"> 6–</w:t>
      </w:r>
      <w:r w:rsidR="0074073C">
        <w:t>8 platové třídy</w:t>
      </w:r>
      <w:r>
        <w:t xml:space="preserve"> bylo </w:t>
      </w:r>
      <w:r w:rsidR="007C5564">
        <w:t xml:space="preserve">zařazeno </w:t>
      </w:r>
      <w:r w:rsidR="00B532DF">
        <w:t>10</w:t>
      </w:r>
      <w:r w:rsidR="0074073C">
        <w:t xml:space="preserve"> osob </w:t>
      </w:r>
      <w:r>
        <w:t>(</w:t>
      </w:r>
      <w:r w:rsidR="00B532DF">
        <w:t>6,2</w:t>
      </w:r>
      <w:r w:rsidR="00556845">
        <w:t xml:space="preserve"> %</w:t>
      </w:r>
      <w:r>
        <w:t>)</w:t>
      </w:r>
      <w:r w:rsidR="0074073C">
        <w:t>, do</w:t>
      </w:r>
      <w:r w:rsidR="00CF6751">
        <w:t xml:space="preserve"> 9–</w:t>
      </w:r>
      <w:r w:rsidR="0074073C">
        <w:t>10 platové třídy</w:t>
      </w:r>
      <w:r>
        <w:t xml:space="preserve"> </w:t>
      </w:r>
      <w:r w:rsidR="00B532DF">
        <w:t>30</w:t>
      </w:r>
      <w:r w:rsidR="0074073C">
        <w:t xml:space="preserve"> </w:t>
      </w:r>
      <w:r>
        <w:t>(</w:t>
      </w:r>
      <w:r w:rsidR="00B532DF">
        <w:t>18,6</w:t>
      </w:r>
      <w:r w:rsidR="00556845">
        <w:t xml:space="preserve"> %</w:t>
      </w:r>
      <w:r w:rsidR="0074073C">
        <w:t>), do</w:t>
      </w:r>
      <w:r w:rsidR="004643DE">
        <w:t xml:space="preserve"> 11–</w:t>
      </w:r>
      <w:r w:rsidR="0074073C">
        <w:t>12 platové třídy</w:t>
      </w:r>
      <w:r>
        <w:t xml:space="preserve"> </w:t>
      </w:r>
      <w:r w:rsidR="00B532DF">
        <w:t>37 (23</w:t>
      </w:r>
      <w:r w:rsidR="00556845">
        <w:t xml:space="preserve"> %</w:t>
      </w:r>
      <w:r w:rsidR="0074073C">
        <w:t>), do</w:t>
      </w:r>
      <w:r w:rsidR="004643DE">
        <w:t xml:space="preserve"> 13–</w:t>
      </w:r>
      <w:r w:rsidR="0074073C">
        <w:t>14 platové třídy</w:t>
      </w:r>
      <w:r>
        <w:t xml:space="preserve"> </w:t>
      </w:r>
      <w:r w:rsidR="00B532DF">
        <w:t>78 (48,4</w:t>
      </w:r>
      <w:r w:rsidR="00556845">
        <w:t xml:space="preserve"> %</w:t>
      </w:r>
      <w:r>
        <w:t xml:space="preserve">) a </w:t>
      </w:r>
      <w:r w:rsidR="00B532DF">
        <w:t>6</w:t>
      </w:r>
      <w:r>
        <w:t xml:space="preserve"> osob</w:t>
      </w:r>
      <w:r w:rsidR="0074073C">
        <w:t xml:space="preserve"> bylo zařazeno do</w:t>
      </w:r>
      <w:r w:rsidR="004643DE">
        <w:t xml:space="preserve"> 15–</w:t>
      </w:r>
      <w:r w:rsidR="0074073C">
        <w:t>16 platové třídy</w:t>
      </w:r>
      <w:r w:rsidR="00B532DF">
        <w:t xml:space="preserve"> (3</w:t>
      </w:r>
      <w:r>
        <w:t>,7</w:t>
      </w:r>
      <w:r w:rsidR="00556845">
        <w:t xml:space="preserve"> %</w:t>
      </w:r>
      <w:r>
        <w:t>).</w:t>
      </w:r>
    </w:p>
    <w:p w14:paraId="0AF24D4E" w14:textId="77777777" w:rsidR="00F4125F" w:rsidRDefault="00F4125F" w:rsidP="00427569">
      <w:pPr>
        <w:pStyle w:val="Odstavecseseznamem"/>
        <w:numPr>
          <w:ilvl w:val="0"/>
          <w:numId w:val="22"/>
        </w:numPr>
      </w:pPr>
      <w:r>
        <w:t xml:space="preserve">V pracovním poměru </w:t>
      </w:r>
      <w:r w:rsidR="0074073C">
        <w:t xml:space="preserve">bylo </w:t>
      </w:r>
      <w:r>
        <w:t xml:space="preserve">z celkového počtu </w:t>
      </w:r>
      <w:r w:rsidR="00CE71FE">
        <w:t>109</w:t>
      </w:r>
      <w:r w:rsidR="00DA4A82">
        <w:t xml:space="preserve"> </w:t>
      </w:r>
      <w:r w:rsidR="0074073C">
        <w:t>OZP do páté a nižší třídy</w:t>
      </w:r>
      <w:r w:rsidR="00CE71FE">
        <w:t xml:space="preserve"> zařazeno 15</w:t>
      </w:r>
      <w:r>
        <w:t xml:space="preserve"> osob (</w:t>
      </w:r>
      <w:r w:rsidR="00DA4A82">
        <w:t>13,8</w:t>
      </w:r>
      <w:r w:rsidR="00556845">
        <w:t xml:space="preserve"> %</w:t>
      </w:r>
      <w:r w:rsidR="0074073C">
        <w:t>), do</w:t>
      </w:r>
      <w:r>
        <w:t xml:space="preserve"> 6</w:t>
      </w:r>
      <w:r w:rsidR="004643DE">
        <w:t>–</w:t>
      </w:r>
      <w:r w:rsidR="00CE71FE">
        <w:t>8 platov</w:t>
      </w:r>
      <w:r w:rsidR="0074073C">
        <w:t>é třídy</w:t>
      </w:r>
      <w:r w:rsidR="00CE71FE">
        <w:t xml:space="preserve"> 32</w:t>
      </w:r>
      <w:r>
        <w:t xml:space="preserve"> (</w:t>
      </w:r>
      <w:r w:rsidR="00DA4A82">
        <w:t>29,4</w:t>
      </w:r>
      <w:r w:rsidR="00556845">
        <w:t xml:space="preserve"> %</w:t>
      </w:r>
      <w:r w:rsidR="0074073C">
        <w:t>), do</w:t>
      </w:r>
      <w:r w:rsidR="004643DE">
        <w:t xml:space="preserve"> 9–</w:t>
      </w:r>
      <w:r>
        <w:t>10 pl</w:t>
      </w:r>
      <w:r w:rsidR="0074073C">
        <w:t>atové třídy</w:t>
      </w:r>
      <w:r w:rsidR="00CE71FE">
        <w:t xml:space="preserve"> 42</w:t>
      </w:r>
      <w:r>
        <w:t xml:space="preserve"> (</w:t>
      </w:r>
      <w:r w:rsidR="00DA4A82">
        <w:t>38,5</w:t>
      </w:r>
      <w:r w:rsidR="0074073C">
        <w:t> </w:t>
      </w:r>
      <w:r w:rsidR="00556845">
        <w:t>%</w:t>
      </w:r>
      <w:r w:rsidR="0074073C">
        <w:t>), do</w:t>
      </w:r>
      <w:r w:rsidR="004643DE">
        <w:t xml:space="preserve"> 11–</w:t>
      </w:r>
      <w:r w:rsidR="0074073C">
        <w:t>12 platové třídy</w:t>
      </w:r>
      <w:r w:rsidR="00CE71FE">
        <w:t xml:space="preserve"> 12</w:t>
      </w:r>
      <w:r>
        <w:t xml:space="preserve"> (</w:t>
      </w:r>
      <w:r w:rsidR="00DA4A82">
        <w:t>11</w:t>
      </w:r>
      <w:r w:rsidR="00556845">
        <w:t xml:space="preserve"> %</w:t>
      </w:r>
      <w:r w:rsidR="0074073C">
        <w:t>), do</w:t>
      </w:r>
      <w:r w:rsidR="004643DE">
        <w:t xml:space="preserve"> 13–</w:t>
      </w:r>
      <w:r w:rsidR="0074073C">
        <w:t>14 platové třídy</w:t>
      </w:r>
      <w:r w:rsidR="00CE71FE">
        <w:t xml:space="preserve"> 8</w:t>
      </w:r>
      <w:r>
        <w:t xml:space="preserve"> (</w:t>
      </w:r>
      <w:r w:rsidR="00DA4A82">
        <w:t>7,3</w:t>
      </w:r>
      <w:r w:rsidR="00556845">
        <w:t xml:space="preserve"> %</w:t>
      </w:r>
      <w:r>
        <w:t xml:space="preserve">) a </w:t>
      </w:r>
      <w:r w:rsidR="004643DE">
        <w:t>do 15–</w:t>
      </w:r>
      <w:r w:rsidR="0074073C">
        <w:t>16 platové třídy</w:t>
      </w:r>
      <w:r w:rsidR="00CE71FE">
        <w:t xml:space="preserve"> nebyl zařazen žádný zaměstnanec v pracovním poměru</w:t>
      </w:r>
      <w:r>
        <w:t>.</w:t>
      </w:r>
    </w:p>
    <w:p w14:paraId="0C8C601D" w14:textId="4BF51BC2" w:rsidR="00877A5B" w:rsidRDefault="00877A5B" w:rsidP="00C320A8">
      <w:pPr>
        <w:pStyle w:val="Titulek"/>
      </w:pPr>
      <w:bookmarkStart w:id="477" w:name="_Toc45513013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38</w:t>
      </w:r>
      <w:r w:rsidR="00FC5B08">
        <w:rPr>
          <w:noProof/>
        </w:rPr>
        <w:fldChar w:fldCharType="end"/>
      </w:r>
      <w:r>
        <w:t xml:space="preserve"> Počet OZP dle druhu zaměstnaneckého poměru a zařazení do platové třídy na ministerstvech</w:t>
      </w:r>
      <w:bookmarkEnd w:id="477"/>
    </w:p>
    <w:p w14:paraId="004FE38C" w14:textId="77777777" w:rsidR="00877A5B" w:rsidRPr="00A40EB0" w:rsidRDefault="000867B8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1E5486C5" wp14:editId="0AB91B33">
            <wp:extent cx="5067300" cy="2181225"/>
            <wp:effectExtent l="0" t="0" r="0" b="9525"/>
            <wp:docPr id="65" name="Graf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13D92F61" w14:textId="77777777" w:rsidR="00F4125F" w:rsidRPr="00B408BF" w:rsidRDefault="00F4125F" w:rsidP="00A34307">
      <w:pPr>
        <w:pStyle w:val="Podtitul"/>
      </w:pPr>
      <w:r>
        <w:lastRenderedPageBreak/>
        <w:t xml:space="preserve">Zaměstnanci se zdravotním </w:t>
      </w:r>
      <w:r w:rsidRPr="00A34307">
        <w:t>postižením s kratší služební/pracovní dobou</w:t>
      </w:r>
      <w:r w:rsidR="00CF6751" w:rsidRPr="00A34307">
        <w:t xml:space="preserve"> dle </w:t>
      </w:r>
      <w:r w:rsidR="00DA03D7" w:rsidRPr="00A34307">
        <w:t>zařazení do platových tříd</w:t>
      </w:r>
      <w:r w:rsidR="0074073C" w:rsidRPr="00A34307">
        <w:t xml:space="preserve"> na ministerstvech</w:t>
      </w:r>
    </w:p>
    <w:p w14:paraId="0DFB5497" w14:textId="77777777" w:rsidR="00F4125F" w:rsidRPr="00745713" w:rsidRDefault="00FC4BF3" w:rsidP="00427569">
      <w:pPr>
        <w:pStyle w:val="Odstavecseseznamem"/>
        <w:numPr>
          <w:ilvl w:val="0"/>
          <w:numId w:val="22"/>
        </w:numPr>
      </w:pPr>
      <w:r>
        <w:t>Z celkového počtu OZP v</w:t>
      </w:r>
      <w:r w:rsidR="00F4125F">
        <w:t> jednotlivý</w:t>
      </w:r>
      <w:r w:rsidR="00E86BCB">
        <w:t xml:space="preserve">ch skupinách platových tříd byly s kratší </w:t>
      </w:r>
      <w:r w:rsidR="00F4125F">
        <w:t xml:space="preserve">služební/pracovní dobou </w:t>
      </w:r>
      <w:r w:rsidR="002868F8">
        <w:t>na ministerstvech za</w:t>
      </w:r>
      <w:r>
        <w:t>řazeny</w:t>
      </w:r>
      <w:r w:rsidR="00F4125F">
        <w:t xml:space="preserve"> </w:t>
      </w:r>
      <w:r w:rsidR="002868F8">
        <w:t>3</w:t>
      </w:r>
      <w:r w:rsidR="00F4125F">
        <w:t xml:space="preserve"> osob</w:t>
      </w:r>
      <w:r w:rsidR="002868F8">
        <w:t>y</w:t>
      </w:r>
      <w:r w:rsidR="00F4125F">
        <w:t xml:space="preserve"> </w:t>
      </w:r>
      <w:r>
        <w:t>se zdravotním postižením do páté a nižší platové třídy</w:t>
      </w:r>
      <w:r w:rsidR="00E86BCB">
        <w:t xml:space="preserve"> (všechny v pracovním poměru),</w:t>
      </w:r>
      <w:r w:rsidR="00F4125F">
        <w:t xml:space="preserve"> </w:t>
      </w:r>
      <w:r w:rsidR="004040C0">
        <w:t xml:space="preserve">nikdo zařazený do 6–8 zkrácený úvazek nevyužíval, </w:t>
      </w:r>
      <w:r w:rsidR="002868F8">
        <w:t>6</w:t>
      </w:r>
      <w:r w:rsidR="00F4125F">
        <w:t xml:space="preserve"> osob </w:t>
      </w:r>
      <w:r w:rsidR="004040C0">
        <w:t xml:space="preserve">bylo zařazeno </w:t>
      </w:r>
      <w:r>
        <w:t>do</w:t>
      </w:r>
      <w:r w:rsidR="004643DE">
        <w:t xml:space="preserve"> 9–</w:t>
      </w:r>
      <w:r w:rsidR="004D76EA">
        <w:t>10</w:t>
      </w:r>
      <w:r>
        <w:t xml:space="preserve"> platové třídy</w:t>
      </w:r>
      <w:r w:rsidR="00E86BCB">
        <w:t xml:space="preserve"> (1 ve služebním a 5 v pracovním poměru</w:t>
      </w:r>
      <w:r w:rsidR="002868F8">
        <w:t>)</w:t>
      </w:r>
      <w:r w:rsidR="00E86BCB">
        <w:t>,</w:t>
      </w:r>
      <w:r w:rsidR="00F4125F">
        <w:t xml:space="preserve"> </w:t>
      </w:r>
      <w:r w:rsidR="002868F8">
        <w:t>3</w:t>
      </w:r>
      <w:r w:rsidR="00F4125F">
        <w:t xml:space="preserve"> osob</w:t>
      </w:r>
      <w:r w:rsidR="002868F8">
        <w:t>y</w:t>
      </w:r>
      <w:r>
        <w:t xml:space="preserve"> do</w:t>
      </w:r>
      <w:r w:rsidR="00F4125F">
        <w:t xml:space="preserve"> </w:t>
      </w:r>
      <w:r w:rsidR="004643DE">
        <w:t>11–</w:t>
      </w:r>
      <w:r w:rsidR="004D76EA">
        <w:t>12</w:t>
      </w:r>
      <w:r>
        <w:t xml:space="preserve"> platové třídy</w:t>
      </w:r>
      <w:r w:rsidR="00E86BCB">
        <w:t xml:space="preserve"> (všechny v pracovním poměru</w:t>
      </w:r>
      <w:r w:rsidR="002868F8">
        <w:t>)</w:t>
      </w:r>
      <w:r>
        <w:t xml:space="preserve"> a 11 osob do</w:t>
      </w:r>
      <w:r w:rsidR="004643DE">
        <w:t xml:space="preserve"> 13</w:t>
      </w:r>
      <w:r>
        <w:t>–14 platové třídy</w:t>
      </w:r>
      <w:r w:rsidR="00CF6751">
        <w:t xml:space="preserve"> (10 ve služebním, 1 </w:t>
      </w:r>
      <w:r w:rsidR="00E86BCB">
        <w:t>v pracovním poměru).</w:t>
      </w:r>
    </w:p>
    <w:p w14:paraId="7DE8D71C" w14:textId="5173A6A3" w:rsidR="00877A5B" w:rsidRDefault="00877A5B" w:rsidP="00C320A8">
      <w:pPr>
        <w:pStyle w:val="Titulek"/>
      </w:pPr>
      <w:bookmarkStart w:id="478" w:name="_Toc45513014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39</w:t>
      </w:r>
      <w:r w:rsidR="00FC5B08">
        <w:rPr>
          <w:noProof/>
        </w:rPr>
        <w:fldChar w:fldCharType="end"/>
      </w:r>
      <w:r w:rsidRPr="00877A5B">
        <w:t xml:space="preserve"> Podíl OZP se zkráceným úvazkem dle druhu zaměstnaneckého poměru na ministerstvech</w:t>
      </w:r>
      <w:bookmarkEnd w:id="478"/>
      <w:r>
        <w:t xml:space="preserve"> </w:t>
      </w:r>
    </w:p>
    <w:p w14:paraId="689150A6" w14:textId="77777777" w:rsidR="00F4125F" w:rsidRDefault="004040C0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72FD7670" wp14:editId="179469F1">
            <wp:extent cx="5076825" cy="2476500"/>
            <wp:effectExtent l="0" t="0" r="9525" b="0"/>
            <wp:docPr id="66" name="Graf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29CFEFE9" w14:textId="77777777" w:rsidR="00F4125F" w:rsidRPr="00B408BF" w:rsidRDefault="00F4125F" w:rsidP="00A34307">
      <w:pPr>
        <w:pStyle w:val="Podtitul"/>
      </w:pPr>
      <w:r w:rsidRPr="004C71D2">
        <w:t>Zaměstnanci se zdravotním postižením dle uznaného stupně invalidity</w:t>
      </w:r>
      <w:r w:rsidR="0073145F">
        <w:t xml:space="preserve"> a</w:t>
      </w:r>
      <w:r w:rsidR="00864186">
        <w:t> </w:t>
      </w:r>
      <w:r w:rsidR="0073145F">
        <w:t>zařazení do platových tříd na ministerstvech</w:t>
      </w:r>
    </w:p>
    <w:p w14:paraId="29337DEF" w14:textId="77777777" w:rsidR="00F4125F" w:rsidRDefault="00F4125F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D664CA">
        <w:t>6</w:t>
      </w:r>
      <w:r>
        <w:t>5 zaměstnanců se zdravot</w:t>
      </w:r>
      <w:r w:rsidR="00D664CA">
        <w:t>ním znevýhodněním</w:t>
      </w:r>
      <w:r w:rsidR="00787DBD">
        <w:t xml:space="preserve"> ve </w:t>
      </w:r>
      <w:r w:rsidR="002466C5">
        <w:t>služebním/pracovním poměru</w:t>
      </w:r>
      <w:r w:rsidR="00D664CA">
        <w:t xml:space="preserve"> </w:t>
      </w:r>
      <w:r w:rsidR="00E85B68">
        <w:t xml:space="preserve">na ministerstvech </w:t>
      </w:r>
      <w:r>
        <w:t>b</w:t>
      </w:r>
      <w:r w:rsidR="00D664CA">
        <w:t>yli 2</w:t>
      </w:r>
      <w:r>
        <w:t xml:space="preserve"> </w:t>
      </w:r>
      <w:r w:rsidR="00F65617">
        <w:t>zařazeni do</w:t>
      </w:r>
      <w:r>
        <w:t> </w:t>
      </w:r>
      <w:r w:rsidR="00D664CA">
        <w:t>páté a </w:t>
      </w:r>
      <w:r>
        <w:t>nižší platové tří</w:t>
      </w:r>
      <w:r w:rsidR="00F65617">
        <w:t>dy, 1 do</w:t>
      </w:r>
      <w:r w:rsidR="004643DE">
        <w:t xml:space="preserve"> 6–</w:t>
      </w:r>
      <w:r w:rsidR="00F65617">
        <w:t>8 platové třídy</w:t>
      </w:r>
      <w:r w:rsidR="00D664CA">
        <w:t>, 41</w:t>
      </w:r>
      <w:r w:rsidR="00F65617">
        <w:t xml:space="preserve"> do</w:t>
      </w:r>
      <w:r w:rsidR="004643DE">
        <w:t xml:space="preserve"> 9–</w:t>
      </w:r>
      <w:r w:rsidR="00F65617">
        <w:t>10 platové třídy</w:t>
      </w:r>
      <w:r>
        <w:t xml:space="preserve">, </w:t>
      </w:r>
      <w:r w:rsidR="00D664CA">
        <w:t>15</w:t>
      </w:r>
      <w:r w:rsidR="00F65617">
        <w:t xml:space="preserve"> do</w:t>
      </w:r>
      <w:r w:rsidR="004643DE">
        <w:t xml:space="preserve"> 11–</w:t>
      </w:r>
      <w:r w:rsidR="00E42FCA">
        <w:t>12 platové třídy</w:t>
      </w:r>
      <w:r>
        <w:t xml:space="preserve">, </w:t>
      </w:r>
      <w:r w:rsidR="00D664CA">
        <w:t>6</w:t>
      </w:r>
      <w:r w:rsidR="00E85B68">
        <w:t xml:space="preserve"> </w:t>
      </w:r>
      <w:r w:rsidR="00E42FCA">
        <w:t>do</w:t>
      </w:r>
      <w:r w:rsidR="004643DE">
        <w:t xml:space="preserve"> 13–</w:t>
      </w:r>
      <w:r w:rsidR="00E42FCA">
        <w:t>14 platové třídy</w:t>
      </w:r>
      <w:r w:rsidR="00D664CA">
        <w:t xml:space="preserve"> a </w:t>
      </w:r>
      <w:r w:rsidR="00E42FCA">
        <w:t>do</w:t>
      </w:r>
      <w:r w:rsidR="004643DE">
        <w:t xml:space="preserve"> 15–</w:t>
      </w:r>
      <w:r w:rsidR="00E42FCA">
        <w:t xml:space="preserve">16 platové třídy </w:t>
      </w:r>
      <w:r w:rsidR="00D664CA">
        <w:t>nebyl</w:t>
      </w:r>
      <w:r w:rsidR="00E42FCA">
        <w:t xml:space="preserve"> zařazen nikdo</w:t>
      </w:r>
      <w:r>
        <w:t>.</w:t>
      </w:r>
    </w:p>
    <w:p w14:paraId="37730DD2" w14:textId="77777777" w:rsidR="00F4125F" w:rsidRDefault="00F4125F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651599">
        <w:t>110</w:t>
      </w:r>
      <w:r>
        <w:t xml:space="preserve"> zaměstnanců s uznaným prvním stupněm invalidity</w:t>
      </w:r>
      <w:r w:rsidR="00E85B68">
        <w:t xml:space="preserve"> </w:t>
      </w:r>
      <w:r w:rsidR="00787DBD">
        <w:t>ve </w:t>
      </w:r>
      <w:r w:rsidR="002466C5">
        <w:t xml:space="preserve">služebním/pracovním poměru </w:t>
      </w:r>
      <w:r w:rsidR="00E85B68">
        <w:t>na ministerstvech</w:t>
      </w:r>
      <w:r>
        <w:t xml:space="preserve"> jich bylo </w:t>
      </w:r>
      <w:r w:rsidR="00E85B68">
        <w:t>7</w:t>
      </w:r>
      <w:r>
        <w:t xml:space="preserve"> </w:t>
      </w:r>
      <w:r w:rsidR="00787DBD">
        <w:t>zařazeno do páté a </w:t>
      </w:r>
      <w:r w:rsidR="00E42FCA">
        <w:t>nižší platové třídy</w:t>
      </w:r>
      <w:r>
        <w:t xml:space="preserve">, </w:t>
      </w:r>
      <w:r w:rsidR="00E85B68">
        <w:t>28</w:t>
      </w:r>
      <w:r w:rsidR="00E42FCA">
        <w:t xml:space="preserve"> do 6–8 platové třídy</w:t>
      </w:r>
      <w:r>
        <w:t xml:space="preserve">, </w:t>
      </w:r>
      <w:r w:rsidR="00E85B68">
        <w:t>12</w:t>
      </w:r>
      <w:r w:rsidR="00E42FCA">
        <w:t xml:space="preserve"> do</w:t>
      </w:r>
      <w:r w:rsidR="004643DE">
        <w:t xml:space="preserve"> 9–</w:t>
      </w:r>
      <w:r w:rsidR="00E42FCA">
        <w:t>10 platové třídy</w:t>
      </w:r>
      <w:r>
        <w:t xml:space="preserve">, </w:t>
      </w:r>
      <w:r w:rsidR="00E85B68">
        <w:t>17</w:t>
      </w:r>
      <w:r w:rsidR="00E42FCA">
        <w:t xml:space="preserve"> do</w:t>
      </w:r>
      <w:r w:rsidR="004643DE">
        <w:t xml:space="preserve"> 11–</w:t>
      </w:r>
      <w:r w:rsidR="00E42FCA">
        <w:t>12 platové třídy</w:t>
      </w:r>
      <w:r>
        <w:t xml:space="preserve">, </w:t>
      </w:r>
      <w:r w:rsidR="00E85B68">
        <w:t>43</w:t>
      </w:r>
      <w:r w:rsidR="00E42FCA">
        <w:t xml:space="preserve"> do</w:t>
      </w:r>
      <w:r w:rsidR="004643DE">
        <w:t xml:space="preserve"> 13–</w:t>
      </w:r>
      <w:r w:rsidR="00E42FCA">
        <w:t>14 platové třídy</w:t>
      </w:r>
      <w:r w:rsidR="00E85B68">
        <w:t xml:space="preserve"> a 3</w:t>
      </w:r>
      <w:r w:rsidR="00E42FCA">
        <w:t xml:space="preserve"> do</w:t>
      </w:r>
      <w:r w:rsidR="004643DE">
        <w:t xml:space="preserve"> 15–</w:t>
      </w:r>
      <w:r>
        <w:t>16 platové tří</w:t>
      </w:r>
      <w:r w:rsidR="00E42FCA">
        <w:t>dy</w:t>
      </w:r>
      <w:r>
        <w:t>.</w:t>
      </w:r>
    </w:p>
    <w:p w14:paraId="53E5FC84" w14:textId="77777777" w:rsidR="00F4125F" w:rsidRDefault="00651599" w:rsidP="00427569">
      <w:pPr>
        <w:pStyle w:val="Odstavecseseznamem"/>
        <w:numPr>
          <w:ilvl w:val="0"/>
          <w:numId w:val="22"/>
        </w:numPr>
      </w:pPr>
      <w:r>
        <w:t>Z celkového</w:t>
      </w:r>
      <w:r w:rsidR="00F4125F">
        <w:t xml:space="preserve"> počtu</w:t>
      </w:r>
      <w:r>
        <w:t xml:space="preserve"> 63</w:t>
      </w:r>
      <w:r w:rsidR="00F4125F">
        <w:t xml:space="preserve"> zaměstnanců s uznaným druhým stupněm invalidity </w:t>
      </w:r>
      <w:r w:rsidR="00787DBD">
        <w:t>ve </w:t>
      </w:r>
      <w:r w:rsidR="002466C5">
        <w:t xml:space="preserve">služebním/pracovním poměru </w:t>
      </w:r>
      <w:r>
        <w:t xml:space="preserve">na ministerstvech </w:t>
      </w:r>
      <w:r w:rsidR="007E6784">
        <w:t>byli</w:t>
      </w:r>
      <w:r w:rsidR="00F4125F">
        <w:t xml:space="preserve"> </w:t>
      </w:r>
      <w:r w:rsidR="007E6784">
        <w:t>4</w:t>
      </w:r>
      <w:r w:rsidR="00F4125F">
        <w:t xml:space="preserve"> </w:t>
      </w:r>
      <w:r w:rsidR="00E42FCA">
        <w:t>zařazeni do páté a nižší platové třídy</w:t>
      </w:r>
      <w:r w:rsidR="00F4125F">
        <w:t xml:space="preserve">, </w:t>
      </w:r>
      <w:r w:rsidR="007E6784">
        <w:t>12</w:t>
      </w:r>
      <w:r w:rsidR="00E42FCA">
        <w:t xml:space="preserve"> do</w:t>
      </w:r>
      <w:r w:rsidR="004643DE">
        <w:t xml:space="preserve"> 6–</w:t>
      </w:r>
      <w:r w:rsidR="00E42FCA">
        <w:t>8 platové třídy</w:t>
      </w:r>
      <w:r w:rsidR="00F4125F">
        <w:t xml:space="preserve">, </w:t>
      </w:r>
      <w:r w:rsidR="007E6784">
        <w:t>15</w:t>
      </w:r>
      <w:r w:rsidR="00E42FCA">
        <w:t xml:space="preserve"> do </w:t>
      </w:r>
      <w:r w:rsidR="004643DE">
        <w:t>9–</w:t>
      </w:r>
      <w:r w:rsidR="00E42FCA">
        <w:t>10 platové třídy</w:t>
      </w:r>
      <w:r w:rsidR="00F4125F">
        <w:t xml:space="preserve">, </w:t>
      </w:r>
      <w:r w:rsidR="007E6784">
        <w:t>10</w:t>
      </w:r>
      <w:r w:rsidR="00E42FCA">
        <w:t xml:space="preserve"> do</w:t>
      </w:r>
      <w:r w:rsidR="004643DE">
        <w:t xml:space="preserve"> 11–</w:t>
      </w:r>
      <w:r w:rsidR="00E42FCA">
        <w:t>12 platové třídy</w:t>
      </w:r>
      <w:r w:rsidR="00F4125F">
        <w:t xml:space="preserve">, </w:t>
      </w:r>
      <w:r w:rsidR="007E6784">
        <w:t>2</w:t>
      </w:r>
      <w:r w:rsidR="00E42FCA">
        <w:t>2 do 13–14 platové třídy</w:t>
      </w:r>
      <w:r w:rsidR="009F2177">
        <w:t xml:space="preserve"> a </w:t>
      </w:r>
      <w:r w:rsidR="00E42FCA">
        <w:t xml:space="preserve">do </w:t>
      </w:r>
      <w:r w:rsidR="004643DE">
        <w:t>15–1</w:t>
      </w:r>
      <w:r w:rsidR="009F2177">
        <w:t>6 platové třídy</w:t>
      </w:r>
      <w:r w:rsidR="00F4125F">
        <w:t xml:space="preserve"> nebyl</w:t>
      </w:r>
      <w:r w:rsidR="00E42FCA">
        <w:t xml:space="preserve"> zařazen nikdo</w:t>
      </w:r>
      <w:r w:rsidR="00F4125F">
        <w:t>.</w:t>
      </w:r>
    </w:p>
    <w:p w14:paraId="39153BE1" w14:textId="77777777" w:rsidR="00F4125F" w:rsidRDefault="00F4125F" w:rsidP="00427569">
      <w:pPr>
        <w:pStyle w:val="Odstavecseseznamem"/>
        <w:numPr>
          <w:ilvl w:val="0"/>
          <w:numId w:val="22"/>
        </w:numPr>
      </w:pPr>
      <w:r>
        <w:lastRenderedPageBreak/>
        <w:t xml:space="preserve">Z celkového počtu </w:t>
      </w:r>
      <w:r w:rsidR="00651599">
        <w:t>32</w:t>
      </w:r>
      <w:r>
        <w:t xml:space="preserve"> zaměstnanců s uznaným třetí</w:t>
      </w:r>
      <w:r w:rsidR="00280627">
        <w:t xml:space="preserve">m stupněm invalidity </w:t>
      </w:r>
      <w:r w:rsidR="00787DBD">
        <w:t>ve </w:t>
      </w:r>
      <w:r w:rsidR="002466C5">
        <w:t xml:space="preserve">služebním/pracovním poměru </w:t>
      </w:r>
      <w:r w:rsidR="007D31D7">
        <w:t xml:space="preserve">na ministerstvech </w:t>
      </w:r>
      <w:r w:rsidR="00280627">
        <w:t xml:space="preserve">byli </w:t>
      </w:r>
      <w:r>
        <w:t xml:space="preserve">2 </w:t>
      </w:r>
      <w:r w:rsidR="000F7919">
        <w:t>zařazeni do páté a nižší platové třídy</w:t>
      </w:r>
      <w:r>
        <w:t xml:space="preserve">, </w:t>
      </w:r>
      <w:r w:rsidR="00280627">
        <w:t xml:space="preserve">1 </w:t>
      </w:r>
      <w:r w:rsidR="000F7919">
        <w:t>do</w:t>
      </w:r>
      <w:r w:rsidR="004643DE">
        <w:t xml:space="preserve"> 6–</w:t>
      </w:r>
      <w:r w:rsidR="000F7919">
        <w:t>8 platové třídy</w:t>
      </w:r>
      <w:r>
        <w:t xml:space="preserve">, </w:t>
      </w:r>
      <w:r w:rsidR="00280627">
        <w:t>4</w:t>
      </w:r>
      <w:r w:rsidR="000F7919">
        <w:t xml:space="preserve"> do</w:t>
      </w:r>
      <w:r w:rsidR="004643DE">
        <w:t xml:space="preserve"> 9–</w:t>
      </w:r>
      <w:r w:rsidR="000F7919">
        <w:t>10 platové třídy</w:t>
      </w:r>
      <w:r>
        <w:t xml:space="preserve">, </w:t>
      </w:r>
      <w:r w:rsidR="00280627">
        <w:t>7</w:t>
      </w:r>
      <w:r w:rsidR="000F7919">
        <w:t xml:space="preserve"> do</w:t>
      </w:r>
      <w:r w:rsidR="004643DE">
        <w:t xml:space="preserve"> 11–</w:t>
      </w:r>
      <w:r w:rsidR="000F7919">
        <w:t>12 platové třídy</w:t>
      </w:r>
      <w:r>
        <w:t xml:space="preserve">, </w:t>
      </w:r>
      <w:r w:rsidR="00280627">
        <w:t>15</w:t>
      </w:r>
      <w:r w:rsidR="000F7919">
        <w:t xml:space="preserve"> do 13–14 platové třídy a 3 do</w:t>
      </w:r>
      <w:r w:rsidR="005853F3">
        <w:t> </w:t>
      </w:r>
      <w:r w:rsidR="004643DE">
        <w:t>15–</w:t>
      </w:r>
      <w:r>
        <w:t xml:space="preserve">16 platové </w:t>
      </w:r>
      <w:r w:rsidR="000F7919">
        <w:t>třídy</w:t>
      </w:r>
      <w:r>
        <w:t>.</w:t>
      </w:r>
    </w:p>
    <w:p w14:paraId="7EA6FE1A" w14:textId="4A6FF204" w:rsidR="00C37DA6" w:rsidRDefault="00C37DA6" w:rsidP="00C320A8">
      <w:pPr>
        <w:pStyle w:val="Titulek"/>
      </w:pPr>
      <w:bookmarkStart w:id="479" w:name="_Toc45513015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40</w:t>
      </w:r>
      <w:r w:rsidR="00FC5B08">
        <w:rPr>
          <w:noProof/>
        </w:rPr>
        <w:fldChar w:fldCharType="end"/>
      </w:r>
      <w:r>
        <w:t xml:space="preserve"> Počet OZP dle stupně invalidity a zařazení do platové třídy na ministerstvech</w:t>
      </w:r>
      <w:bookmarkEnd w:id="479"/>
    </w:p>
    <w:p w14:paraId="676F23B4" w14:textId="77777777" w:rsidR="00A02FCE" w:rsidRPr="00A34307" w:rsidRDefault="00434C73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4F807C3C" wp14:editId="64BF3D02">
            <wp:extent cx="5038725" cy="3781425"/>
            <wp:effectExtent l="0" t="0" r="9525" b="9525"/>
            <wp:docPr id="69" name="Graf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bookmarkStart w:id="480" w:name="_Toc24641631"/>
    </w:p>
    <w:p w14:paraId="2DB99EC3" w14:textId="77777777" w:rsidR="00D2168C" w:rsidRPr="00A02FCE" w:rsidRDefault="00D2168C" w:rsidP="00E10D06">
      <w:pPr>
        <w:pStyle w:val="Nadpis3"/>
      </w:pPr>
      <w:r w:rsidRPr="00A02FCE">
        <w:t xml:space="preserve">Zaměstnávání OZP </w:t>
      </w:r>
      <w:r w:rsidR="008759EE" w:rsidRPr="00A02FCE">
        <w:t>ve vybraných organizačních složkách ministerstev</w:t>
      </w:r>
      <w:r w:rsidRPr="00A02FCE">
        <w:t xml:space="preserve"> dle zařazení do platové třídy</w:t>
      </w:r>
      <w:bookmarkEnd w:id="480"/>
    </w:p>
    <w:p w14:paraId="450C67AC" w14:textId="77777777" w:rsidR="00D2168C" w:rsidRPr="00F76EB6" w:rsidRDefault="00D2168C" w:rsidP="00427569">
      <w:pPr>
        <w:pStyle w:val="Odstavecseseznamem"/>
        <w:numPr>
          <w:ilvl w:val="0"/>
          <w:numId w:val="22"/>
        </w:numPr>
      </w:pPr>
      <w:r>
        <w:t>V</w:t>
      </w:r>
      <w:r w:rsidR="008759EE" w:rsidRPr="008759EE">
        <w:t>e vybraných organizačních složkách ministerstev</w:t>
      </w:r>
      <w:r>
        <w:t xml:space="preserve"> bylo z celkového počtu </w:t>
      </w:r>
      <w:r w:rsidR="00702F79">
        <w:t>1 361</w:t>
      </w:r>
      <w:r>
        <w:t xml:space="preserve"> zaměstnanců se zdravotním postižením</w:t>
      </w:r>
      <w:r w:rsidRPr="00741B6F">
        <w:t xml:space="preserve"> </w:t>
      </w:r>
      <w:r>
        <w:t xml:space="preserve">zařazeno </w:t>
      </w:r>
      <w:r w:rsidR="00702F79">
        <w:t>66</w:t>
      </w:r>
      <w:r>
        <w:t xml:space="preserve"> osob do páté a nižší platové třídy </w:t>
      </w:r>
      <w:r w:rsidRPr="00741B6F">
        <w:t>(</w:t>
      </w:r>
      <w:r w:rsidR="00702F79">
        <w:t>19 žen a 47</w:t>
      </w:r>
      <w:r w:rsidRPr="00741B6F">
        <w:t xml:space="preserve"> mužů),</w:t>
      </w:r>
      <w:r>
        <w:t xml:space="preserve"> </w:t>
      </w:r>
      <w:r w:rsidR="00702F79">
        <w:t>192</w:t>
      </w:r>
      <w:r w:rsidR="004643DE">
        <w:t xml:space="preserve"> osob do 6–</w:t>
      </w:r>
      <w:r w:rsidRPr="00741B6F">
        <w:t>8 platové třídy (</w:t>
      </w:r>
      <w:r w:rsidR="00702F79">
        <w:t>153</w:t>
      </w:r>
      <w:r>
        <w:t xml:space="preserve"> žen a </w:t>
      </w:r>
      <w:r w:rsidR="00702F79">
        <w:t>39</w:t>
      </w:r>
      <w:r w:rsidRPr="00741B6F">
        <w:t xml:space="preserve"> mužů), </w:t>
      </w:r>
      <w:r w:rsidR="00702F79">
        <w:t>834</w:t>
      </w:r>
      <w:r w:rsidR="004643DE">
        <w:t xml:space="preserve"> osob do 9–</w:t>
      </w:r>
      <w:r w:rsidRPr="00741B6F">
        <w:t>10 platové třídy (</w:t>
      </w:r>
      <w:r w:rsidR="00886F4E">
        <w:t>72</w:t>
      </w:r>
      <w:r w:rsidR="00702F79">
        <w:t>3</w:t>
      </w:r>
      <w:r>
        <w:t xml:space="preserve"> žen a </w:t>
      </w:r>
      <w:r w:rsidR="00886F4E">
        <w:t>11</w:t>
      </w:r>
      <w:r w:rsidR="00702F79">
        <w:t>1</w:t>
      </w:r>
      <w:r w:rsidRPr="00741B6F">
        <w:t xml:space="preserve"> mužů), </w:t>
      </w:r>
      <w:r w:rsidR="00702F79">
        <w:t>183</w:t>
      </w:r>
      <w:r w:rsidR="004643DE">
        <w:t xml:space="preserve"> osob do 11–1</w:t>
      </w:r>
      <w:r w:rsidRPr="00741B6F">
        <w:t>2 platové třídy (</w:t>
      </w:r>
      <w:r w:rsidR="00702F79">
        <w:t>125</w:t>
      </w:r>
      <w:r>
        <w:t xml:space="preserve"> žen a </w:t>
      </w:r>
      <w:r w:rsidR="00702F79">
        <w:t>58</w:t>
      </w:r>
      <w:r w:rsidRPr="00741B6F">
        <w:t xml:space="preserve"> mužů), </w:t>
      </w:r>
      <w:r w:rsidR="00702F79">
        <w:t>85</w:t>
      </w:r>
      <w:r w:rsidR="004643DE">
        <w:t xml:space="preserve"> osob do 13–</w:t>
      </w:r>
      <w:r w:rsidRPr="00741B6F">
        <w:t>14 platové třídy (</w:t>
      </w:r>
      <w:r w:rsidR="00702F79">
        <w:t>55</w:t>
      </w:r>
      <w:r>
        <w:t xml:space="preserve"> žen a </w:t>
      </w:r>
      <w:r w:rsidR="00702F79">
        <w:t>30</w:t>
      </w:r>
      <w:r w:rsidR="00CF6751">
        <w:t xml:space="preserve"> mužů) a </w:t>
      </w:r>
      <w:r w:rsidR="00702F79">
        <w:t>1</w:t>
      </w:r>
      <w:r w:rsidR="00CF6751">
        <w:t> </w:t>
      </w:r>
      <w:r w:rsidR="00DC3B8D">
        <w:t xml:space="preserve">zaměstnanec </w:t>
      </w:r>
      <w:r w:rsidRPr="00741B6F">
        <w:t>do 1</w:t>
      </w:r>
      <w:r w:rsidR="004643DE">
        <w:t>5–</w:t>
      </w:r>
      <w:r>
        <w:t>16 platové třídy (</w:t>
      </w:r>
      <w:r w:rsidR="00A649D3">
        <w:t>žena</w:t>
      </w:r>
      <w:r w:rsidRPr="00741B6F">
        <w:t>)</w:t>
      </w:r>
      <w:r w:rsidRPr="00FF66C6">
        <w:t>.</w:t>
      </w:r>
    </w:p>
    <w:p w14:paraId="07F1FA3E" w14:textId="1905E7B5" w:rsidR="00FC37C8" w:rsidRDefault="00FC37C8" w:rsidP="00C320A8">
      <w:pPr>
        <w:pStyle w:val="Titulek"/>
      </w:pPr>
      <w:bookmarkStart w:id="481" w:name="_Toc45513016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41</w:t>
      </w:r>
      <w:r w:rsidR="00FC5B08">
        <w:rPr>
          <w:noProof/>
        </w:rPr>
        <w:fldChar w:fldCharType="end"/>
      </w:r>
      <w:r>
        <w:t xml:space="preserve"> Podíl OZP</w:t>
      </w:r>
      <w:r w:rsidRPr="00A43C36">
        <w:t xml:space="preserve"> </w:t>
      </w:r>
      <w:r>
        <w:t>v organizačních složkách ministerstev dle zařazení do platových tříd</w:t>
      </w:r>
      <w:bookmarkEnd w:id="481"/>
    </w:p>
    <w:p w14:paraId="6919DE4F" w14:textId="77777777" w:rsidR="00D2168C" w:rsidRDefault="00434C73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7DD5C58B" wp14:editId="7490D042">
            <wp:extent cx="5085080" cy="3162300"/>
            <wp:effectExtent l="0" t="0" r="1270" b="0"/>
            <wp:docPr id="75" name="Graf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207268F9" w14:textId="4A09BDDE" w:rsidR="00D2168C" w:rsidRPr="00236C6F" w:rsidRDefault="00D2168C" w:rsidP="00C320A8">
      <w:pPr>
        <w:pStyle w:val="Titulek"/>
      </w:pPr>
      <w:bookmarkStart w:id="482" w:name="_Toc45513017"/>
      <w:r w:rsidRPr="00A43C36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42</w:t>
      </w:r>
      <w:r w:rsidR="00FC5B08">
        <w:rPr>
          <w:noProof/>
        </w:rPr>
        <w:fldChar w:fldCharType="end"/>
      </w:r>
      <w:r w:rsidRPr="00A43C36">
        <w:t xml:space="preserve"> </w:t>
      </w:r>
      <w:r w:rsidR="00FC37C8">
        <w:t>Podíl žen a mužů v platových třídách v organizačních složkách ministerstev</w:t>
      </w:r>
      <w:bookmarkEnd w:id="482"/>
    </w:p>
    <w:p w14:paraId="6031DDFD" w14:textId="77777777" w:rsidR="00D2168C" w:rsidRDefault="00886F4E" w:rsidP="00A34307">
      <w:pPr>
        <w:jc w:val="center"/>
      </w:pPr>
      <w:r>
        <w:rPr>
          <w:noProof/>
        </w:rPr>
        <w:drawing>
          <wp:inline distT="0" distB="0" distL="0" distR="0" wp14:anchorId="1460AABA" wp14:editId="288F65E1">
            <wp:extent cx="5086350" cy="2809875"/>
            <wp:effectExtent l="0" t="0" r="0" b="9525"/>
            <wp:docPr id="79" name="Graf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741E2253" w14:textId="77777777" w:rsidR="00D2168C" w:rsidRPr="00612C2D" w:rsidRDefault="00D2168C" w:rsidP="00A34307">
      <w:pPr>
        <w:pStyle w:val="Podtitul"/>
      </w:pPr>
      <w:r>
        <w:t>Zaměstnanci se zdravotním postižením dle druhu zaměstnaneckého poměru</w:t>
      </w:r>
      <w:r w:rsidR="005E26CF">
        <w:t xml:space="preserve"> a</w:t>
      </w:r>
      <w:r w:rsidR="00864186">
        <w:t> </w:t>
      </w:r>
      <w:r w:rsidR="005E26CF">
        <w:t xml:space="preserve">zařazení do platových tříd </w:t>
      </w:r>
      <w:r w:rsidR="007E6E2D">
        <w:t>v organizačních složkách ministerstev</w:t>
      </w:r>
    </w:p>
    <w:p w14:paraId="4317CE2D" w14:textId="77777777" w:rsidR="00D2168C" w:rsidRPr="004059B7" w:rsidRDefault="00D2168C" w:rsidP="00427569">
      <w:pPr>
        <w:pStyle w:val="Odstavecseseznamem"/>
        <w:numPr>
          <w:ilvl w:val="0"/>
          <w:numId w:val="22"/>
        </w:numPr>
      </w:pPr>
      <w:r>
        <w:t xml:space="preserve">Ve služebním poměru z celkového počtu </w:t>
      </w:r>
      <w:r w:rsidR="00843523">
        <w:t>1 077</w:t>
      </w:r>
      <w:r w:rsidR="004556DE">
        <w:t xml:space="preserve"> osob se zdravotním postižením nebyl do páté a nižší třídy</w:t>
      </w:r>
      <w:r>
        <w:t xml:space="preserve"> za</w:t>
      </w:r>
      <w:r w:rsidR="004643DE">
        <w:t xml:space="preserve">řazen </w:t>
      </w:r>
      <w:r w:rsidR="004556DE">
        <w:t>nikdo, do</w:t>
      </w:r>
      <w:r w:rsidR="004643DE">
        <w:t xml:space="preserve"> 6–</w:t>
      </w:r>
      <w:r w:rsidR="004556DE">
        <w:t>8 platové třídy</w:t>
      </w:r>
      <w:r>
        <w:t xml:space="preserve"> bylo</w:t>
      </w:r>
      <w:r w:rsidR="004556DE">
        <w:t xml:space="preserve"> zařazeno</w:t>
      </w:r>
      <w:r>
        <w:t xml:space="preserve"> </w:t>
      </w:r>
      <w:r w:rsidR="00843523">
        <w:t>99</w:t>
      </w:r>
      <w:r w:rsidR="004556DE">
        <w:t xml:space="preserve"> osob</w:t>
      </w:r>
      <w:r>
        <w:t xml:space="preserve"> (</w:t>
      </w:r>
      <w:r w:rsidR="004C067F">
        <w:t>9</w:t>
      </w:r>
      <w:r>
        <w:t>,2</w:t>
      </w:r>
      <w:r w:rsidR="00D4546A">
        <w:t> </w:t>
      </w:r>
      <w:r w:rsidR="00556845">
        <w:t>%</w:t>
      </w:r>
      <w:r w:rsidR="004556DE">
        <w:t>), do</w:t>
      </w:r>
      <w:r w:rsidR="004643DE">
        <w:t xml:space="preserve"> 9–</w:t>
      </w:r>
      <w:r w:rsidR="004556DE">
        <w:t>10 platové třídy</w:t>
      </w:r>
      <w:r>
        <w:t xml:space="preserve"> </w:t>
      </w:r>
      <w:r w:rsidR="00843523">
        <w:t>733</w:t>
      </w:r>
      <w:r>
        <w:t xml:space="preserve"> (</w:t>
      </w:r>
      <w:r w:rsidR="004C067F">
        <w:t>68</w:t>
      </w:r>
      <w:r w:rsidR="00556845">
        <w:t xml:space="preserve"> %</w:t>
      </w:r>
      <w:r w:rsidR="004556DE">
        <w:t>), do</w:t>
      </w:r>
      <w:r w:rsidR="004643DE">
        <w:t xml:space="preserve"> 11–</w:t>
      </w:r>
      <w:r w:rsidR="004556DE">
        <w:t>12 platové třídy</w:t>
      </w:r>
      <w:r>
        <w:t xml:space="preserve"> </w:t>
      </w:r>
      <w:r w:rsidR="00843523">
        <w:t>167</w:t>
      </w:r>
      <w:r>
        <w:t xml:space="preserve"> (</w:t>
      </w:r>
      <w:r w:rsidR="004C067F">
        <w:t>15,5</w:t>
      </w:r>
      <w:r w:rsidR="00556845">
        <w:t xml:space="preserve"> %</w:t>
      </w:r>
      <w:r w:rsidR="004556DE">
        <w:t>), do</w:t>
      </w:r>
      <w:r w:rsidR="00D4546A">
        <w:t> </w:t>
      </w:r>
      <w:r w:rsidR="004643DE">
        <w:t>13–</w:t>
      </w:r>
      <w:r w:rsidR="009F2177">
        <w:t>14 platové třídy</w:t>
      </w:r>
      <w:r>
        <w:t xml:space="preserve"> 78 (</w:t>
      </w:r>
      <w:r w:rsidR="004C067F">
        <w:t>7,2</w:t>
      </w:r>
      <w:r w:rsidR="00556845">
        <w:t xml:space="preserve"> %</w:t>
      </w:r>
      <w:r>
        <w:t xml:space="preserve">) a </w:t>
      </w:r>
      <w:r w:rsidR="004556DE">
        <w:t>do</w:t>
      </w:r>
      <w:r w:rsidR="004643DE">
        <w:t xml:space="preserve"> 15–</w:t>
      </w:r>
      <w:r w:rsidR="009F2177">
        <w:t xml:space="preserve">16 platové třídy </w:t>
      </w:r>
      <w:r w:rsidR="00843523">
        <w:t xml:space="preserve">nebyl ve služebním poměru </w:t>
      </w:r>
      <w:r w:rsidR="004556DE">
        <w:t xml:space="preserve">zařazen </w:t>
      </w:r>
      <w:r w:rsidR="00843523">
        <w:t>nikdo</w:t>
      </w:r>
      <w:r>
        <w:t>.</w:t>
      </w:r>
    </w:p>
    <w:p w14:paraId="034D704A" w14:textId="77777777" w:rsidR="00D2168C" w:rsidRPr="004556DE" w:rsidRDefault="00D2168C" w:rsidP="00427569">
      <w:pPr>
        <w:pStyle w:val="Odstavecseseznamem"/>
        <w:numPr>
          <w:ilvl w:val="0"/>
          <w:numId w:val="22"/>
        </w:numPr>
      </w:pPr>
      <w:r>
        <w:lastRenderedPageBreak/>
        <w:t>V pracovním poměru</w:t>
      </w:r>
      <w:r w:rsidR="006317AC">
        <w:t xml:space="preserve"> byl</w:t>
      </w:r>
      <w:r w:rsidR="004556DE">
        <w:t>o</w:t>
      </w:r>
      <w:r>
        <w:t xml:space="preserve"> z celkového počtu </w:t>
      </w:r>
      <w:r w:rsidR="00C069B1">
        <w:t>284</w:t>
      </w:r>
      <w:r>
        <w:t xml:space="preserve"> </w:t>
      </w:r>
      <w:r w:rsidR="004556DE">
        <w:t>o</w:t>
      </w:r>
      <w:r w:rsidR="00D4546A">
        <w:t>sob se zdravotním postižením 66 </w:t>
      </w:r>
      <w:r w:rsidR="004556DE">
        <w:t>osob zařazeno do páté a nižší třídy</w:t>
      </w:r>
      <w:r>
        <w:t xml:space="preserve"> (13,8</w:t>
      </w:r>
      <w:r w:rsidR="00556845">
        <w:t xml:space="preserve"> %</w:t>
      </w:r>
      <w:r w:rsidR="004643DE">
        <w:t xml:space="preserve">), </w:t>
      </w:r>
      <w:r w:rsidR="004556DE">
        <w:t>93 do</w:t>
      </w:r>
      <w:r w:rsidR="004643DE">
        <w:t xml:space="preserve"> 6–</w:t>
      </w:r>
      <w:r w:rsidR="004556DE">
        <w:t>8 platové třídy</w:t>
      </w:r>
      <w:r>
        <w:t xml:space="preserve"> (29,4</w:t>
      </w:r>
      <w:r w:rsidR="00556845">
        <w:t xml:space="preserve"> %</w:t>
      </w:r>
      <w:r w:rsidR="004556DE">
        <w:t>), 10</w:t>
      </w:r>
      <w:r w:rsidR="00353766">
        <w:t>1</w:t>
      </w:r>
      <w:r w:rsidR="004556DE">
        <w:t xml:space="preserve"> do</w:t>
      </w:r>
      <w:r w:rsidR="004643DE">
        <w:t xml:space="preserve"> 9–</w:t>
      </w:r>
      <w:r w:rsidR="004556DE">
        <w:t>10 platové třídy</w:t>
      </w:r>
      <w:r>
        <w:t xml:space="preserve"> (38,5</w:t>
      </w:r>
      <w:r w:rsidR="00556845">
        <w:t xml:space="preserve"> %</w:t>
      </w:r>
      <w:r w:rsidR="004556DE">
        <w:t>), 16 do</w:t>
      </w:r>
      <w:r w:rsidR="004643DE">
        <w:t xml:space="preserve"> 11–</w:t>
      </w:r>
      <w:r w:rsidR="004556DE">
        <w:t xml:space="preserve">12 platové třídy </w:t>
      </w:r>
      <w:r w:rsidRPr="004556DE">
        <w:t>(11</w:t>
      </w:r>
      <w:r w:rsidR="00556845" w:rsidRPr="004556DE">
        <w:t xml:space="preserve"> %</w:t>
      </w:r>
      <w:r w:rsidR="004643DE" w:rsidRPr="004556DE">
        <w:t xml:space="preserve">), </w:t>
      </w:r>
      <w:r w:rsidR="004556DE">
        <w:t>7 do</w:t>
      </w:r>
      <w:r w:rsidR="004643DE" w:rsidRPr="004556DE">
        <w:t xml:space="preserve"> 13–</w:t>
      </w:r>
      <w:r w:rsidR="004556DE">
        <w:t xml:space="preserve">14 platové třídy </w:t>
      </w:r>
      <w:r w:rsidRPr="004556DE">
        <w:t>(7,3</w:t>
      </w:r>
      <w:r w:rsidR="00556845" w:rsidRPr="004556DE">
        <w:t xml:space="preserve"> %</w:t>
      </w:r>
      <w:r w:rsidR="004643DE" w:rsidRPr="004556DE">
        <w:t>) a do 15–</w:t>
      </w:r>
      <w:r w:rsidR="004556DE">
        <w:t>16 platové třídy</w:t>
      </w:r>
      <w:r w:rsidRPr="004556DE">
        <w:t xml:space="preserve"> </w:t>
      </w:r>
      <w:r w:rsidR="00C069B1" w:rsidRPr="004556DE">
        <w:t>byl zařazen jeden</w:t>
      </w:r>
      <w:r w:rsidRPr="004556DE">
        <w:t xml:space="preserve"> zaměstnanec v pracovním poměru.</w:t>
      </w:r>
    </w:p>
    <w:p w14:paraId="4CD9757D" w14:textId="02C972AB" w:rsidR="00394FFD" w:rsidRDefault="00394FFD" w:rsidP="00C320A8">
      <w:pPr>
        <w:pStyle w:val="Titulek"/>
      </w:pPr>
      <w:bookmarkStart w:id="483" w:name="_Toc45513018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43</w:t>
      </w:r>
      <w:r w:rsidR="00FC5B08">
        <w:rPr>
          <w:noProof/>
        </w:rPr>
        <w:fldChar w:fldCharType="end"/>
      </w:r>
      <w:r>
        <w:t xml:space="preserve"> Počet OZP</w:t>
      </w:r>
      <w:r w:rsidRPr="00A43C36">
        <w:t xml:space="preserve"> </w:t>
      </w:r>
      <w:r>
        <w:t>dle zařazení do platových tříd a druhu zaměstnaneckého poměru v organizačních složkách ministerstev</w:t>
      </w:r>
      <w:bookmarkEnd w:id="483"/>
    </w:p>
    <w:p w14:paraId="4D7D1580" w14:textId="77777777" w:rsidR="00106DBC" w:rsidRDefault="00EB6F53" w:rsidP="00A34307">
      <w:pPr>
        <w:jc w:val="center"/>
      </w:pPr>
      <w:r>
        <w:rPr>
          <w:noProof/>
        </w:rPr>
        <w:drawing>
          <wp:inline distT="0" distB="0" distL="0" distR="0" wp14:anchorId="354FB924" wp14:editId="5896821A">
            <wp:extent cx="4962525" cy="2533650"/>
            <wp:effectExtent l="0" t="0" r="9525" b="0"/>
            <wp:docPr id="80" name="Graf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52AEBF38" w14:textId="77777777" w:rsidR="00D2168C" w:rsidRPr="00B408BF" w:rsidRDefault="00D2168C" w:rsidP="00A34307">
      <w:pPr>
        <w:pStyle w:val="Podtitul"/>
      </w:pPr>
      <w:r>
        <w:t>Zaměstnanci se zdravotním postižením s kratší služební/pracovní dobou</w:t>
      </w:r>
      <w:r w:rsidR="00A07675" w:rsidRPr="00A07675">
        <w:t xml:space="preserve"> </w:t>
      </w:r>
      <w:r w:rsidR="00D4546A">
        <w:t>dle </w:t>
      </w:r>
      <w:r w:rsidR="00A07675">
        <w:t>zařazení do platových tříd</w:t>
      </w:r>
      <w:r w:rsidR="00A07675" w:rsidRPr="00A07675">
        <w:t xml:space="preserve"> </w:t>
      </w:r>
      <w:r w:rsidR="00A07675">
        <w:t>v organizačních složkách ministerstev</w:t>
      </w:r>
    </w:p>
    <w:p w14:paraId="14EA9A84" w14:textId="77777777" w:rsidR="00D2168C" w:rsidRPr="00745713" w:rsidRDefault="00D2168C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8C2AE6">
        <w:t>osob se zdravotním postižením</w:t>
      </w:r>
      <w:r>
        <w:t xml:space="preserve"> v jednotlivý</w:t>
      </w:r>
      <w:r w:rsidR="001E6956">
        <w:t>ch skupinách platových tříd bylo</w:t>
      </w:r>
      <w:r>
        <w:t xml:space="preserve"> s kratší služební/pracovní dobou </w:t>
      </w:r>
      <w:r w:rsidR="00BB6AFE" w:rsidRPr="00BB6AFE">
        <w:t>v organizačních složkách ministerstev</w:t>
      </w:r>
      <w:r w:rsidR="00072746">
        <w:t xml:space="preserve"> zařazeno</w:t>
      </w:r>
      <w:r w:rsidR="00BB6AFE">
        <w:t xml:space="preserve"> </w:t>
      </w:r>
      <w:r w:rsidR="001E6956">
        <w:t>19</w:t>
      </w:r>
      <w:r w:rsidR="00BB6AFE">
        <w:t xml:space="preserve"> osob</w:t>
      </w:r>
      <w:r w:rsidR="00072746">
        <w:t xml:space="preserve"> do páté a nižší platové třídy</w:t>
      </w:r>
      <w:r w:rsidR="00BB6AFE">
        <w:t xml:space="preserve"> (všechny v</w:t>
      </w:r>
      <w:r w:rsidR="00D4546A">
        <w:t> pracovním poměru), 44 </w:t>
      </w:r>
      <w:r w:rsidR="00072746">
        <w:t>osob do</w:t>
      </w:r>
      <w:r w:rsidR="004643DE">
        <w:t xml:space="preserve"> 6–</w:t>
      </w:r>
      <w:r w:rsidR="00BB6AFE">
        <w:t>8</w:t>
      </w:r>
      <w:r w:rsidR="00072746">
        <w:t xml:space="preserve"> platové třídy</w:t>
      </w:r>
      <w:r>
        <w:t xml:space="preserve"> (</w:t>
      </w:r>
      <w:r w:rsidR="00BB6AFE">
        <w:t xml:space="preserve">21 ve služebním a 23 v pracovním </w:t>
      </w:r>
      <w:r w:rsidR="00072746">
        <w:t>poměru), 120 osob do</w:t>
      </w:r>
      <w:r w:rsidR="00BB6AFE">
        <w:t xml:space="preserve"> 9</w:t>
      </w:r>
      <w:r w:rsidR="004643DE">
        <w:t>–</w:t>
      </w:r>
      <w:r w:rsidR="00BB6AFE">
        <w:t>10</w:t>
      </w:r>
      <w:r w:rsidR="00072746">
        <w:t xml:space="preserve"> platové třídy</w:t>
      </w:r>
      <w:r>
        <w:t xml:space="preserve"> (</w:t>
      </w:r>
      <w:r w:rsidR="00BB6AFE">
        <w:t>105 ve služebním a 15 v pracovním poměru),</w:t>
      </w:r>
      <w:r>
        <w:t xml:space="preserve"> </w:t>
      </w:r>
      <w:r w:rsidR="00072746">
        <w:t>25 osob do</w:t>
      </w:r>
      <w:r w:rsidR="004643DE">
        <w:t xml:space="preserve"> 11–</w:t>
      </w:r>
      <w:r w:rsidR="00072746">
        <w:t>12 platové třídy</w:t>
      </w:r>
      <w:r w:rsidR="00BB6AFE">
        <w:t xml:space="preserve"> (16 ve služebním a 9 v pracovním poměru), 40</w:t>
      </w:r>
      <w:r w:rsidR="00072746">
        <w:t xml:space="preserve"> osob do</w:t>
      </w:r>
      <w:r>
        <w:t xml:space="preserve"> 13</w:t>
      </w:r>
      <w:r w:rsidR="004643DE">
        <w:t>–</w:t>
      </w:r>
      <w:r w:rsidR="00072746">
        <w:t>14 platové třídy</w:t>
      </w:r>
      <w:r w:rsidR="00BB6AFE">
        <w:t xml:space="preserve"> (38 ve služebním a 2</w:t>
      </w:r>
      <w:r>
        <w:t xml:space="preserve"> v pracovním poměru).</w:t>
      </w:r>
      <w:r w:rsidR="008F1ADE">
        <w:t xml:space="preserve"> Jeden z</w:t>
      </w:r>
      <w:r w:rsidR="00BB6AFE">
        <w:t>am</w:t>
      </w:r>
      <w:r w:rsidR="00072746">
        <w:t>ěstnanec</w:t>
      </w:r>
      <w:r w:rsidR="004643DE">
        <w:t xml:space="preserve"> zařazený do 15–</w:t>
      </w:r>
      <w:r w:rsidR="00BB6AFE">
        <w:t>16 platové třídy kratší pracovní dobu nevyužíval.</w:t>
      </w:r>
    </w:p>
    <w:p w14:paraId="07368543" w14:textId="18D84620" w:rsidR="00394FFD" w:rsidRDefault="00394FFD" w:rsidP="00C320A8">
      <w:pPr>
        <w:pStyle w:val="Titulek"/>
      </w:pPr>
      <w:bookmarkStart w:id="484" w:name="_Toc45513019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44</w:t>
      </w:r>
      <w:r w:rsidR="00FC5B08">
        <w:rPr>
          <w:noProof/>
        </w:rPr>
        <w:fldChar w:fldCharType="end"/>
      </w:r>
      <w:r>
        <w:t xml:space="preserve"> Podíl OZP</w:t>
      </w:r>
      <w:r w:rsidRPr="00A43C36">
        <w:t xml:space="preserve"> </w:t>
      </w:r>
      <w:r>
        <w:t>se zkráceným úvazkem dle zaměstnaneckého poměru v organizačních složkách ministerstev</w:t>
      </w:r>
      <w:bookmarkEnd w:id="484"/>
    </w:p>
    <w:p w14:paraId="51A2FD82" w14:textId="77777777" w:rsidR="00D2168C" w:rsidRDefault="00FB72C5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6166103E" wp14:editId="514CB654">
            <wp:extent cx="5048250" cy="2676525"/>
            <wp:effectExtent l="0" t="0" r="9525" b="9525"/>
            <wp:docPr id="81" name="Graf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74E43778" w14:textId="77777777" w:rsidR="00D2168C" w:rsidRPr="00B408BF" w:rsidRDefault="00D2168C" w:rsidP="00A34307">
      <w:pPr>
        <w:pStyle w:val="Podtitul"/>
      </w:pPr>
      <w:r w:rsidRPr="004C71D2">
        <w:t>Zaměstnanci se zdravotním postižením dle uznaného stupně invalidity</w:t>
      </w:r>
      <w:r w:rsidR="00A070D9" w:rsidRPr="00A070D9">
        <w:t xml:space="preserve"> </w:t>
      </w:r>
      <w:r w:rsidR="00A070D9">
        <w:t>a</w:t>
      </w:r>
      <w:r w:rsidR="00A34307">
        <w:t> </w:t>
      </w:r>
      <w:r w:rsidR="00A070D9">
        <w:t>zařazení do platových tříd</w:t>
      </w:r>
      <w:r w:rsidR="00A070D9" w:rsidRPr="00A07675">
        <w:t xml:space="preserve"> </w:t>
      </w:r>
      <w:r w:rsidR="00A070D9">
        <w:t>v organizačních složkách ministerstev</w:t>
      </w:r>
    </w:p>
    <w:p w14:paraId="7230EF3A" w14:textId="77777777" w:rsidR="00D2168C" w:rsidRPr="00B852B5" w:rsidRDefault="00D2168C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262C2E">
        <w:t>126</w:t>
      </w:r>
      <w:r>
        <w:t xml:space="preserve"> zaměstnanců se zdravotním znevýhodněním </w:t>
      </w:r>
      <w:r w:rsidR="00D4261A">
        <w:t>ve </w:t>
      </w:r>
      <w:r w:rsidR="002466C5">
        <w:t xml:space="preserve">služebním/pracovním poměru </w:t>
      </w:r>
      <w:r w:rsidR="007D31D7" w:rsidRPr="00101B52">
        <w:t>v organizačních</w:t>
      </w:r>
      <w:r w:rsidR="007D31D7">
        <w:rPr>
          <w:b/>
          <w:i/>
          <w:color w:val="000000" w:themeColor="text1"/>
          <w:sz w:val="20"/>
          <w:szCs w:val="20"/>
        </w:rPr>
        <w:t xml:space="preserve"> </w:t>
      </w:r>
      <w:r w:rsidR="007D31D7" w:rsidRPr="00101B52">
        <w:t>složkách ministerstev</w:t>
      </w:r>
      <w:r w:rsidR="007D31D7">
        <w:t xml:space="preserve"> </w:t>
      </w:r>
      <w:r w:rsidR="00D4261A">
        <w:t>byli 3 </w:t>
      </w:r>
      <w:r w:rsidR="00B852B5">
        <w:t>zařazeni do</w:t>
      </w:r>
      <w:r w:rsidR="00262C2E">
        <w:t> pá</w:t>
      </w:r>
      <w:r w:rsidR="00B852B5">
        <w:t>té a nižší platové třídy, 7 do 6–8 platové třídy, 51 do 9–10 platové třídy, 38 do</w:t>
      </w:r>
      <w:r w:rsidR="004643DE">
        <w:t xml:space="preserve"> 11–</w:t>
      </w:r>
      <w:r w:rsidR="00B852B5">
        <w:t>12 platové třídy</w:t>
      </w:r>
      <w:r w:rsidR="00262C2E">
        <w:t>, 26</w:t>
      </w:r>
      <w:r w:rsidR="00B852B5">
        <w:t xml:space="preserve"> do</w:t>
      </w:r>
      <w:r w:rsidR="004643DE">
        <w:t xml:space="preserve"> 13–</w:t>
      </w:r>
      <w:r>
        <w:t>14 plat</w:t>
      </w:r>
      <w:r w:rsidR="00B852B5">
        <w:t>ové třídy</w:t>
      </w:r>
      <w:r w:rsidR="00E23BFE">
        <w:t xml:space="preserve"> a</w:t>
      </w:r>
      <w:r w:rsidR="00B852B5">
        <w:t xml:space="preserve"> </w:t>
      </w:r>
      <w:r w:rsidR="00D4261A">
        <w:t xml:space="preserve">jeden </w:t>
      </w:r>
      <w:r w:rsidR="00B852B5">
        <w:t>do</w:t>
      </w:r>
      <w:r w:rsidR="004643DE" w:rsidRPr="00B852B5">
        <w:t xml:space="preserve"> 15–</w:t>
      </w:r>
      <w:r w:rsidR="009F2177">
        <w:t>16 platové třídy</w:t>
      </w:r>
      <w:r w:rsidRPr="00B852B5">
        <w:t>.</w:t>
      </w:r>
    </w:p>
    <w:p w14:paraId="5A566EFE" w14:textId="77777777" w:rsidR="00D2168C" w:rsidRDefault="00D2168C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262C2E">
        <w:t>906</w:t>
      </w:r>
      <w:r>
        <w:t xml:space="preserve"> zaměstnanců s uznaným prvním stupněm invalidity </w:t>
      </w:r>
      <w:r w:rsidR="00D4261A">
        <w:t>ve </w:t>
      </w:r>
      <w:r w:rsidR="002466C5">
        <w:t xml:space="preserve">služebním/pracovním poměru </w:t>
      </w:r>
      <w:r w:rsidR="007D31D7" w:rsidRPr="00101B52">
        <w:t>v organizačních složkách ministerstev</w:t>
      </w:r>
      <w:r w:rsidR="007D31D7">
        <w:t xml:space="preserve"> </w:t>
      </w:r>
      <w:r w:rsidR="00262C2E">
        <w:t>jich bylo 39</w:t>
      </w:r>
      <w:r w:rsidR="00D4261A">
        <w:t> </w:t>
      </w:r>
      <w:r w:rsidR="009A190F">
        <w:t>zařazeno do</w:t>
      </w:r>
      <w:r w:rsidR="00262C2E">
        <w:t xml:space="preserve"> páté a</w:t>
      </w:r>
      <w:r w:rsidR="009A190F">
        <w:t xml:space="preserve"> nižší platové třídy, 131 do</w:t>
      </w:r>
      <w:r w:rsidR="004643DE">
        <w:t xml:space="preserve"> 6–</w:t>
      </w:r>
      <w:r w:rsidR="009A190F">
        <w:t>8 platové třídy</w:t>
      </w:r>
      <w:r w:rsidR="00262C2E">
        <w:t>, 604</w:t>
      </w:r>
      <w:r>
        <w:t xml:space="preserve"> </w:t>
      </w:r>
      <w:r w:rsidR="009A190F">
        <w:t>do</w:t>
      </w:r>
      <w:r w:rsidR="004643DE">
        <w:t xml:space="preserve"> 9–</w:t>
      </w:r>
      <w:r w:rsidR="009A190F">
        <w:t>10 platové třídy</w:t>
      </w:r>
      <w:r w:rsidR="00262C2E">
        <w:t xml:space="preserve">, 113 </w:t>
      </w:r>
      <w:r w:rsidR="009A190F">
        <w:t>do</w:t>
      </w:r>
      <w:r w:rsidR="004643DE">
        <w:t xml:space="preserve"> 11–</w:t>
      </w:r>
      <w:r>
        <w:t>12 p</w:t>
      </w:r>
      <w:r w:rsidR="009A190F">
        <w:t>latové třídy</w:t>
      </w:r>
      <w:r w:rsidR="00262C2E">
        <w:t>, 19</w:t>
      </w:r>
      <w:r w:rsidR="009A190F">
        <w:t xml:space="preserve"> do</w:t>
      </w:r>
      <w:r w:rsidR="004643DE">
        <w:t xml:space="preserve"> 13–</w:t>
      </w:r>
      <w:r>
        <w:t>14 platové</w:t>
      </w:r>
      <w:r w:rsidR="009A190F">
        <w:t xml:space="preserve"> třídy a do</w:t>
      </w:r>
      <w:r>
        <w:t xml:space="preserve"> </w:t>
      </w:r>
      <w:r w:rsidR="004643DE">
        <w:t>15–</w:t>
      </w:r>
      <w:r w:rsidR="00262C2E">
        <w:t xml:space="preserve">16 platové </w:t>
      </w:r>
      <w:r w:rsidR="009F2177">
        <w:t>třídy</w:t>
      </w:r>
      <w:r w:rsidR="00262C2E">
        <w:t xml:space="preserve"> nebyl </w:t>
      </w:r>
      <w:r w:rsidR="009A190F">
        <w:t>zařazen nikdo</w:t>
      </w:r>
      <w:r w:rsidR="00262C2E">
        <w:t>.</w:t>
      </w:r>
    </w:p>
    <w:p w14:paraId="40ECE7E8" w14:textId="77777777" w:rsidR="00D2168C" w:rsidRDefault="00D2168C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B633F0">
        <w:t>226</w:t>
      </w:r>
      <w:r>
        <w:t xml:space="preserve"> zaměstnanců s uznaným druhým stupněm invalidity </w:t>
      </w:r>
      <w:r w:rsidR="00D4261A">
        <w:t>ve </w:t>
      </w:r>
      <w:r w:rsidR="002466C5">
        <w:t xml:space="preserve">služebním/pracovním poměru </w:t>
      </w:r>
      <w:r w:rsidR="007D31D7" w:rsidRPr="00101B52">
        <w:t>v organizačních složkách ministerstev</w:t>
      </w:r>
      <w:r w:rsidR="007D31D7">
        <w:t xml:space="preserve"> </w:t>
      </w:r>
      <w:r w:rsidR="00B633F0">
        <w:t>bylo</w:t>
      </w:r>
      <w:r>
        <w:t xml:space="preserve"> </w:t>
      </w:r>
      <w:r w:rsidR="00B633F0">
        <w:t>15</w:t>
      </w:r>
      <w:r w:rsidR="00D4261A">
        <w:t> </w:t>
      </w:r>
      <w:r w:rsidR="00360386">
        <w:t>zařazeno do</w:t>
      </w:r>
      <w:r w:rsidR="00B633F0">
        <w:t xml:space="preserve"> pát</w:t>
      </w:r>
      <w:r w:rsidR="00360386">
        <w:t>é a nižší platové třídy, 44 do</w:t>
      </w:r>
      <w:r w:rsidR="004643DE">
        <w:t xml:space="preserve"> 6–</w:t>
      </w:r>
      <w:r w:rsidR="00360386">
        <w:t>8 platové třídy</w:t>
      </w:r>
      <w:r w:rsidR="00B633F0">
        <w:t>, 1</w:t>
      </w:r>
      <w:r w:rsidR="00360386">
        <w:t>22 do</w:t>
      </w:r>
      <w:r w:rsidR="004643DE">
        <w:t xml:space="preserve"> 9–</w:t>
      </w:r>
      <w:r w:rsidR="00360386">
        <w:t>10 platové třídy</w:t>
      </w:r>
      <w:r w:rsidR="00B633F0">
        <w:t>, 15</w:t>
      </w:r>
      <w:r w:rsidR="00360386">
        <w:t xml:space="preserve"> do</w:t>
      </w:r>
      <w:r w:rsidR="004643DE">
        <w:t xml:space="preserve"> 11–</w:t>
      </w:r>
      <w:r w:rsidR="00B633F0">
        <w:t xml:space="preserve">12 </w:t>
      </w:r>
      <w:r w:rsidR="00360386">
        <w:t>platové třídy</w:t>
      </w:r>
      <w:r w:rsidR="00B633F0">
        <w:t>, 30</w:t>
      </w:r>
      <w:r w:rsidR="00360386">
        <w:t xml:space="preserve"> do 13–14 platové třídy a do</w:t>
      </w:r>
      <w:r w:rsidR="004643DE">
        <w:t xml:space="preserve"> 15–</w:t>
      </w:r>
      <w:r w:rsidR="00360386">
        <w:t>16 platové třídy</w:t>
      </w:r>
      <w:r>
        <w:t xml:space="preserve"> nebyl </w:t>
      </w:r>
      <w:r w:rsidR="00360386">
        <w:t>zařazen nikdo</w:t>
      </w:r>
      <w:r>
        <w:t>.</w:t>
      </w:r>
    </w:p>
    <w:p w14:paraId="5B897CC1" w14:textId="77777777" w:rsidR="00D2168C" w:rsidRDefault="00D2168C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706B9F">
        <w:t>103</w:t>
      </w:r>
      <w:r>
        <w:t xml:space="preserve"> zaměstnanců s uznaným třetím stupněm invalidity</w:t>
      </w:r>
      <w:r w:rsidR="007D31D7">
        <w:t xml:space="preserve"> </w:t>
      </w:r>
      <w:r w:rsidR="00D4261A">
        <w:t>ve </w:t>
      </w:r>
      <w:r w:rsidR="002466C5">
        <w:t xml:space="preserve">služebním/pracovním poměru </w:t>
      </w:r>
      <w:r w:rsidR="007D31D7" w:rsidRPr="00101B52">
        <w:t>v organizačních složkách ministerstev</w:t>
      </w:r>
      <w:r w:rsidR="00706B9F">
        <w:t xml:space="preserve"> bylo 9</w:t>
      </w:r>
      <w:r w:rsidR="00196F6A">
        <w:t> </w:t>
      </w:r>
      <w:r w:rsidR="009E23A7">
        <w:t>zařazeno do páté a nižší platové třídy</w:t>
      </w:r>
      <w:r>
        <w:t xml:space="preserve">, </w:t>
      </w:r>
      <w:r w:rsidR="00706B9F">
        <w:t>10</w:t>
      </w:r>
      <w:r w:rsidR="009E23A7">
        <w:t xml:space="preserve"> do</w:t>
      </w:r>
      <w:r w:rsidR="004643DE">
        <w:t xml:space="preserve"> 6–</w:t>
      </w:r>
      <w:r w:rsidR="009E23A7">
        <w:t>8 platové třídy</w:t>
      </w:r>
      <w:r>
        <w:t xml:space="preserve">, </w:t>
      </w:r>
      <w:r w:rsidR="00706B9F">
        <w:t>57</w:t>
      </w:r>
      <w:r w:rsidR="009E23A7">
        <w:t xml:space="preserve"> do</w:t>
      </w:r>
      <w:r w:rsidR="004643DE">
        <w:t xml:space="preserve"> 9–</w:t>
      </w:r>
      <w:r>
        <w:t>10</w:t>
      </w:r>
      <w:r w:rsidR="009E23A7">
        <w:t xml:space="preserve"> platové třídy</w:t>
      </w:r>
      <w:r>
        <w:t xml:space="preserve">, </w:t>
      </w:r>
      <w:r w:rsidR="00706B9F">
        <w:t>17</w:t>
      </w:r>
      <w:r w:rsidR="009E23A7">
        <w:t xml:space="preserve"> do</w:t>
      </w:r>
      <w:r w:rsidR="004643DE">
        <w:t xml:space="preserve"> 11–</w:t>
      </w:r>
      <w:r w:rsidR="009E23A7">
        <w:t>12 platové třídy</w:t>
      </w:r>
      <w:r>
        <w:t>, 1</w:t>
      </w:r>
      <w:r w:rsidR="00706B9F">
        <w:t>0</w:t>
      </w:r>
      <w:r w:rsidR="009E23A7">
        <w:t xml:space="preserve"> do</w:t>
      </w:r>
      <w:r w:rsidR="004643DE">
        <w:t xml:space="preserve"> 13–</w:t>
      </w:r>
      <w:r w:rsidR="009E23A7">
        <w:t>14 platové třídy</w:t>
      </w:r>
      <w:r>
        <w:t xml:space="preserve"> a </w:t>
      </w:r>
      <w:r w:rsidR="009E23A7">
        <w:t>do</w:t>
      </w:r>
      <w:r w:rsidR="004643DE">
        <w:t xml:space="preserve"> 15–</w:t>
      </w:r>
      <w:r w:rsidR="00706B9F">
        <w:t xml:space="preserve">16 platové </w:t>
      </w:r>
      <w:r w:rsidR="009F2177">
        <w:t>třídy</w:t>
      </w:r>
      <w:r w:rsidR="00886F4E">
        <w:t xml:space="preserve"> nebyl </w:t>
      </w:r>
      <w:r w:rsidR="009E23A7">
        <w:t>zařazen nikdo</w:t>
      </w:r>
      <w:r w:rsidR="00706B9F">
        <w:t>.</w:t>
      </w:r>
    </w:p>
    <w:p w14:paraId="4483F146" w14:textId="68DB6A11" w:rsidR="00C301B4" w:rsidRDefault="00C301B4" w:rsidP="00C320A8">
      <w:pPr>
        <w:pStyle w:val="Titulek"/>
      </w:pPr>
      <w:bookmarkStart w:id="485" w:name="_Toc45513020"/>
      <w:r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45</w:t>
      </w:r>
      <w:r w:rsidR="00FC5B08">
        <w:rPr>
          <w:noProof/>
        </w:rPr>
        <w:fldChar w:fldCharType="end"/>
      </w:r>
      <w:r>
        <w:t xml:space="preserve"> Počet OZP dle stupně invalidity a zařazení do platové třídy v organizačních složkách ministerstev</w:t>
      </w:r>
      <w:bookmarkEnd w:id="485"/>
    </w:p>
    <w:p w14:paraId="14CBD942" w14:textId="77777777" w:rsidR="00D2168C" w:rsidRDefault="004627D9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02AC14B5" wp14:editId="6B6D9F3B">
            <wp:extent cx="5010150" cy="3514725"/>
            <wp:effectExtent l="0" t="0" r="0" b="9525"/>
            <wp:docPr id="82" name="Graf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6B5A6FBF" w14:textId="77777777" w:rsidR="00673E30" w:rsidRPr="00A02FCE" w:rsidRDefault="00673E30" w:rsidP="00E10D06">
      <w:pPr>
        <w:pStyle w:val="Nadpis3"/>
      </w:pPr>
      <w:bookmarkStart w:id="486" w:name="_Toc24641632"/>
      <w:r w:rsidRPr="00A02FCE">
        <w:t>Zaměstnávání OZP v ústředních orgánech státní správy</w:t>
      </w:r>
      <w:r w:rsidR="00DC6644" w:rsidRPr="00A02FCE">
        <w:t xml:space="preserve"> dle zařazení do </w:t>
      </w:r>
      <w:r w:rsidRPr="00A02FCE">
        <w:t>platové třídy</w:t>
      </w:r>
      <w:bookmarkEnd w:id="486"/>
    </w:p>
    <w:p w14:paraId="077DEA20" w14:textId="77777777" w:rsidR="00673E30" w:rsidRPr="00F76EB6" w:rsidRDefault="00673E30" w:rsidP="00427569">
      <w:pPr>
        <w:pStyle w:val="Odstavecseseznamem"/>
        <w:numPr>
          <w:ilvl w:val="0"/>
          <w:numId w:val="22"/>
        </w:numPr>
      </w:pPr>
      <w:r>
        <w:t>V</w:t>
      </w:r>
      <w:r w:rsidR="00081E40" w:rsidRPr="00A277BC">
        <w:t xml:space="preserve"> ústředních orgánech státní </w:t>
      </w:r>
      <w:r w:rsidR="00A277BC" w:rsidRPr="00A277BC">
        <w:t xml:space="preserve">správy </w:t>
      </w:r>
      <w:r>
        <w:t xml:space="preserve">bylo z celkového počtu </w:t>
      </w:r>
      <w:r w:rsidR="00081E40">
        <w:t>73</w:t>
      </w:r>
      <w:r w:rsidR="00A277BC">
        <w:t xml:space="preserve"> zaměstnanců se </w:t>
      </w:r>
      <w:r>
        <w:t>zdravotním postižením</w:t>
      </w:r>
      <w:r w:rsidRPr="00741B6F">
        <w:t xml:space="preserve"> </w:t>
      </w:r>
      <w:r>
        <w:t xml:space="preserve">zařazeno </w:t>
      </w:r>
      <w:r w:rsidR="00081E40">
        <w:t>16</w:t>
      </w:r>
      <w:r>
        <w:t xml:space="preserve"> osob do páté a nižší platové třídy </w:t>
      </w:r>
      <w:r w:rsidRPr="00741B6F">
        <w:t>(</w:t>
      </w:r>
      <w:r w:rsidR="00196F6A">
        <w:t>2 ženy a </w:t>
      </w:r>
      <w:r w:rsidR="00081E40">
        <w:t>14</w:t>
      </w:r>
      <w:r w:rsidR="00D4546A">
        <w:t> </w:t>
      </w:r>
      <w:r w:rsidRPr="00741B6F">
        <w:t>mužů),</w:t>
      </w:r>
      <w:r>
        <w:t xml:space="preserve"> </w:t>
      </w:r>
      <w:r w:rsidR="00081E40">
        <w:t>17</w:t>
      </w:r>
      <w:r w:rsidR="004643DE">
        <w:t xml:space="preserve"> osob do 6–</w:t>
      </w:r>
      <w:r w:rsidRPr="00741B6F">
        <w:t>8 platové třídy (</w:t>
      </w:r>
      <w:r w:rsidR="00081E40">
        <w:t>10</w:t>
      </w:r>
      <w:r>
        <w:t xml:space="preserve"> žen a </w:t>
      </w:r>
      <w:r w:rsidR="00081E40">
        <w:t>7</w:t>
      </w:r>
      <w:r w:rsidRPr="00741B6F">
        <w:t xml:space="preserve"> mužů), </w:t>
      </w:r>
      <w:r w:rsidR="00885565">
        <w:t>17</w:t>
      </w:r>
      <w:r w:rsidR="004643DE">
        <w:t xml:space="preserve"> osob do 9–</w:t>
      </w:r>
      <w:r w:rsidRPr="00741B6F">
        <w:t>10 platové třídy (</w:t>
      </w:r>
      <w:r w:rsidR="00885565">
        <w:t>11</w:t>
      </w:r>
      <w:r>
        <w:t xml:space="preserve"> žen a </w:t>
      </w:r>
      <w:r w:rsidR="00885565">
        <w:t>6</w:t>
      </w:r>
      <w:r w:rsidRPr="00741B6F">
        <w:t xml:space="preserve"> mužů), </w:t>
      </w:r>
      <w:r w:rsidR="000172D5">
        <w:t>16</w:t>
      </w:r>
      <w:r w:rsidR="004643DE">
        <w:t xml:space="preserve"> osob do 11–</w:t>
      </w:r>
      <w:r w:rsidRPr="00741B6F">
        <w:t>12 platové třídy (</w:t>
      </w:r>
      <w:r w:rsidR="000172D5">
        <w:t>7</w:t>
      </w:r>
      <w:r>
        <w:t xml:space="preserve"> žen a </w:t>
      </w:r>
      <w:r w:rsidR="000172D5">
        <w:t>9</w:t>
      </w:r>
      <w:r w:rsidRPr="00741B6F">
        <w:t xml:space="preserve"> mužů), </w:t>
      </w:r>
      <w:r w:rsidR="000172D5" w:rsidRPr="00196F6A">
        <w:t>4</w:t>
      </w:r>
      <w:r w:rsidRPr="00196F6A">
        <w:t>osob</w:t>
      </w:r>
      <w:r w:rsidR="000172D5" w:rsidRPr="00196F6A">
        <w:t>y</w:t>
      </w:r>
      <w:r w:rsidR="004643DE">
        <w:t xml:space="preserve"> do 13–</w:t>
      </w:r>
      <w:r w:rsidRPr="00741B6F">
        <w:t>14 platové třídy (</w:t>
      </w:r>
      <w:r w:rsidR="000172D5">
        <w:t>1</w:t>
      </w:r>
      <w:r>
        <w:t xml:space="preserve"> žen</w:t>
      </w:r>
      <w:r w:rsidR="000172D5">
        <w:t>a</w:t>
      </w:r>
      <w:r>
        <w:t xml:space="preserve"> a </w:t>
      </w:r>
      <w:r w:rsidR="000172D5">
        <w:t>3</w:t>
      </w:r>
      <w:r w:rsidR="000535B3">
        <w:t xml:space="preserve"> muži</w:t>
      </w:r>
      <w:r>
        <w:t xml:space="preserve">) a </w:t>
      </w:r>
      <w:r w:rsidR="000172D5">
        <w:t>3</w:t>
      </w:r>
      <w:r w:rsidRPr="00741B6F">
        <w:t xml:space="preserve"> </w:t>
      </w:r>
      <w:r w:rsidR="00D75994">
        <w:t xml:space="preserve">osoby </w:t>
      </w:r>
      <w:r w:rsidRPr="00741B6F">
        <w:t>do 1</w:t>
      </w:r>
      <w:r w:rsidR="004643DE">
        <w:t>5–</w:t>
      </w:r>
      <w:r>
        <w:t>16 platové třídy (</w:t>
      </w:r>
      <w:r w:rsidR="00196F6A">
        <w:t>2 ženy a </w:t>
      </w:r>
      <w:r w:rsidR="000172D5">
        <w:t>1 muž</w:t>
      </w:r>
      <w:r w:rsidRPr="00741B6F">
        <w:t>)</w:t>
      </w:r>
      <w:r w:rsidRPr="00FF66C6">
        <w:t>.</w:t>
      </w:r>
    </w:p>
    <w:p w14:paraId="048B8B4C" w14:textId="7A769D47" w:rsidR="00A2731C" w:rsidRDefault="00A2731C" w:rsidP="00C320A8">
      <w:pPr>
        <w:pStyle w:val="Titulek"/>
      </w:pPr>
      <w:bookmarkStart w:id="487" w:name="_Toc45513021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46</w:t>
      </w:r>
      <w:r w:rsidR="00FC5B08">
        <w:rPr>
          <w:noProof/>
        </w:rPr>
        <w:fldChar w:fldCharType="end"/>
      </w:r>
      <w:r w:rsidRPr="00A2731C">
        <w:t xml:space="preserve"> </w:t>
      </w:r>
      <w:r>
        <w:t>Podíl OZP</w:t>
      </w:r>
      <w:r w:rsidRPr="00A43C36">
        <w:t xml:space="preserve"> </w:t>
      </w:r>
      <w:r>
        <w:t>v ústředních orgánech státní správy dle zařazení do platových tříd</w:t>
      </w:r>
      <w:bookmarkEnd w:id="487"/>
    </w:p>
    <w:p w14:paraId="786B8287" w14:textId="77777777" w:rsidR="00673E30" w:rsidRDefault="00F14265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6ED0C5DC" wp14:editId="2FE059EB">
            <wp:extent cx="5037455" cy="2371725"/>
            <wp:effectExtent l="0" t="0" r="10795" b="9525"/>
            <wp:docPr id="83" name="Graf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4F7B5D6B" w14:textId="31E3789A" w:rsidR="00673E30" w:rsidRPr="00236C6F" w:rsidRDefault="00673E30" w:rsidP="00C320A8">
      <w:pPr>
        <w:pStyle w:val="Titulek"/>
      </w:pPr>
      <w:bookmarkStart w:id="488" w:name="_Toc45513022"/>
      <w:r w:rsidRPr="00A43C36">
        <w:lastRenderedPageBreak/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47</w:t>
      </w:r>
      <w:r w:rsidR="00FC5B08">
        <w:rPr>
          <w:noProof/>
        </w:rPr>
        <w:fldChar w:fldCharType="end"/>
      </w:r>
      <w:r w:rsidRPr="00A43C36">
        <w:t xml:space="preserve"> </w:t>
      </w:r>
      <w:r w:rsidR="00A2731C">
        <w:t>Podíl žen a mužů v platových třídách v ústředních orgánech státní správy</w:t>
      </w:r>
      <w:bookmarkEnd w:id="488"/>
    </w:p>
    <w:p w14:paraId="4ABBACC2" w14:textId="77777777" w:rsidR="000535B3" w:rsidRDefault="00EC2188" w:rsidP="00A34307">
      <w:pPr>
        <w:jc w:val="center"/>
      </w:pPr>
      <w:r>
        <w:rPr>
          <w:noProof/>
        </w:rPr>
        <w:drawing>
          <wp:inline distT="0" distB="0" distL="0" distR="0" wp14:anchorId="69C87B33" wp14:editId="0866B6F0">
            <wp:extent cx="5067300" cy="2647950"/>
            <wp:effectExtent l="0" t="0" r="0" b="0"/>
            <wp:docPr id="84" name="Graf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1CDF74FB" w14:textId="75169A64" w:rsidR="00673E30" w:rsidRPr="00612C2D" w:rsidRDefault="00673E30" w:rsidP="00A34307">
      <w:pPr>
        <w:pStyle w:val="Podtitul"/>
      </w:pPr>
      <w:r>
        <w:t>Zaměstnanci se zdravotním postižením dle druhu zaměstnaneckého poměru</w:t>
      </w:r>
      <w:r w:rsidR="00D4546A">
        <w:t xml:space="preserve"> a</w:t>
      </w:r>
      <w:r w:rsidR="006F4A5B">
        <w:t> </w:t>
      </w:r>
      <w:r w:rsidR="000535B3">
        <w:t>zařazení do platových tříd v ústředních orgánech státní správy</w:t>
      </w:r>
    </w:p>
    <w:p w14:paraId="4397873E" w14:textId="77777777" w:rsidR="00673E30" w:rsidRPr="004059B7" w:rsidRDefault="00673E30" w:rsidP="00427569">
      <w:pPr>
        <w:pStyle w:val="Odstavecseseznamem"/>
        <w:numPr>
          <w:ilvl w:val="0"/>
          <w:numId w:val="22"/>
        </w:numPr>
      </w:pPr>
      <w:r>
        <w:t xml:space="preserve">Ve služebním poměru z celkového počtu </w:t>
      </w:r>
      <w:r w:rsidR="00980FB5">
        <w:t>31</w:t>
      </w:r>
      <w:r>
        <w:t xml:space="preserve"> </w:t>
      </w:r>
      <w:r w:rsidR="000D2DF4">
        <w:t>osob se zdravotním postižením</w:t>
      </w:r>
      <w:r w:rsidR="00980FB5">
        <w:t xml:space="preserve"> </w:t>
      </w:r>
      <w:r w:rsidR="007274AF">
        <w:t>nebyl do </w:t>
      </w:r>
      <w:r>
        <w:t xml:space="preserve">páté a nižší </w:t>
      </w:r>
      <w:r w:rsidR="009F2177">
        <w:t>třídy</w:t>
      </w:r>
      <w:r>
        <w:t xml:space="preserve"> zařazen nikdo,</w:t>
      </w:r>
      <w:r w:rsidR="000D2DF4">
        <w:t xml:space="preserve"> 3 osoby byly zařazeny do</w:t>
      </w:r>
      <w:r w:rsidR="004643DE">
        <w:t xml:space="preserve"> 6–</w:t>
      </w:r>
      <w:r w:rsidR="000D2DF4">
        <w:t xml:space="preserve">8 platové třídy </w:t>
      </w:r>
      <w:r>
        <w:t>(9</w:t>
      </w:r>
      <w:r w:rsidR="00980FB5">
        <w:t>,7</w:t>
      </w:r>
      <w:r w:rsidR="00196F6A">
        <w:t> </w:t>
      </w:r>
      <w:r w:rsidR="00556845">
        <w:t>%</w:t>
      </w:r>
      <w:r w:rsidR="004643DE">
        <w:t xml:space="preserve">), </w:t>
      </w:r>
      <w:r w:rsidR="000D2DF4">
        <w:t>9 do</w:t>
      </w:r>
      <w:r w:rsidR="004643DE">
        <w:t xml:space="preserve"> 9–</w:t>
      </w:r>
      <w:r w:rsidR="000D2DF4">
        <w:t xml:space="preserve">10 platové třídy </w:t>
      </w:r>
      <w:r>
        <w:t>(</w:t>
      </w:r>
      <w:r w:rsidR="00980FB5">
        <w:t>29</w:t>
      </w:r>
      <w:r w:rsidR="00556845">
        <w:t xml:space="preserve"> %</w:t>
      </w:r>
      <w:r w:rsidR="00980FB5">
        <w:t xml:space="preserve">), </w:t>
      </w:r>
      <w:r w:rsidR="000D2DF4">
        <w:t>12 do</w:t>
      </w:r>
      <w:r w:rsidR="00980FB5">
        <w:t> </w:t>
      </w:r>
      <w:r w:rsidR="004643DE">
        <w:t>11–</w:t>
      </w:r>
      <w:r w:rsidR="000D2DF4">
        <w:t xml:space="preserve">12 platové třídy </w:t>
      </w:r>
      <w:r>
        <w:t>(</w:t>
      </w:r>
      <w:r w:rsidR="00980FB5">
        <w:t>38,7</w:t>
      </w:r>
      <w:r w:rsidR="00556845">
        <w:t xml:space="preserve"> %</w:t>
      </w:r>
      <w:r>
        <w:t>)</w:t>
      </w:r>
      <w:r w:rsidR="000D2DF4">
        <w:t>, 4 do</w:t>
      </w:r>
      <w:r w:rsidR="004643DE">
        <w:t xml:space="preserve"> 13–</w:t>
      </w:r>
      <w:r w:rsidR="000D2DF4">
        <w:t>14 platové třídy</w:t>
      </w:r>
      <w:r>
        <w:t xml:space="preserve"> (</w:t>
      </w:r>
      <w:r w:rsidR="00980FB5">
        <w:t>12,9</w:t>
      </w:r>
      <w:r w:rsidR="00556845">
        <w:t xml:space="preserve"> %</w:t>
      </w:r>
      <w:r w:rsidR="000D2DF4">
        <w:t xml:space="preserve">) a 3 do </w:t>
      </w:r>
      <w:r w:rsidR="004643DE">
        <w:t>15–</w:t>
      </w:r>
      <w:r w:rsidR="000D2DF4">
        <w:t>16 platové třídy</w:t>
      </w:r>
      <w:r w:rsidR="00980FB5">
        <w:t xml:space="preserve"> (9,7</w:t>
      </w:r>
      <w:r w:rsidR="00556845">
        <w:t xml:space="preserve"> %</w:t>
      </w:r>
      <w:r w:rsidR="00980FB5">
        <w:t>)</w:t>
      </w:r>
      <w:r>
        <w:t>.</w:t>
      </w:r>
    </w:p>
    <w:p w14:paraId="272C28FF" w14:textId="77777777" w:rsidR="00673E30" w:rsidRPr="00106DBC" w:rsidRDefault="00673E30" w:rsidP="00427569">
      <w:pPr>
        <w:pStyle w:val="Odstavecseseznamem"/>
        <w:numPr>
          <w:ilvl w:val="0"/>
          <w:numId w:val="22"/>
        </w:numPr>
      </w:pPr>
      <w:r>
        <w:t>V pracovním poměru byl</w:t>
      </w:r>
      <w:r w:rsidR="000D2DF4">
        <w:t>o</w:t>
      </w:r>
      <w:r>
        <w:t xml:space="preserve"> z celkového počtu </w:t>
      </w:r>
      <w:r w:rsidR="00980FB5">
        <w:t>42</w:t>
      </w:r>
      <w:r>
        <w:t xml:space="preserve"> </w:t>
      </w:r>
      <w:r w:rsidR="000D2DF4">
        <w:t>osob se zdravotním postižením do páté a nižší třídy</w:t>
      </w:r>
      <w:r>
        <w:t xml:space="preserve"> zařazeno </w:t>
      </w:r>
      <w:r w:rsidR="00980FB5">
        <w:t>16</w:t>
      </w:r>
      <w:r>
        <w:t xml:space="preserve"> osob (</w:t>
      </w:r>
      <w:r w:rsidR="00EC3B86">
        <w:t>38,1</w:t>
      </w:r>
      <w:r w:rsidR="00556845">
        <w:t xml:space="preserve"> %</w:t>
      </w:r>
      <w:r w:rsidR="004643DE">
        <w:t xml:space="preserve">), </w:t>
      </w:r>
      <w:r w:rsidR="000D2DF4">
        <w:t>14 do</w:t>
      </w:r>
      <w:r w:rsidR="004643DE">
        <w:t xml:space="preserve"> 6–</w:t>
      </w:r>
      <w:r w:rsidR="000D2DF4">
        <w:t>8 platové třídy</w:t>
      </w:r>
      <w:r>
        <w:t xml:space="preserve"> </w:t>
      </w:r>
      <w:r w:rsidR="00EC3B86">
        <w:t>(33,3</w:t>
      </w:r>
      <w:r w:rsidR="00556845">
        <w:t xml:space="preserve"> %</w:t>
      </w:r>
      <w:r w:rsidR="004643DE">
        <w:t xml:space="preserve">), </w:t>
      </w:r>
      <w:r w:rsidR="000D2DF4">
        <w:t>8 do</w:t>
      </w:r>
      <w:r w:rsidR="004643DE">
        <w:t xml:space="preserve"> 9–</w:t>
      </w:r>
      <w:r w:rsidR="000D2DF4">
        <w:t xml:space="preserve">10 platové třídy </w:t>
      </w:r>
      <w:r w:rsidR="00EC3B86">
        <w:t>(19</w:t>
      </w:r>
      <w:r w:rsidR="00556845">
        <w:t xml:space="preserve"> %</w:t>
      </w:r>
      <w:r w:rsidR="004643DE">
        <w:t xml:space="preserve">), </w:t>
      </w:r>
      <w:r w:rsidR="000D2DF4">
        <w:t xml:space="preserve">4 do </w:t>
      </w:r>
      <w:r w:rsidR="004643DE">
        <w:t>11–</w:t>
      </w:r>
      <w:r w:rsidR="000D2DF4">
        <w:t xml:space="preserve">12 platové třídy </w:t>
      </w:r>
      <w:r w:rsidR="00EC3B86">
        <w:t>(</w:t>
      </w:r>
      <w:r w:rsidR="00F53A07">
        <w:t>9,5</w:t>
      </w:r>
      <w:r w:rsidR="00556845">
        <w:t xml:space="preserve"> %</w:t>
      </w:r>
      <w:r w:rsidR="00980FB5">
        <w:t>) a do</w:t>
      </w:r>
      <w:r w:rsidR="004643DE">
        <w:t xml:space="preserve"> 13–</w:t>
      </w:r>
      <w:r>
        <w:t>14</w:t>
      </w:r>
      <w:r w:rsidR="00980FB5">
        <w:t xml:space="preserve"> a </w:t>
      </w:r>
      <w:r w:rsidR="004643DE">
        <w:t>15–</w:t>
      </w:r>
      <w:r w:rsidR="000D2DF4">
        <w:t>16 platové třídy</w:t>
      </w:r>
      <w:r>
        <w:t xml:space="preserve"> </w:t>
      </w:r>
      <w:r w:rsidR="00980FB5">
        <w:t>ne</w:t>
      </w:r>
      <w:r>
        <w:t xml:space="preserve">byl zařazen </w:t>
      </w:r>
      <w:r w:rsidR="00980FB5">
        <w:t xml:space="preserve">žádný </w:t>
      </w:r>
      <w:r>
        <w:t xml:space="preserve">zaměstnanec </w:t>
      </w:r>
      <w:r w:rsidR="000D2DF4">
        <w:t xml:space="preserve">se zdravotním postižením </w:t>
      </w:r>
      <w:r>
        <w:t>v pracovním poměru.</w:t>
      </w:r>
    </w:p>
    <w:p w14:paraId="642D7F73" w14:textId="77F5D659" w:rsidR="00A2731C" w:rsidRDefault="00A2731C" w:rsidP="00C320A8">
      <w:pPr>
        <w:pStyle w:val="Titulek"/>
      </w:pPr>
      <w:bookmarkStart w:id="489" w:name="_Toc45513023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48</w:t>
      </w:r>
      <w:r w:rsidR="00FC5B08">
        <w:rPr>
          <w:noProof/>
        </w:rPr>
        <w:fldChar w:fldCharType="end"/>
      </w:r>
      <w:r>
        <w:t xml:space="preserve"> Počet OZP</w:t>
      </w:r>
      <w:r w:rsidRPr="00A43C36">
        <w:t xml:space="preserve"> </w:t>
      </w:r>
      <w:r>
        <w:t>dle zařazení do platových tříd a druhu zaměstnaneckého poměru v ústředních orgánech státní správy</w:t>
      </w:r>
      <w:bookmarkEnd w:id="489"/>
    </w:p>
    <w:p w14:paraId="407F3D30" w14:textId="77777777" w:rsidR="00673E30" w:rsidRDefault="007274AF" w:rsidP="00A34307">
      <w:pPr>
        <w:jc w:val="center"/>
      </w:pPr>
      <w:r>
        <w:rPr>
          <w:noProof/>
        </w:rPr>
        <w:drawing>
          <wp:inline distT="0" distB="0" distL="0" distR="0" wp14:anchorId="570A2C2F" wp14:editId="3DCE0C33">
            <wp:extent cx="5067300" cy="2305050"/>
            <wp:effectExtent l="0" t="0" r="0" b="0"/>
            <wp:docPr id="85" name="Graf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6C5B2F2E" w14:textId="77777777" w:rsidR="00673E30" w:rsidRPr="00B408BF" w:rsidRDefault="00673E30" w:rsidP="00A34307">
      <w:pPr>
        <w:pStyle w:val="Podtitul"/>
      </w:pPr>
      <w:r>
        <w:lastRenderedPageBreak/>
        <w:t>Zaměstnanci se zdravotním postižením s kratší služební/pracovní dobou</w:t>
      </w:r>
      <w:r w:rsidR="00177F47">
        <w:t xml:space="preserve"> dle </w:t>
      </w:r>
      <w:r w:rsidR="00006AFC">
        <w:t>zařazení do platových tříd v ústředních orgánech státní správy</w:t>
      </w:r>
    </w:p>
    <w:p w14:paraId="012DE243" w14:textId="77777777" w:rsidR="00673E30" w:rsidRPr="00745713" w:rsidRDefault="00673E30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D91643">
        <w:t>osob se zdravotním postižením</w:t>
      </w:r>
      <w:r>
        <w:t xml:space="preserve"> v jednotlivých skupinách platových tříd byly s kratší služební/pracovní dobou </w:t>
      </w:r>
      <w:r w:rsidRPr="00BB6AFE">
        <w:t>v</w:t>
      </w:r>
      <w:r w:rsidR="001E6956">
        <w:t> ústředních orgánech státní správy</w:t>
      </w:r>
      <w:r w:rsidR="00D91643">
        <w:t xml:space="preserve"> zařazeny</w:t>
      </w:r>
      <w:r>
        <w:t xml:space="preserve"> </w:t>
      </w:r>
      <w:r w:rsidR="00794548">
        <w:t>2</w:t>
      </w:r>
      <w:r>
        <w:t xml:space="preserve"> osob</w:t>
      </w:r>
      <w:r w:rsidR="00794548">
        <w:t>y</w:t>
      </w:r>
      <w:r w:rsidR="00D91643">
        <w:t xml:space="preserve"> do páté a nižší platové třídy</w:t>
      </w:r>
      <w:r>
        <w:t xml:space="preserve"> (</w:t>
      </w:r>
      <w:r w:rsidR="00794548">
        <w:t>obě</w:t>
      </w:r>
      <w:r>
        <w:t xml:space="preserve"> v pracovním poměru), </w:t>
      </w:r>
      <w:r w:rsidR="00794548">
        <w:t>2</w:t>
      </w:r>
      <w:r w:rsidR="002A6AAD">
        <w:t> </w:t>
      </w:r>
      <w:r>
        <w:t>osob</w:t>
      </w:r>
      <w:r w:rsidR="00794548">
        <w:t>y</w:t>
      </w:r>
      <w:r w:rsidR="00D91643">
        <w:t xml:space="preserve"> do</w:t>
      </w:r>
      <w:r w:rsidR="001F5A0A">
        <w:t> </w:t>
      </w:r>
      <w:r w:rsidR="004643DE">
        <w:t>6–</w:t>
      </w:r>
      <w:r w:rsidR="00D91643">
        <w:t>8 platové třídy</w:t>
      </w:r>
      <w:r>
        <w:t xml:space="preserve"> (</w:t>
      </w:r>
      <w:r w:rsidR="00794548">
        <w:t>obě</w:t>
      </w:r>
      <w:r>
        <w:t xml:space="preserve"> v</w:t>
      </w:r>
      <w:r w:rsidR="00794548">
        <w:t>e služebním</w:t>
      </w:r>
      <w:r>
        <w:t xml:space="preserve"> poměru), </w:t>
      </w:r>
      <w:r w:rsidR="00794548">
        <w:t>3</w:t>
      </w:r>
      <w:r>
        <w:t xml:space="preserve"> osob</w:t>
      </w:r>
      <w:r w:rsidR="00794548">
        <w:t>y</w:t>
      </w:r>
      <w:r w:rsidR="00D91643">
        <w:t xml:space="preserve"> do</w:t>
      </w:r>
      <w:r w:rsidR="004643DE">
        <w:t xml:space="preserve"> 9–</w:t>
      </w:r>
      <w:r w:rsidR="00D91643">
        <w:t>10 platové třídy</w:t>
      </w:r>
      <w:r>
        <w:t xml:space="preserve"> (</w:t>
      </w:r>
      <w:r w:rsidR="00794548">
        <w:t>2</w:t>
      </w:r>
      <w:r w:rsidR="00A40EB0">
        <w:t> ve </w:t>
      </w:r>
      <w:r>
        <w:t xml:space="preserve">služebním a </w:t>
      </w:r>
      <w:r w:rsidR="00794548">
        <w:t>1</w:t>
      </w:r>
      <w:r>
        <w:t xml:space="preserve"> v pracovním poměru), </w:t>
      </w:r>
      <w:r w:rsidR="00794548">
        <w:t>3</w:t>
      </w:r>
      <w:r>
        <w:t xml:space="preserve"> osob</w:t>
      </w:r>
      <w:r w:rsidR="00794548">
        <w:t>y</w:t>
      </w:r>
      <w:r w:rsidR="00D91643">
        <w:t xml:space="preserve"> do</w:t>
      </w:r>
      <w:r w:rsidR="004643DE">
        <w:t xml:space="preserve"> 11–</w:t>
      </w:r>
      <w:r w:rsidR="00D91643">
        <w:t>12 platové třídy</w:t>
      </w:r>
      <w:r>
        <w:t xml:space="preserve"> (</w:t>
      </w:r>
      <w:r w:rsidR="00794548">
        <w:t>1</w:t>
      </w:r>
      <w:r w:rsidR="00A40EB0">
        <w:t> </w:t>
      </w:r>
      <w:r>
        <w:t xml:space="preserve">ve služebním a </w:t>
      </w:r>
      <w:r w:rsidR="00794548">
        <w:t>2</w:t>
      </w:r>
      <w:r>
        <w:t xml:space="preserve"> v pracovním poměru)</w:t>
      </w:r>
      <w:r w:rsidR="00794548">
        <w:t xml:space="preserve"> a 1</w:t>
      </w:r>
      <w:r>
        <w:t xml:space="preserve"> v</w:t>
      </w:r>
      <w:r w:rsidR="00D91643">
        <w:t>e služebním poměru zařazena do</w:t>
      </w:r>
      <w:r>
        <w:t xml:space="preserve"> 13</w:t>
      </w:r>
      <w:r w:rsidR="00D91643">
        <w:t>–14 platové třídy</w:t>
      </w:r>
      <w:r w:rsidR="00794548">
        <w:t>. Ani jeden ze tří zaměstnanců</w:t>
      </w:r>
      <w:r>
        <w:t xml:space="preserve"> zařazený</w:t>
      </w:r>
      <w:r w:rsidR="00794548">
        <w:t>ch</w:t>
      </w:r>
      <w:r w:rsidR="004643DE">
        <w:t xml:space="preserve"> do 15–</w:t>
      </w:r>
      <w:r>
        <w:t xml:space="preserve">16 platové třídy kratší </w:t>
      </w:r>
      <w:r w:rsidR="00794548">
        <w:t>služební</w:t>
      </w:r>
      <w:r>
        <w:t xml:space="preserve"> dobu nevyužíval.</w:t>
      </w:r>
    </w:p>
    <w:p w14:paraId="584DE334" w14:textId="716CB2B8" w:rsidR="00A2731C" w:rsidRDefault="00A2731C" w:rsidP="00C320A8">
      <w:pPr>
        <w:pStyle w:val="Titulek"/>
      </w:pPr>
      <w:bookmarkStart w:id="490" w:name="_Toc45513024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49</w:t>
      </w:r>
      <w:r w:rsidR="00FC5B08">
        <w:rPr>
          <w:noProof/>
        </w:rPr>
        <w:fldChar w:fldCharType="end"/>
      </w:r>
      <w:r>
        <w:t xml:space="preserve"> Podíl OZP</w:t>
      </w:r>
      <w:r w:rsidRPr="00A43C36">
        <w:t xml:space="preserve"> </w:t>
      </w:r>
      <w:r>
        <w:t xml:space="preserve">se zkráceným úvazkem dle zaměstnaneckého poměru </w:t>
      </w:r>
      <w:r w:rsidR="00E40026">
        <w:t xml:space="preserve">a zařazení do platových tříd </w:t>
      </w:r>
      <w:r>
        <w:t>v ústředních orgánech státní správy</w:t>
      </w:r>
      <w:bookmarkEnd w:id="490"/>
    </w:p>
    <w:p w14:paraId="3F122AF1" w14:textId="77777777" w:rsidR="00673E30" w:rsidRDefault="00235CB9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144410F7" wp14:editId="5DA0A1CB">
            <wp:extent cx="5067300" cy="2733675"/>
            <wp:effectExtent l="0" t="0" r="0" b="9525"/>
            <wp:docPr id="86" name="Graf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370637D1" w14:textId="77777777" w:rsidR="00673E30" w:rsidRPr="00B408BF" w:rsidRDefault="00673E30" w:rsidP="00A34307">
      <w:pPr>
        <w:pStyle w:val="Podtitul"/>
      </w:pPr>
      <w:r w:rsidRPr="004C71D2">
        <w:t>Zaměstnanci se zdravotním postižením dle uznaného stupně invalidity</w:t>
      </w:r>
      <w:r w:rsidR="00177F47">
        <w:t xml:space="preserve"> a dle </w:t>
      </w:r>
      <w:r w:rsidR="004C28EB">
        <w:t>zařazení do platových tříd v ústředních orgánech státní správy</w:t>
      </w:r>
    </w:p>
    <w:p w14:paraId="049825B8" w14:textId="77777777" w:rsidR="00673E30" w:rsidRDefault="00673E30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323611">
        <w:t>14</w:t>
      </w:r>
      <w:r>
        <w:t xml:space="preserve"> zaměstnanců se zdravotním znevýhodněním </w:t>
      </w:r>
      <w:r w:rsidR="002A6AAD">
        <w:t>ve </w:t>
      </w:r>
      <w:r w:rsidR="002466C5">
        <w:t xml:space="preserve">služebním/pracovním poměru </w:t>
      </w:r>
      <w:r w:rsidR="00B1158E" w:rsidRPr="00BB6AFE">
        <w:t>v</w:t>
      </w:r>
      <w:r w:rsidR="00B1158E">
        <w:t> ústředních orgánech státní správy byli 3</w:t>
      </w:r>
      <w:r>
        <w:t xml:space="preserve"> </w:t>
      </w:r>
      <w:r w:rsidR="00323611">
        <w:t>zařazeni do páté a nižší platové třídy</w:t>
      </w:r>
      <w:r>
        <w:t xml:space="preserve">, </w:t>
      </w:r>
      <w:r w:rsidR="00B1158E">
        <w:t>2</w:t>
      </w:r>
      <w:r w:rsidR="00323611">
        <w:t xml:space="preserve"> do</w:t>
      </w:r>
      <w:r w:rsidR="004643DE">
        <w:t xml:space="preserve"> 6</w:t>
      </w:r>
      <w:r w:rsidR="00323611">
        <w:t>–8 platové třídy</w:t>
      </w:r>
      <w:r>
        <w:t xml:space="preserve">, </w:t>
      </w:r>
      <w:r w:rsidR="00B1158E">
        <w:t>3</w:t>
      </w:r>
      <w:r w:rsidR="00323611">
        <w:t xml:space="preserve"> do</w:t>
      </w:r>
      <w:r w:rsidR="004643DE">
        <w:t xml:space="preserve"> 9–1</w:t>
      </w:r>
      <w:r w:rsidR="00323611">
        <w:t>0 platové třídy</w:t>
      </w:r>
      <w:r>
        <w:t xml:space="preserve">, </w:t>
      </w:r>
      <w:r w:rsidR="00B1158E">
        <w:t xml:space="preserve">3 </w:t>
      </w:r>
      <w:r w:rsidR="00323611">
        <w:t>do</w:t>
      </w:r>
      <w:r w:rsidR="004643DE">
        <w:t xml:space="preserve"> 11–</w:t>
      </w:r>
      <w:r w:rsidR="00323611">
        <w:t>12 platové třídy</w:t>
      </w:r>
      <w:r>
        <w:t xml:space="preserve">, </w:t>
      </w:r>
      <w:r w:rsidR="00B1158E">
        <w:t>1</w:t>
      </w:r>
      <w:r w:rsidR="00323611">
        <w:t xml:space="preserve"> do</w:t>
      </w:r>
      <w:r w:rsidR="004643DE">
        <w:t xml:space="preserve"> 13–</w:t>
      </w:r>
      <w:r w:rsidR="00323611">
        <w:t>14 platové třídy</w:t>
      </w:r>
      <w:r>
        <w:t xml:space="preserve"> a</w:t>
      </w:r>
      <w:r w:rsidR="00B1158E">
        <w:t xml:space="preserve"> </w:t>
      </w:r>
      <w:r w:rsidR="00323611">
        <w:t xml:space="preserve">dva do </w:t>
      </w:r>
      <w:r w:rsidR="004643DE">
        <w:t>15–1</w:t>
      </w:r>
      <w:r w:rsidR="00323611">
        <w:t>6 platové třídy</w:t>
      </w:r>
      <w:r>
        <w:t>.</w:t>
      </w:r>
    </w:p>
    <w:p w14:paraId="5BEBC0AF" w14:textId="77777777" w:rsidR="00673E30" w:rsidRDefault="00673E30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B1158E">
        <w:t>35</w:t>
      </w:r>
      <w:r>
        <w:t xml:space="preserve"> zaměstnanců s uznaným prvním stupněm invalidity </w:t>
      </w:r>
      <w:r w:rsidR="002A6AAD">
        <w:t>ve </w:t>
      </w:r>
      <w:r w:rsidR="002466C5">
        <w:t xml:space="preserve">služebním/pracovním poměru </w:t>
      </w:r>
      <w:r w:rsidR="00B1158E" w:rsidRPr="00BB6AFE">
        <w:t>v</w:t>
      </w:r>
      <w:r w:rsidR="00B1158E">
        <w:t xml:space="preserve"> ústředních orgánech státní správy </w:t>
      </w:r>
      <w:r>
        <w:t xml:space="preserve">jich bylo </w:t>
      </w:r>
      <w:r w:rsidR="00B1158E">
        <w:t>10</w:t>
      </w:r>
      <w:r w:rsidR="002A6AAD">
        <w:t> </w:t>
      </w:r>
      <w:r w:rsidR="00323611">
        <w:t>zařazeno do páté a nižší platové třídy</w:t>
      </w:r>
      <w:r>
        <w:t xml:space="preserve">, </w:t>
      </w:r>
      <w:r w:rsidR="00B1158E">
        <w:t>7</w:t>
      </w:r>
      <w:r w:rsidR="00323611">
        <w:t xml:space="preserve"> do</w:t>
      </w:r>
      <w:r w:rsidR="004643DE">
        <w:t xml:space="preserve"> 6–</w:t>
      </w:r>
      <w:r w:rsidR="00323611">
        <w:t>8 platové třídy</w:t>
      </w:r>
      <w:r>
        <w:t xml:space="preserve">, </w:t>
      </w:r>
      <w:r w:rsidR="00B1158E">
        <w:t>7</w:t>
      </w:r>
      <w:r w:rsidR="00323611">
        <w:t xml:space="preserve"> do</w:t>
      </w:r>
      <w:r w:rsidR="004643DE">
        <w:t xml:space="preserve"> 9–</w:t>
      </w:r>
      <w:r w:rsidR="00323611">
        <w:t>10 platové třídy</w:t>
      </w:r>
      <w:r>
        <w:t xml:space="preserve">, </w:t>
      </w:r>
      <w:r w:rsidR="00B1158E">
        <w:t>8</w:t>
      </w:r>
      <w:r w:rsidR="00323611">
        <w:t xml:space="preserve"> do</w:t>
      </w:r>
      <w:r w:rsidR="004643DE">
        <w:t xml:space="preserve"> 11–</w:t>
      </w:r>
      <w:r w:rsidR="00323611">
        <w:t>12 platové třídy</w:t>
      </w:r>
      <w:r>
        <w:t xml:space="preserve">, </w:t>
      </w:r>
      <w:r w:rsidR="00323611">
        <w:t>2 do</w:t>
      </w:r>
      <w:r w:rsidR="004643DE">
        <w:t xml:space="preserve"> 13–</w:t>
      </w:r>
      <w:r w:rsidR="00323611">
        <w:t>14 platové třídy</w:t>
      </w:r>
      <w:r w:rsidR="00B1158E">
        <w:t xml:space="preserve"> a 1</w:t>
      </w:r>
      <w:r w:rsidR="00323611">
        <w:t xml:space="preserve"> do</w:t>
      </w:r>
      <w:r w:rsidR="004643DE">
        <w:t xml:space="preserve"> 15–</w:t>
      </w:r>
      <w:r>
        <w:t xml:space="preserve">16 platové </w:t>
      </w:r>
      <w:r w:rsidR="009F2177">
        <w:t>třídy</w:t>
      </w:r>
      <w:r>
        <w:t>.</w:t>
      </w:r>
    </w:p>
    <w:p w14:paraId="7E4BE64B" w14:textId="77777777" w:rsidR="00673E30" w:rsidRDefault="00673E30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40331A">
        <w:t>10</w:t>
      </w:r>
      <w:r>
        <w:t xml:space="preserve"> zaměstnanců s uznaným druhým stupněm invalidity </w:t>
      </w:r>
      <w:r w:rsidR="002A6AAD">
        <w:t>ve </w:t>
      </w:r>
      <w:r w:rsidR="002466C5">
        <w:t xml:space="preserve">služebním/pracovním poměru </w:t>
      </w:r>
      <w:r w:rsidR="00B1158E" w:rsidRPr="00BB6AFE">
        <w:t>v</w:t>
      </w:r>
      <w:r w:rsidR="00B1158E">
        <w:t xml:space="preserve"> ústředních orgánech státní správy </w:t>
      </w:r>
      <w:r>
        <w:t>byl</w:t>
      </w:r>
      <w:r w:rsidR="0040331A">
        <w:t>i</w:t>
      </w:r>
      <w:r>
        <w:t xml:space="preserve"> </w:t>
      </w:r>
      <w:r w:rsidR="0040331A">
        <w:t>2</w:t>
      </w:r>
      <w:r w:rsidR="00EF3DB6">
        <w:t xml:space="preserve"> zařazeni </w:t>
      </w:r>
      <w:r w:rsidR="00EF3DB6">
        <w:lastRenderedPageBreak/>
        <w:t>do páté a nižší platové třídy</w:t>
      </w:r>
      <w:r>
        <w:t xml:space="preserve">, </w:t>
      </w:r>
      <w:r w:rsidR="0040331A">
        <w:t>4</w:t>
      </w:r>
      <w:r w:rsidR="00EF3DB6">
        <w:t xml:space="preserve"> do</w:t>
      </w:r>
      <w:r w:rsidR="004643DE">
        <w:t xml:space="preserve"> 6–</w:t>
      </w:r>
      <w:r w:rsidR="00EF3DB6">
        <w:t>8 platové třídy</w:t>
      </w:r>
      <w:r>
        <w:t xml:space="preserve">, </w:t>
      </w:r>
      <w:r w:rsidR="0040331A">
        <w:t>2</w:t>
      </w:r>
      <w:r w:rsidR="00EF3DB6">
        <w:t xml:space="preserve"> do</w:t>
      </w:r>
      <w:r w:rsidR="004643DE">
        <w:t xml:space="preserve"> 9–</w:t>
      </w:r>
      <w:r>
        <w:t>10 platové tř</w:t>
      </w:r>
      <w:r w:rsidR="00EF3DB6">
        <w:t>ídy</w:t>
      </w:r>
      <w:r w:rsidR="0040331A">
        <w:t>, 2</w:t>
      </w:r>
      <w:r w:rsidR="00EF3DB6">
        <w:t xml:space="preserve"> do 11–12 platové třídy a do</w:t>
      </w:r>
      <w:r w:rsidR="004643DE">
        <w:t xml:space="preserve"> 13–</w:t>
      </w:r>
      <w:r w:rsidR="0040331A">
        <w:t>14 a</w:t>
      </w:r>
      <w:r w:rsidR="004643DE">
        <w:t xml:space="preserve"> 15–</w:t>
      </w:r>
      <w:r>
        <w:t>16 platové</w:t>
      </w:r>
      <w:r w:rsidR="00EF3DB6">
        <w:t xml:space="preserve"> třídy</w:t>
      </w:r>
      <w:r>
        <w:t xml:space="preserve"> nebyl</w:t>
      </w:r>
      <w:r w:rsidR="00EF3DB6">
        <w:t xml:space="preserve"> zařazen nikdo</w:t>
      </w:r>
      <w:r>
        <w:t>.</w:t>
      </w:r>
    </w:p>
    <w:p w14:paraId="40CEBA97" w14:textId="77777777" w:rsidR="00396D26" w:rsidRPr="00A2731C" w:rsidRDefault="00673E30" w:rsidP="00427569">
      <w:pPr>
        <w:pStyle w:val="Odstavecseseznamem"/>
        <w:numPr>
          <w:ilvl w:val="0"/>
          <w:numId w:val="22"/>
        </w:numPr>
      </w:pPr>
      <w:r>
        <w:t xml:space="preserve">Z celkového počtu </w:t>
      </w:r>
      <w:r w:rsidR="00D24094">
        <w:t>14</w:t>
      </w:r>
      <w:r>
        <w:t xml:space="preserve"> zaměstnanců s uznaným třetím stupněm invalidity </w:t>
      </w:r>
      <w:r w:rsidR="002A6AAD">
        <w:t>ve </w:t>
      </w:r>
      <w:r w:rsidR="002466C5">
        <w:t xml:space="preserve">služebním/pracovním poměru </w:t>
      </w:r>
      <w:r w:rsidR="00B1158E" w:rsidRPr="00BB6AFE">
        <w:t>v</w:t>
      </w:r>
      <w:r w:rsidR="00B1158E">
        <w:t xml:space="preserve"> ústředních orgánech státní správy </w:t>
      </w:r>
      <w:r>
        <w:t>byl</w:t>
      </w:r>
      <w:r w:rsidR="00D24094">
        <w:t xml:space="preserve"> 1</w:t>
      </w:r>
      <w:r w:rsidR="00EF3DB6">
        <w:t xml:space="preserve"> zařazen do páté a nižší platové třídy</w:t>
      </w:r>
      <w:r>
        <w:t xml:space="preserve">, </w:t>
      </w:r>
      <w:r w:rsidR="00D24094">
        <w:t>4</w:t>
      </w:r>
      <w:r w:rsidR="00EF3DB6">
        <w:t xml:space="preserve"> do</w:t>
      </w:r>
      <w:r w:rsidR="004643DE">
        <w:t xml:space="preserve"> 6–</w:t>
      </w:r>
      <w:r w:rsidR="00EF3DB6">
        <w:t>8 platové třídy</w:t>
      </w:r>
      <w:r>
        <w:t xml:space="preserve">, </w:t>
      </w:r>
      <w:r w:rsidR="00D24094">
        <w:t>5</w:t>
      </w:r>
      <w:r w:rsidR="00EF3DB6">
        <w:t xml:space="preserve"> do</w:t>
      </w:r>
      <w:r w:rsidR="004643DE">
        <w:t xml:space="preserve"> 9–</w:t>
      </w:r>
      <w:r w:rsidR="00EF3DB6">
        <w:t>10 platové třídy</w:t>
      </w:r>
      <w:r>
        <w:t xml:space="preserve">, </w:t>
      </w:r>
      <w:r w:rsidR="00D24094">
        <w:t>3</w:t>
      </w:r>
      <w:r w:rsidR="00EF3DB6">
        <w:t xml:space="preserve"> do</w:t>
      </w:r>
      <w:r w:rsidR="004643DE">
        <w:t xml:space="preserve"> 11–</w:t>
      </w:r>
      <w:r>
        <w:t xml:space="preserve">12 </w:t>
      </w:r>
      <w:r w:rsidR="00EF3DB6">
        <w:t>platové třídy</w:t>
      </w:r>
      <w:r w:rsidR="00D24094">
        <w:t xml:space="preserve"> a</w:t>
      </w:r>
      <w:r w:rsidR="00EF3DB6">
        <w:t xml:space="preserve"> 1 do</w:t>
      </w:r>
      <w:r w:rsidR="004643DE">
        <w:t xml:space="preserve"> 13–</w:t>
      </w:r>
      <w:r>
        <w:t xml:space="preserve">14 platové </w:t>
      </w:r>
      <w:r w:rsidR="00EF3DB6">
        <w:t>třídy. Do</w:t>
      </w:r>
      <w:r w:rsidR="004643DE">
        <w:t xml:space="preserve"> 15–</w:t>
      </w:r>
      <w:r w:rsidR="00EF3DB6">
        <w:t>16 platové třídy</w:t>
      </w:r>
      <w:r>
        <w:t xml:space="preserve"> nebyl</w:t>
      </w:r>
      <w:r w:rsidR="00EF3DB6">
        <w:t xml:space="preserve"> zařazen nikdo</w:t>
      </w:r>
      <w:r>
        <w:t>.</w:t>
      </w:r>
    </w:p>
    <w:p w14:paraId="55D909B2" w14:textId="53A0C726" w:rsidR="00A2731C" w:rsidRDefault="00A2731C" w:rsidP="00C320A8">
      <w:pPr>
        <w:pStyle w:val="Titulek"/>
      </w:pPr>
      <w:bookmarkStart w:id="491" w:name="_Toc45513025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50</w:t>
      </w:r>
      <w:r w:rsidR="00FC5B08">
        <w:rPr>
          <w:noProof/>
        </w:rPr>
        <w:fldChar w:fldCharType="end"/>
      </w:r>
      <w:r>
        <w:t xml:space="preserve"> Počet OZP dle stupně invalidity a dle zařazení do platové třídy v ústředních orgánech státní správy</w:t>
      </w:r>
      <w:bookmarkEnd w:id="491"/>
    </w:p>
    <w:p w14:paraId="0255DF83" w14:textId="77777777" w:rsidR="00BA5113" w:rsidRPr="00A34307" w:rsidRDefault="00FA5AAB" w:rsidP="00A34307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781E5BF2" wp14:editId="0A200DC1">
            <wp:extent cx="5086350" cy="3476625"/>
            <wp:effectExtent l="0" t="0" r="0" b="9525"/>
            <wp:docPr id="87" name="Graf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  <w:bookmarkStart w:id="492" w:name="_Toc21005762"/>
      <w:bookmarkStart w:id="493" w:name="_Toc21070004"/>
      <w:bookmarkStart w:id="494" w:name="_Toc21520864"/>
      <w:bookmarkStart w:id="495" w:name="_Toc21603305"/>
      <w:bookmarkStart w:id="496" w:name="_Toc21614027"/>
      <w:bookmarkStart w:id="497" w:name="_Toc21614903"/>
      <w:bookmarkStart w:id="498" w:name="_Toc21935952"/>
      <w:bookmarkStart w:id="499" w:name="_Toc21958332"/>
      <w:bookmarkStart w:id="500" w:name="_Toc21958388"/>
      <w:bookmarkStart w:id="501" w:name="_Toc22019421"/>
      <w:bookmarkStart w:id="502" w:name="_Toc22019477"/>
      <w:bookmarkStart w:id="503" w:name="_Toc22026809"/>
      <w:bookmarkStart w:id="504" w:name="_Toc24641228"/>
      <w:bookmarkStart w:id="505" w:name="_Toc24641302"/>
      <w:bookmarkStart w:id="506" w:name="_Toc24641370"/>
      <w:bookmarkStart w:id="507" w:name="_Toc24641437"/>
      <w:bookmarkStart w:id="508" w:name="_Toc24641503"/>
      <w:bookmarkStart w:id="509" w:name="_Toc24641568"/>
      <w:bookmarkStart w:id="510" w:name="_Toc24641633"/>
      <w:bookmarkStart w:id="511" w:name="_Toc40358782"/>
      <w:bookmarkStart w:id="512" w:name="_Toc40358985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</w:p>
    <w:p w14:paraId="336C6302" w14:textId="77777777" w:rsidR="00821C63" w:rsidRPr="00925FE7" w:rsidRDefault="009E28E9" w:rsidP="00E10D06">
      <w:pPr>
        <w:pStyle w:val="Nadpis3"/>
      </w:pPr>
      <w:r w:rsidRPr="00925FE7">
        <w:t>Shrnutí</w:t>
      </w:r>
    </w:p>
    <w:p w14:paraId="640A2186" w14:textId="62E22B6F" w:rsidR="00611448" w:rsidRDefault="009E28E9" w:rsidP="00560371">
      <w:r w:rsidRPr="00C56AAC">
        <w:t xml:space="preserve">Z celkového počtu </w:t>
      </w:r>
      <w:r w:rsidR="00085468" w:rsidRPr="00C56AAC">
        <w:t>zaměstnanců</w:t>
      </w:r>
      <w:r w:rsidRPr="00C56AAC">
        <w:t xml:space="preserve"> se zdravotním postižením </w:t>
      </w:r>
      <w:r w:rsidR="005A7837">
        <w:t>bylo</w:t>
      </w:r>
      <w:r w:rsidRPr="00C56AAC">
        <w:t xml:space="preserve"> </w:t>
      </w:r>
      <w:r w:rsidR="00E42346" w:rsidRPr="00C56AAC">
        <w:rPr>
          <w:b/>
        </w:rPr>
        <w:t>54</w:t>
      </w:r>
      <w:r w:rsidR="00F575A5" w:rsidRPr="00C56AAC">
        <w:rPr>
          <w:b/>
        </w:rPr>
        <w:t xml:space="preserve"> %</w:t>
      </w:r>
      <w:r w:rsidR="00513E5C" w:rsidRPr="00C56AAC">
        <w:rPr>
          <w:b/>
        </w:rPr>
        <w:t xml:space="preserve"> </w:t>
      </w:r>
      <w:r w:rsidR="00AD37C3" w:rsidRPr="00C56AAC">
        <w:rPr>
          <w:b/>
        </w:rPr>
        <w:t>zařazeno do 9–</w:t>
      </w:r>
      <w:r w:rsidRPr="00C56AAC">
        <w:rPr>
          <w:b/>
        </w:rPr>
        <w:t>10 platové třídy</w:t>
      </w:r>
      <w:r w:rsidR="008B7D4E" w:rsidRPr="00C56AAC">
        <w:rPr>
          <w:b/>
        </w:rPr>
        <w:t xml:space="preserve"> </w:t>
      </w:r>
      <w:r w:rsidR="008B7D4E" w:rsidRPr="00C56AAC">
        <w:t>(772 ve služebním poměru, 151 v pracovním poměru)</w:t>
      </w:r>
      <w:r w:rsidR="00C10961" w:rsidRPr="00C56AAC">
        <w:t xml:space="preserve">, </w:t>
      </w:r>
      <w:r w:rsidR="008B7D4E" w:rsidRPr="00C56AAC">
        <w:t>poté následuje 8</w:t>
      </w:r>
      <w:r w:rsidR="00AD37C3" w:rsidRPr="00C56AAC">
        <w:t>–</w:t>
      </w:r>
      <w:r w:rsidR="00E42346" w:rsidRPr="00C56AAC">
        <w:t>9 platová třída s</w:t>
      </w:r>
      <w:r w:rsidR="007E26F7" w:rsidRPr="00C56AAC">
        <w:t> </w:t>
      </w:r>
      <w:r w:rsidR="00E42346" w:rsidRPr="00C56AAC">
        <w:t>15</w:t>
      </w:r>
      <w:r w:rsidR="00F575A5" w:rsidRPr="00C56AAC">
        <w:t xml:space="preserve"> %</w:t>
      </w:r>
      <w:r w:rsidR="00AD37C3" w:rsidRPr="00C56AAC">
        <w:t xml:space="preserve"> OZP a 11–</w:t>
      </w:r>
      <w:r w:rsidR="008B7D4E" w:rsidRPr="00C56AAC">
        <w:t>12 se 14</w:t>
      </w:r>
      <w:r w:rsidR="00556845" w:rsidRPr="00C56AAC">
        <w:t xml:space="preserve"> %</w:t>
      </w:r>
      <w:r w:rsidR="008B7D4E" w:rsidRPr="00C56AAC">
        <w:t>.</w:t>
      </w:r>
      <w:r w:rsidR="00085364" w:rsidRPr="00C56AAC">
        <w:t xml:space="preserve"> </w:t>
      </w:r>
      <w:r w:rsidR="00C10961" w:rsidRPr="00C56AAC">
        <w:t>Nejnižší počet zaměstnanců se zdravotním postižením</w:t>
      </w:r>
      <w:r w:rsidR="008B7D4E" w:rsidRPr="00C56AAC">
        <w:t>, méně než 1</w:t>
      </w:r>
      <w:r w:rsidR="00F575A5" w:rsidRPr="00C56AAC">
        <w:t xml:space="preserve"> %</w:t>
      </w:r>
      <w:r w:rsidR="00E42346" w:rsidRPr="00C56AAC">
        <w:t xml:space="preserve"> (10</w:t>
      </w:r>
      <w:r w:rsidR="008A5987" w:rsidRPr="00C56AAC">
        <w:t xml:space="preserve"> osob)</w:t>
      </w:r>
      <w:r w:rsidR="008B7D4E" w:rsidRPr="00C56AAC">
        <w:t xml:space="preserve">, </w:t>
      </w:r>
      <w:r w:rsidR="005A7837">
        <w:t>byl</w:t>
      </w:r>
      <w:r w:rsidR="008B7D4E" w:rsidRPr="00C56AAC">
        <w:t xml:space="preserve"> </w:t>
      </w:r>
      <w:r w:rsidR="00513E5C" w:rsidRPr="00C56AAC">
        <w:t>zařazen</w:t>
      </w:r>
      <w:r w:rsidR="008A5987" w:rsidRPr="00C56AAC">
        <w:t> </w:t>
      </w:r>
      <w:r w:rsidR="00513E5C" w:rsidRPr="00C56AAC">
        <w:t xml:space="preserve">do </w:t>
      </w:r>
      <w:r w:rsidR="008A5987" w:rsidRPr="00C56AAC">
        <w:t xml:space="preserve">15 nebo 16 </w:t>
      </w:r>
      <w:r w:rsidR="00513E5C" w:rsidRPr="00C56AAC">
        <w:t>platové třídy</w:t>
      </w:r>
      <w:r w:rsidR="001F5A0A">
        <w:t>, z toho 9 ve </w:t>
      </w:r>
      <w:r w:rsidR="00E42346" w:rsidRPr="00C56AAC">
        <w:t>služebním a jeden v pracovním poměru</w:t>
      </w:r>
      <w:r w:rsidR="00151ADD" w:rsidRPr="00C56AAC">
        <w:t>.</w:t>
      </w:r>
      <w:r w:rsidR="00611448">
        <w:t xml:space="preserve"> </w:t>
      </w:r>
    </w:p>
    <w:p w14:paraId="515AF00B" w14:textId="5DE046CD" w:rsidR="00611448" w:rsidRDefault="00C10961" w:rsidP="00560371">
      <w:r w:rsidRPr="00C56AAC">
        <w:rPr>
          <w:b/>
        </w:rPr>
        <w:t>Nejv</w:t>
      </w:r>
      <w:r w:rsidR="001810D5" w:rsidRPr="00C56AAC">
        <w:rPr>
          <w:b/>
        </w:rPr>
        <w:t>yšší podíl žen (84</w:t>
      </w:r>
      <w:r w:rsidR="00F575A5" w:rsidRPr="00C56AAC">
        <w:rPr>
          <w:b/>
        </w:rPr>
        <w:t xml:space="preserve"> %</w:t>
      </w:r>
      <w:r w:rsidR="001810D5" w:rsidRPr="00C56AAC">
        <w:rPr>
          <w:b/>
        </w:rPr>
        <w:t xml:space="preserve">) </w:t>
      </w:r>
      <w:r w:rsidR="005A7837">
        <w:rPr>
          <w:b/>
        </w:rPr>
        <w:t>byl</w:t>
      </w:r>
      <w:r w:rsidR="001810D5" w:rsidRPr="00C56AAC">
        <w:rPr>
          <w:b/>
        </w:rPr>
        <w:t xml:space="preserve"> zařazen</w:t>
      </w:r>
      <w:r w:rsidR="00513E5C" w:rsidRPr="00C56AAC">
        <w:rPr>
          <w:b/>
        </w:rPr>
        <w:t xml:space="preserve"> do </w:t>
      </w:r>
      <w:r w:rsidRPr="00C56AAC">
        <w:rPr>
          <w:b/>
        </w:rPr>
        <w:t>9</w:t>
      </w:r>
      <w:r w:rsidR="00AD37C3" w:rsidRPr="00C56AAC">
        <w:rPr>
          <w:b/>
        </w:rPr>
        <w:t>–</w:t>
      </w:r>
      <w:r w:rsidR="00513E5C" w:rsidRPr="00C56AAC">
        <w:rPr>
          <w:b/>
        </w:rPr>
        <w:t>10 platové třídy</w:t>
      </w:r>
      <w:r w:rsidR="00AD37C3" w:rsidRPr="00C56AAC">
        <w:t>, následuje 6–</w:t>
      </w:r>
      <w:r w:rsidRPr="00C56AAC">
        <w:t xml:space="preserve">8 </w:t>
      </w:r>
      <w:r w:rsidR="00513E5C" w:rsidRPr="00C56AAC">
        <w:t xml:space="preserve">platová třída </w:t>
      </w:r>
      <w:r w:rsidRPr="00C56AAC">
        <w:t>se 74</w:t>
      </w:r>
      <w:r w:rsidR="00556845" w:rsidRPr="00C56AAC">
        <w:t>%</w:t>
      </w:r>
      <w:r w:rsidRPr="00C56AAC">
        <w:t xml:space="preserve"> podílem žen, přičemž se zvyšujícím se platovým stupněm </w:t>
      </w:r>
      <w:r w:rsidR="00AD37C3" w:rsidRPr="00C56AAC">
        <w:t>poměr žen postupně klesá a v 15–</w:t>
      </w:r>
      <w:r w:rsidRPr="00C56AAC">
        <w:t xml:space="preserve">16 třídě je poměr žen a mužů vyrovnaný (5:5). </w:t>
      </w:r>
      <w:r w:rsidRPr="00C56AAC">
        <w:rPr>
          <w:b/>
        </w:rPr>
        <w:t xml:space="preserve">Jedinou skupinou, ve které je podíl žen nižší než podíl mužů, je skupina </w:t>
      </w:r>
      <w:r w:rsidR="00513E5C" w:rsidRPr="00C56AAC">
        <w:rPr>
          <w:b/>
        </w:rPr>
        <w:t xml:space="preserve">zaměstnanců zařazených do páté a nižší </w:t>
      </w:r>
      <w:r w:rsidR="0071518C" w:rsidRPr="00C56AAC">
        <w:rPr>
          <w:b/>
        </w:rPr>
        <w:t>platové</w:t>
      </w:r>
      <w:r w:rsidR="00513E5C" w:rsidRPr="00C56AAC">
        <w:rPr>
          <w:b/>
        </w:rPr>
        <w:t xml:space="preserve"> třídy</w:t>
      </w:r>
      <w:r w:rsidRPr="00C56AAC">
        <w:rPr>
          <w:b/>
        </w:rPr>
        <w:t>, kde podíl žen tvoří pouhých 30</w:t>
      </w:r>
      <w:r w:rsidR="00556845" w:rsidRPr="00C56AAC">
        <w:rPr>
          <w:b/>
        </w:rPr>
        <w:t xml:space="preserve"> %</w:t>
      </w:r>
      <w:r w:rsidRPr="00C56AAC">
        <w:rPr>
          <w:b/>
        </w:rPr>
        <w:t>.</w:t>
      </w:r>
      <w:r w:rsidR="00611448">
        <w:t xml:space="preserve"> </w:t>
      </w:r>
    </w:p>
    <w:p w14:paraId="7FB073FE" w14:textId="226CF76D" w:rsidR="00611448" w:rsidRDefault="00151ADD" w:rsidP="00560371">
      <w:r w:rsidRPr="00C56AAC">
        <w:rPr>
          <w:b/>
        </w:rPr>
        <w:lastRenderedPageBreak/>
        <w:t>Kratší úvazek využíval nejvyšší podíl osob v</w:t>
      </w:r>
      <w:r w:rsidR="00E42346" w:rsidRPr="00C56AAC">
        <w:rPr>
          <w:b/>
        </w:rPr>
        <w:t>e</w:t>
      </w:r>
      <w:r w:rsidR="00AD37C3" w:rsidRPr="00C56AAC">
        <w:rPr>
          <w:b/>
        </w:rPr>
        <w:t> 13–</w:t>
      </w:r>
      <w:r w:rsidRPr="00C56AAC">
        <w:rPr>
          <w:b/>
        </w:rPr>
        <w:t>14 platové třídě</w:t>
      </w:r>
      <w:r w:rsidR="005A108D" w:rsidRPr="00C56AAC">
        <w:t>, jejich</w:t>
      </w:r>
      <w:r w:rsidRPr="00C56AAC">
        <w:t xml:space="preserve"> podíl dosahoval téměř 30</w:t>
      </w:r>
      <w:r w:rsidR="00556845" w:rsidRPr="00C56AAC">
        <w:t xml:space="preserve"> %</w:t>
      </w:r>
      <w:r w:rsidRPr="00C56AAC">
        <w:t>, necelých 25</w:t>
      </w:r>
      <w:r w:rsidR="00556845" w:rsidRPr="00C56AAC">
        <w:t xml:space="preserve"> %</w:t>
      </w:r>
      <w:r w:rsidRPr="00C56AAC">
        <w:t xml:space="preserve"> pak v páté a nižší platové třídě. </w:t>
      </w:r>
      <w:r w:rsidR="00E42346" w:rsidRPr="00C56AAC">
        <w:t>V</w:t>
      </w:r>
      <w:r w:rsidR="00AD37C3" w:rsidRPr="00C56AAC">
        <w:t> 15–</w:t>
      </w:r>
      <w:r w:rsidRPr="00C56AAC">
        <w:t xml:space="preserve">16 </w:t>
      </w:r>
      <w:r w:rsidR="00B22D3A" w:rsidRPr="00C56AAC">
        <w:t xml:space="preserve">platové třídě neměl </w:t>
      </w:r>
      <w:r w:rsidRPr="00C56AAC">
        <w:t>zkrácen</w:t>
      </w:r>
      <w:r w:rsidR="00E42346" w:rsidRPr="00C56AAC">
        <w:t>ou služ</w:t>
      </w:r>
      <w:r w:rsidR="00B22D3A" w:rsidRPr="00C56AAC">
        <w:t xml:space="preserve">ební či pracovní dobu </w:t>
      </w:r>
      <w:r w:rsidR="00E42346" w:rsidRPr="00C56AAC">
        <w:t>žádný zaměstnanec</w:t>
      </w:r>
      <w:r w:rsidRPr="00C56AAC">
        <w:t xml:space="preserve">, a to i přes to, že v této skupině </w:t>
      </w:r>
      <w:r w:rsidR="005A7837">
        <w:t>jsou</w:t>
      </w:r>
      <w:r w:rsidRPr="00C56AAC">
        <w:t xml:space="preserve"> 3 osoby s uznaným </w:t>
      </w:r>
      <w:r w:rsidRPr="00A34307">
        <w:t>třetím stupněm i</w:t>
      </w:r>
      <w:r w:rsidR="00BA065E" w:rsidRPr="00A34307">
        <w:t xml:space="preserve">nvalidity. </w:t>
      </w:r>
    </w:p>
    <w:p w14:paraId="63AE3E60" w14:textId="02D7D3C5" w:rsidR="00611448" w:rsidRDefault="00D70F16" w:rsidP="00560371">
      <w:r w:rsidRPr="00A34307">
        <w:rPr>
          <w:b/>
          <w:bCs/>
        </w:rPr>
        <w:t>Nejpočetnější skupinou</w:t>
      </w:r>
      <w:r w:rsidRPr="00A34307">
        <w:t>, při porovnání podílu zaměstnanců se zdravotním postižením dle stupně invalidity a zařazení do platové třídy</w:t>
      </w:r>
      <w:r w:rsidRPr="001D22CB">
        <w:rPr>
          <w:b/>
          <w:bCs/>
        </w:rPr>
        <w:t xml:space="preserve">, </w:t>
      </w:r>
      <w:proofErr w:type="spellStart"/>
      <w:r w:rsidR="000550A9">
        <w:rPr>
          <w:b/>
          <w:bCs/>
        </w:rPr>
        <w:t>byi</w:t>
      </w:r>
      <w:proofErr w:type="spellEnd"/>
      <w:r w:rsidRPr="001D22CB">
        <w:rPr>
          <w:b/>
          <w:bCs/>
        </w:rPr>
        <w:t xml:space="preserve"> zaměstnanci s</w:t>
      </w:r>
      <w:r w:rsidR="0071518C" w:rsidRPr="001D22CB">
        <w:rPr>
          <w:b/>
          <w:bCs/>
        </w:rPr>
        <w:t> </w:t>
      </w:r>
      <w:r w:rsidRPr="001D22CB">
        <w:rPr>
          <w:b/>
          <w:bCs/>
        </w:rPr>
        <w:t>uznaným</w:t>
      </w:r>
      <w:r w:rsidR="0071518C" w:rsidRPr="001D22CB">
        <w:rPr>
          <w:b/>
          <w:bCs/>
        </w:rPr>
        <w:t xml:space="preserve"> prvním stupněm invalidity zařazení do </w:t>
      </w:r>
      <w:r w:rsidRPr="001D22CB">
        <w:rPr>
          <w:b/>
          <w:bCs/>
        </w:rPr>
        <w:t>9</w:t>
      </w:r>
      <w:r w:rsidR="00AD37C3" w:rsidRPr="001D22CB">
        <w:rPr>
          <w:b/>
          <w:bCs/>
        </w:rPr>
        <w:t>–</w:t>
      </w:r>
      <w:r w:rsidR="0071518C" w:rsidRPr="001D22CB">
        <w:rPr>
          <w:b/>
          <w:bCs/>
        </w:rPr>
        <w:t>10 platové třídy</w:t>
      </w:r>
      <w:r w:rsidRPr="00A34307">
        <w:t xml:space="preserve"> (36,4</w:t>
      </w:r>
      <w:r w:rsidR="00556845" w:rsidRPr="00A34307">
        <w:t xml:space="preserve"> %</w:t>
      </w:r>
      <w:r w:rsidRPr="00A34307">
        <w:t>). S velkým rozdílem následují s 9,7</w:t>
      </w:r>
      <w:r w:rsidR="00556845" w:rsidRPr="00A34307">
        <w:t xml:space="preserve"> %</w:t>
      </w:r>
      <w:r w:rsidRPr="00A34307">
        <w:t xml:space="preserve"> zaměstn</w:t>
      </w:r>
      <w:r w:rsidR="0071518C" w:rsidRPr="00A34307">
        <w:t>anci v témže stupni invalidity zařazení do</w:t>
      </w:r>
      <w:r w:rsidR="00AD37C3" w:rsidRPr="00A34307">
        <w:t> 6–8</w:t>
      </w:r>
      <w:r w:rsidR="0071518C" w:rsidRPr="00A34307">
        <w:t xml:space="preserve"> platové třídy, </w:t>
      </w:r>
      <w:r w:rsidR="00AD37C3" w:rsidRPr="00A34307">
        <w:t>s 8,2</w:t>
      </w:r>
      <w:r w:rsidR="0071518C" w:rsidRPr="00A34307">
        <w:t xml:space="preserve"> %</w:t>
      </w:r>
      <w:r w:rsidR="00AD37C3" w:rsidRPr="00A34307">
        <w:t xml:space="preserve"> </w:t>
      </w:r>
      <w:r w:rsidR="0071518C" w:rsidRPr="00A34307">
        <w:t xml:space="preserve">zaměstnanci zařazení do </w:t>
      </w:r>
      <w:r w:rsidR="00AD37C3" w:rsidRPr="00A34307">
        <w:t>11–</w:t>
      </w:r>
      <w:r w:rsidRPr="00A34307">
        <w:t>12 platové</w:t>
      </w:r>
      <w:r w:rsidR="0071518C" w:rsidRPr="00A34307">
        <w:t xml:space="preserve"> třídy</w:t>
      </w:r>
      <w:r w:rsidRPr="00A34307">
        <w:t xml:space="preserve"> a se shodnými procenty zaměstnanci</w:t>
      </w:r>
      <w:r w:rsidR="0071518C" w:rsidRPr="00A34307">
        <w:t xml:space="preserve"> s</w:t>
      </w:r>
      <w:r w:rsidR="003D53BB">
        <w:t> </w:t>
      </w:r>
      <w:r w:rsidR="0071518C" w:rsidRPr="00A34307">
        <w:t>uznaným druhým stupněm</w:t>
      </w:r>
      <w:r w:rsidR="00AD37C3" w:rsidRPr="00A34307">
        <w:t xml:space="preserve"> </w:t>
      </w:r>
      <w:r w:rsidR="0071518C" w:rsidRPr="00A34307">
        <w:t xml:space="preserve">invalidity zařazení </w:t>
      </w:r>
      <w:r w:rsidR="00767ADD" w:rsidRPr="00A34307">
        <w:t>do 9</w:t>
      </w:r>
      <w:r w:rsidR="00AD37C3" w:rsidRPr="00A34307">
        <w:t>–</w:t>
      </w:r>
      <w:r w:rsidRPr="00A34307">
        <w:t>10 platové</w:t>
      </w:r>
      <w:r w:rsidR="0071518C" w:rsidRPr="00A34307">
        <w:t xml:space="preserve"> třídy</w:t>
      </w:r>
      <w:r w:rsidRPr="00A34307">
        <w:t>.</w:t>
      </w:r>
      <w:r w:rsidR="005F3A01" w:rsidRPr="00A34307">
        <w:t xml:space="preserve"> Jak již bylo zmíněno výše, nejméně početnou</w:t>
      </w:r>
      <w:r w:rsidR="0071518C" w:rsidRPr="00A34307">
        <w:t xml:space="preserve"> skupinu (</w:t>
      </w:r>
      <w:r w:rsidR="00FB5CCF" w:rsidRPr="00A34307">
        <w:t>3</w:t>
      </w:r>
      <w:r w:rsidR="0071518C" w:rsidRPr="00A34307">
        <w:t xml:space="preserve"> osob</w:t>
      </w:r>
      <w:r w:rsidR="00FB5CCF" w:rsidRPr="00A34307">
        <w:t>y</w:t>
      </w:r>
      <w:r w:rsidR="0071518C" w:rsidRPr="00A34307">
        <w:t>) tvoř</w:t>
      </w:r>
      <w:r w:rsidR="000550A9">
        <w:t>ili</w:t>
      </w:r>
      <w:r w:rsidR="0071518C" w:rsidRPr="00A34307">
        <w:t xml:space="preserve"> zaměstnanci zařazení do</w:t>
      </w:r>
      <w:r w:rsidR="00AD37C3" w:rsidRPr="00A34307">
        <w:t> 15–</w:t>
      </w:r>
      <w:r w:rsidR="005F3A01" w:rsidRPr="00A34307">
        <w:t>16</w:t>
      </w:r>
      <w:r w:rsidR="0071518C" w:rsidRPr="00A34307">
        <w:t xml:space="preserve"> platové třídy</w:t>
      </w:r>
      <w:r w:rsidR="005F3A01" w:rsidRPr="00A34307">
        <w:t xml:space="preserve">, z nichž nikdo </w:t>
      </w:r>
      <w:r w:rsidR="000550A9">
        <w:t>nebyl</w:t>
      </w:r>
      <w:r w:rsidR="005F3A01" w:rsidRPr="00A34307">
        <w:t xml:space="preserve"> osobou s</w:t>
      </w:r>
      <w:r w:rsidR="0071518C" w:rsidRPr="00A34307">
        <w:t xml:space="preserve"> uznaným </w:t>
      </w:r>
      <w:r w:rsidR="005F3A01" w:rsidRPr="00A34307">
        <w:t>druhým</w:t>
      </w:r>
      <w:r w:rsidR="0071518C" w:rsidRPr="00A34307">
        <w:t xml:space="preserve"> či</w:t>
      </w:r>
      <w:r w:rsidR="005F3A01" w:rsidRPr="00A34307">
        <w:t xml:space="preserve"> </w:t>
      </w:r>
      <w:r w:rsidR="0071518C" w:rsidRPr="00A34307">
        <w:t xml:space="preserve">třetím </w:t>
      </w:r>
      <w:r w:rsidR="005F3A01" w:rsidRPr="00A34307">
        <w:t>stupněm invalidity.</w:t>
      </w:r>
      <w:r w:rsidR="005F3A01" w:rsidRPr="00C56AAC">
        <w:t xml:space="preserve"> </w:t>
      </w:r>
      <w:r w:rsidR="00611448">
        <w:t xml:space="preserve"> </w:t>
      </w:r>
    </w:p>
    <w:p w14:paraId="28FB80C3" w14:textId="509647A8" w:rsidR="00611448" w:rsidRDefault="007851A5" w:rsidP="00560371">
      <w:r w:rsidRPr="00C56AAC">
        <w:rPr>
          <w:b/>
        </w:rPr>
        <w:t xml:space="preserve">Na ministerstvech </w:t>
      </w:r>
      <w:r w:rsidR="000550A9">
        <w:rPr>
          <w:b/>
        </w:rPr>
        <w:t>byli</w:t>
      </w:r>
      <w:r w:rsidRPr="00C56AAC">
        <w:rPr>
          <w:b/>
        </w:rPr>
        <w:t xml:space="preserve"> nejpočetnější skupinou</w:t>
      </w:r>
      <w:r w:rsidRPr="00C56AAC">
        <w:t xml:space="preserve"> zaměstnanců se zdravotním postižení</w:t>
      </w:r>
      <w:r w:rsidR="004A7896" w:rsidRPr="00C56AAC">
        <w:t>m</w:t>
      </w:r>
      <w:r w:rsidRPr="00C56AAC">
        <w:t xml:space="preserve"> s téměř 32</w:t>
      </w:r>
      <w:r w:rsidR="00556845" w:rsidRPr="00C56AAC">
        <w:t xml:space="preserve"> %</w:t>
      </w:r>
      <w:r w:rsidRPr="00C56AAC">
        <w:t xml:space="preserve"> </w:t>
      </w:r>
      <w:r w:rsidRPr="00C56AAC">
        <w:rPr>
          <w:b/>
        </w:rPr>
        <w:t>zaměstnanci</w:t>
      </w:r>
      <w:r w:rsidR="00BD5DB1" w:rsidRPr="00C56AAC">
        <w:rPr>
          <w:b/>
        </w:rPr>
        <w:t xml:space="preserve"> </w:t>
      </w:r>
      <w:r w:rsidRPr="00C56AAC">
        <w:rPr>
          <w:b/>
        </w:rPr>
        <w:t>zařazení</w:t>
      </w:r>
      <w:r w:rsidR="00AD37C3" w:rsidRPr="00C56AAC">
        <w:rPr>
          <w:b/>
        </w:rPr>
        <w:t xml:space="preserve"> do 13–</w:t>
      </w:r>
      <w:r w:rsidR="00BD5DB1" w:rsidRPr="00C56AAC">
        <w:rPr>
          <w:b/>
        </w:rPr>
        <w:t>14 platové třídy</w:t>
      </w:r>
      <w:r w:rsidR="00BD5DB1" w:rsidRPr="00C56AAC">
        <w:t xml:space="preserve"> (</w:t>
      </w:r>
      <w:r w:rsidRPr="00C56AAC">
        <w:t>90,7</w:t>
      </w:r>
      <w:r w:rsidR="00556845" w:rsidRPr="00C56AAC">
        <w:t xml:space="preserve"> %</w:t>
      </w:r>
      <w:r w:rsidRPr="00C56AAC">
        <w:t xml:space="preserve"> </w:t>
      </w:r>
      <w:r w:rsidR="004A7896" w:rsidRPr="00C56AAC">
        <w:t>ve </w:t>
      </w:r>
      <w:r w:rsidR="00BD5DB1" w:rsidRPr="00C56AAC">
        <w:t>služebním poměru)</w:t>
      </w:r>
      <w:r w:rsidRPr="00C56AAC">
        <w:t>. Většinou z</w:t>
      </w:r>
      <w:r w:rsidR="000550A9">
        <w:t> </w:t>
      </w:r>
      <w:r w:rsidRPr="00C56AAC">
        <w:t>nichž</w:t>
      </w:r>
      <w:r w:rsidR="000550A9">
        <w:t xml:space="preserve"> byly</w:t>
      </w:r>
      <w:r w:rsidRPr="00C56AAC">
        <w:t xml:space="preserve"> ženy (68,6</w:t>
      </w:r>
      <w:r w:rsidR="00556845" w:rsidRPr="00C56AAC">
        <w:t xml:space="preserve"> %</w:t>
      </w:r>
      <w:r w:rsidRPr="00C56AAC">
        <w:t xml:space="preserve">). Nejméně zastoupenou skupinou </w:t>
      </w:r>
      <w:r w:rsidR="000550A9">
        <w:t>byli</w:t>
      </w:r>
      <w:r w:rsidRPr="00C56AAC">
        <w:t xml:space="preserve"> i zde osoby s uznaným</w:t>
      </w:r>
      <w:r w:rsidR="00FB5CCF" w:rsidRPr="00C56AAC">
        <w:t xml:space="preserve"> třetím stupněm invalidity zařazení do</w:t>
      </w:r>
      <w:r w:rsidR="00AD37C3" w:rsidRPr="00C56AAC">
        <w:t> 15–</w:t>
      </w:r>
      <w:r w:rsidR="00FB5CCF" w:rsidRPr="00C56AAC">
        <w:t>16 platové třídy</w:t>
      </w:r>
      <w:r w:rsidRPr="00C56AAC">
        <w:t xml:space="preserve">, kterých </w:t>
      </w:r>
      <w:r w:rsidR="000550A9">
        <w:t>bylo</w:t>
      </w:r>
      <w:r w:rsidRPr="00C56AAC">
        <w:t xml:space="preserve"> v ministerstvech zaměstnáno 6 (2 ženy a 4 muži)</w:t>
      </w:r>
      <w:r w:rsidR="00FB5CCF" w:rsidRPr="00C56AAC">
        <w:t>, všichni ve služebním poměru</w:t>
      </w:r>
      <w:r w:rsidRPr="00C56AAC">
        <w:t>.</w:t>
      </w:r>
    </w:p>
    <w:p w14:paraId="2986A8E4" w14:textId="53DC03A8" w:rsidR="00611448" w:rsidRDefault="001A18F9" w:rsidP="00560371">
      <w:r w:rsidRPr="00C56AAC">
        <w:rPr>
          <w:b/>
        </w:rPr>
        <w:t xml:space="preserve">V organizačních </w:t>
      </w:r>
      <w:r w:rsidR="00797613" w:rsidRPr="00C56AAC">
        <w:rPr>
          <w:b/>
        </w:rPr>
        <w:t xml:space="preserve">složkách ministerstev </w:t>
      </w:r>
      <w:r w:rsidR="000550A9">
        <w:rPr>
          <w:b/>
        </w:rPr>
        <w:t>byly</w:t>
      </w:r>
      <w:r w:rsidRPr="00C56AAC">
        <w:rPr>
          <w:b/>
        </w:rPr>
        <w:t xml:space="preserve"> nejpočetnější skupi</w:t>
      </w:r>
      <w:r w:rsidR="00797613" w:rsidRPr="00C56AAC">
        <w:rPr>
          <w:b/>
        </w:rPr>
        <w:t>nou</w:t>
      </w:r>
      <w:r w:rsidR="004A7896" w:rsidRPr="00C56AAC">
        <w:rPr>
          <w:b/>
        </w:rPr>
        <w:t xml:space="preserve"> </w:t>
      </w:r>
      <w:r w:rsidR="004A7896" w:rsidRPr="00C56AAC">
        <w:t>zaměstnanců se zdravotním postižení</w:t>
      </w:r>
      <w:r w:rsidR="00797613" w:rsidRPr="00C56AAC">
        <w:t xml:space="preserve"> </w:t>
      </w:r>
      <w:r w:rsidR="004A7896" w:rsidRPr="00C56AAC">
        <w:t>s 61,3</w:t>
      </w:r>
      <w:r w:rsidR="00556845" w:rsidRPr="00C56AAC">
        <w:t>%</w:t>
      </w:r>
      <w:r w:rsidR="004A7896" w:rsidRPr="00C56AAC">
        <w:t xml:space="preserve"> zastoupením </w:t>
      </w:r>
      <w:r w:rsidR="00AD37C3" w:rsidRPr="00C56AAC">
        <w:rPr>
          <w:b/>
        </w:rPr>
        <w:t>zaměstnanci zařazeni do 9–</w:t>
      </w:r>
      <w:r w:rsidRPr="00C56AAC">
        <w:rPr>
          <w:b/>
        </w:rPr>
        <w:t>10 platové třídy</w:t>
      </w:r>
      <w:r w:rsidR="00797613" w:rsidRPr="00C56AAC">
        <w:t xml:space="preserve"> </w:t>
      </w:r>
      <w:r w:rsidRPr="00C56AAC">
        <w:t>(87,9</w:t>
      </w:r>
      <w:r w:rsidR="00556845" w:rsidRPr="00C56AAC">
        <w:t xml:space="preserve"> %</w:t>
      </w:r>
      <w:r w:rsidRPr="00C56AAC">
        <w:t xml:space="preserve"> ve služebním poměru). Většinu tvoř</w:t>
      </w:r>
      <w:r w:rsidR="000550A9">
        <w:t>ily</w:t>
      </w:r>
      <w:r w:rsidRPr="00C56AAC">
        <w:t xml:space="preserve"> s 85,5</w:t>
      </w:r>
      <w:r w:rsidR="00556845" w:rsidRPr="00C56AAC">
        <w:t xml:space="preserve"> %</w:t>
      </w:r>
      <w:r w:rsidRPr="00C56AAC">
        <w:t> opět ženy.</w:t>
      </w:r>
      <w:r w:rsidR="00FB5CCF" w:rsidRPr="00C56AAC">
        <w:t xml:space="preserve"> Do</w:t>
      </w:r>
      <w:r w:rsidR="00AD37C3" w:rsidRPr="00C56AAC">
        <w:t> 15–</w:t>
      </w:r>
      <w:r w:rsidR="00B97FDF" w:rsidRPr="00C56AAC">
        <w:t xml:space="preserve">16 platové třídě </w:t>
      </w:r>
      <w:r w:rsidR="005A7837">
        <w:t xml:space="preserve">byl </w:t>
      </w:r>
      <w:r w:rsidR="00B97FDF" w:rsidRPr="00C56AAC">
        <w:t>zařazen pouze jeden zaměstnanec, a to žena se zdravotním znevýhodněním</w:t>
      </w:r>
      <w:r w:rsidR="00415728" w:rsidRPr="00C56AAC">
        <w:t xml:space="preserve"> v pracovním poměru</w:t>
      </w:r>
      <w:r w:rsidR="00B97FDF" w:rsidRPr="00C56AAC">
        <w:t>.</w:t>
      </w:r>
      <w:r w:rsidR="00611448">
        <w:t xml:space="preserve"> </w:t>
      </w:r>
    </w:p>
    <w:p w14:paraId="2A824EBD" w14:textId="4414604F" w:rsidR="00FA5AAB" w:rsidRPr="00455CFF" w:rsidRDefault="00492504" w:rsidP="00560371">
      <w:r w:rsidRPr="00C56AAC">
        <w:rPr>
          <w:b/>
        </w:rPr>
        <w:t>V ústředních orgánech státní správy</w:t>
      </w:r>
      <w:r w:rsidRPr="00C56AAC">
        <w:t xml:space="preserve"> </w:t>
      </w:r>
      <w:r w:rsidR="000550A9">
        <w:t>bylo</w:t>
      </w:r>
      <w:r w:rsidR="00E61734" w:rsidRPr="00C56AAC">
        <w:t xml:space="preserve"> nejvyrovnanější zastoupení zaměstnanců se zdravotním postižením v prvních čtyřech skupinách platových tříd, kdy </w:t>
      </w:r>
      <w:r w:rsidR="000550A9">
        <w:t>bylo</w:t>
      </w:r>
      <w:r w:rsidR="00E61734" w:rsidRPr="00C56AAC">
        <w:t xml:space="preserve"> v každé přibližně 20</w:t>
      </w:r>
      <w:r w:rsidR="00464CCF">
        <w:t> </w:t>
      </w:r>
      <w:r w:rsidR="00556845" w:rsidRPr="00C56AAC">
        <w:t>%</w:t>
      </w:r>
      <w:r w:rsidR="00E61734" w:rsidRPr="00C56AAC">
        <w:t xml:space="preserve"> z nich. </w:t>
      </w:r>
      <w:r w:rsidRPr="00C56AAC">
        <w:t>Ve dvo</w:t>
      </w:r>
      <w:r w:rsidR="00AD37C3" w:rsidRPr="00C56AAC">
        <w:t>u nejvyšších skupinách tříd (13–14 a 15–</w:t>
      </w:r>
      <w:r w:rsidRPr="00C56AAC">
        <w:t>16)</w:t>
      </w:r>
      <w:r w:rsidR="005A7837">
        <w:t xml:space="preserve"> pak</w:t>
      </w:r>
      <w:r w:rsidR="000550A9">
        <w:t xml:space="preserve"> bylo</w:t>
      </w:r>
      <w:r w:rsidRPr="00C56AAC">
        <w:t xml:space="preserve"> zbývajících 10</w:t>
      </w:r>
      <w:r w:rsidR="00556845" w:rsidRPr="00C56AAC">
        <w:t xml:space="preserve"> %</w:t>
      </w:r>
      <w:r w:rsidRPr="00C56AAC">
        <w:t xml:space="preserve"> zaměstnanců (6</w:t>
      </w:r>
      <w:r w:rsidR="00963E55" w:rsidRPr="00C56AAC">
        <w:t> </w:t>
      </w:r>
      <w:r w:rsidR="00556845" w:rsidRPr="00C56AAC">
        <w:t>%</w:t>
      </w:r>
      <w:r w:rsidRPr="00C56AAC">
        <w:t xml:space="preserve"> a 4</w:t>
      </w:r>
      <w:r w:rsidR="00556845" w:rsidRPr="00C56AAC">
        <w:t xml:space="preserve"> %</w:t>
      </w:r>
      <w:r w:rsidRPr="00C56AAC">
        <w:t>).</w:t>
      </w:r>
      <w:r w:rsidR="00DC7280" w:rsidRPr="00C56AAC">
        <w:t xml:space="preserve"> V ústředních orgánech státní správy </w:t>
      </w:r>
      <w:r w:rsidR="000550A9">
        <w:t>bylo</w:t>
      </w:r>
      <w:r w:rsidR="00DC7280" w:rsidRPr="00C56AAC">
        <w:t xml:space="preserve"> také vyšší zastoupení mužů než v ostatních druzích úřadů (v nižší než páté platové třídě </w:t>
      </w:r>
      <w:r w:rsidR="000550A9">
        <w:t>byli</w:t>
      </w:r>
      <w:r w:rsidR="00DC7280" w:rsidRPr="00C56AAC">
        <w:t xml:space="preserve"> zastoupeni </w:t>
      </w:r>
      <w:r w:rsidR="00FB5CCF" w:rsidRPr="00C56AAC">
        <w:t xml:space="preserve">v </w:t>
      </w:r>
      <w:r w:rsidR="00DC7280" w:rsidRPr="00C56AAC">
        <w:t>87</w:t>
      </w:r>
      <w:r w:rsidR="00556845" w:rsidRPr="00C56AAC">
        <w:t xml:space="preserve"> %</w:t>
      </w:r>
      <w:r w:rsidR="00AD37C3" w:rsidRPr="00C56AAC">
        <w:t>, ve</w:t>
      </w:r>
      <w:r w:rsidR="000550A9">
        <w:t> </w:t>
      </w:r>
      <w:r w:rsidR="00AD37C3" w:rsidRPr="00C56AAC">
        <w:t>13–</w:t>
      </w:r>
      <w:r w:rsidR="00DC7280" w:rsidRPr="00C56AAC">
        <w:t xml:space="preserve">14 platové třídě </w:t>
      </w:r>
      <w:r w:rsidR="00FB5CCF" w:rsidRPr="00C56AAC">
        <w:t xml:space="preserve">v </w:t>
      </w:r>
      <w:r w:rsidR="00DC7280" w:rsidRPr="00C56AAC">
        <w:t>75</w:t>
      </w:r>
      <w:r w:rsidR="00556845" w:rsidRPr="00C56AAC">
        <w:t xml:space="preserve"> %</w:t>
      </w:r>
      <w:r w:rsidR="00AD37C3" w:rsidRPr="00C56AAC">
        <w:t xml:space="preserve"> a v 11–</w:t>
      </w:r>
      <w:r w:rsidR="00DC7280" w:rsidRPr="00C56AAC">
        <w:t xml:space="preserve">12 platové třídě </w:t>
      </w:r>
      <w:r w:rsidR="00FB5CCF" w:rsidRPr="00C56AAC">
        <w:t xml:space="preserve">v </w:t>
      </w:r>
      <w:r w:rsidR="00DC7280" w:rsidRPr="00C56AAC">
        <w:t>56</w:t>
      </w:r>
      <w:r w:rsidR="00556845" w:rsidRPr="00C56AAC">
        <w:t xml:space="preserve"> %</w:t>
      </w:r>
      <w:r w:rsidR="00DC7280" w:rsidRPr="00C56AAC">
        <w:t>).</w:t>
      </w:r>
      <w:bookmarkStart w:id="513" w:name="_Toc24641634"/>
    </w:p>
    <w:p w14:paraId="3D84F111" w14:textId="77777777" w:rsidR="00C273D5" w:rsidRDefault="00C273D5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32"/>
          <w:szCs w:val="28"/>
        </w:rPr>
      </w:pPr>
      <w:r>
        <w:br w:type="page"/>
      </w:r>
    </w:p>
    <w:p w14:paraId="64138100" w14:textId="52AC7803" w:rsidR="00E71EFB" w:rsidRPr="00F10F80" w:rsidRDefault="006901C5" w:rsidP="000F72AB">
      <w:pPr>
        <w:pStyle w:val="Nadpis1"/>
      </w:pPr>
      <w:bookmarkStart w:id="514" w:name="_Toc45513058"/>
      <w:r w:rsidRPr="00F10F80">
        <w:lastRenderedPageBreak/>
        <w:t>Analýza výsledků dotazníkového šetření</w:t>
      </w:r>
      <w:bookmarkEnd w:id="513"/>
      <w:bookmarkEnd w:id="514"/>
    </w:p>
    <w:p w14:paraId="452F272C" w14:textId="77777777" w:rsidR="00733EA7" w:rsidRDefault="00887B3D" w:rsidP="00325095">
      <w:r w:rsidRPr="003A4882">
        <w:t xml:space="preserve">Součástí průzkumu bylo i dotazníkové šetření </w:t>
      </w:r>
      <w:r w:rsidR="00A56874" w:rsidRPr="003A4882">
        <w:t>(</w:t>
      </w:r>
      <w:r w:rsidR="008B4563">
        <w:t>Příloha č. 3</w:t>
      </w:r>
      <w:r w:rsidR="00170EA9" w:rsidRPr="003A4882">
        <w:t>)</w:t>
      </w:r>
      <w:r w:rsidRPr="003A4882">
        <w:t>, jehož cílem</w:t>
      </w:r>
      <w:r w:rsidR="00170EA9" w:rsidRPr="003A4882">
        <w:t xml:space="preserve"> </w:t>
      </w:r>
      <w:r w:rsidR="00F02A9B" w:rsidRPr="003A4882">
        <w:t xml:space="preserve">bylo </w:t>
      </w:r>
      <w:r w:rsidR="00472994">
        <w:t>na základě 8 </w:t>
      </w:r>
      <w:r w:rsidR="00ED5516">
        <w:t>otázek zmapovat</w:t>
      </w:r>
      <w:r w:rsidR="00F02A9B" w:rsidRPr="003A4882">
        <w:t xml:space="preserve"> </w:t>
      </w:r>
      <w:r w:rsidR="00ED5516">
        <w:t xml:space="preserve">míru </w:t>
      </w:r>
      <w:r w:rsidR="008A6064">
        <w:t>bezbariérovosti</w:t>
      </w:r>
      <w:r w:rsidR="00ED5516">
        <w:t xml:space="preserve"> úřadů, aktuální stav</w:t>
      </w:r>
      <w:r w:rsidR="00ED5516" w:rsidRPr="003A4882">
        <w:t xml:space="preserve"> v oblasti odstraňování bariér</w:t>
      </w:r>
      <w:r w:rsidR="00F75CE0">
        <w:t xml:space="preserve"> a </w:t>
      </w:r>
      <w:r w:rsidR="00ED5516">
        <w:t>konkrétní</w:t>
      </w:r>
      <w:r w:rsidRPr="003A4882">
        <w:t xml:space="preserve"> </w:t>
      </w:r>
      <w:r w:rsidR="00ED5516">
        <w:t>zkušenosti</w:t>
      </w:r>
      <w:r w:rsidR="00F02A9B" w:rsidRPr="003A4882">
        <w:t xml:space="preserve"> se zaměstnávání</w:t>
      </w:r>
      <w:r w:rsidR="003F6D23" w:rsidRPr="003A4882">
        <w:t>m</w:t>
      </w:r>
      <w:r w:rsidR="00F75CE0">
        <w:t xml:space="preserve"> osob se zdravotním postižením. </w:t>
      </w:r>
    </w:p>
    <w:p w14:paraId="5B48BCC2" w14:textId="5169069A" w:rsidR="00E238B0" w:rsidRPr="003A4882" w:rsidRDefault="00ED5516" w:rsidP="00325095">
      <w:r>
        <w:t xml:space="preserve">Vyplněný dotazník zaslalo </w:t>
      </w:r>
      <w:r w:rsidR="0032727B">
        <w:t>78 úřadů.</w:t>
      </w:r>
    </w:p>
    <w:p w14:paraId="107E3D90" w14:textId="77777777" w:rsidR="008841A8" w:rsidRPr="006E11D9" w:rsidRDefault="00984184" w:rsidP="009B209E">
      <w:pPr>
        <w:pStyle w:val="Nadpis2"/>
        <w:rPr>
          <w:color w:val="76923C" w:themeColor="accent3" w:themeShade="BF"/>
        </w:rPr>
      </w:pPr>
      <w:bookmarkStart w:id="515" w:name="_Toc24641639"/>
      <w:bookmarkStart w:id="516" w:name="_Toc45513059"/>
      <w:r w:rsidRPr="006E11D9">
        <w:rPr>
          <w:color w:val="76923C" w:themeColor="accent3" w:themeShade="BF"/>
        </w:rPr>
        <w:t>Z</w:t>
      </w:r>
      <w:r w:rsidR="008841A8" w:rsidRPr="006E11D9">
        <w:rPr>
          <w:color w:val="76923C" w:themeColor="accent3" w:themeShade="BF"/>
        </w:rPr>
        <w:t>hodnocení přístupnosti</w:t>
      </w:r>
      <w:bookmarkEnd w:id="515"/>
      <w:bookmarkEnd w:id="516"/>
    </w:p>
    <w:p w14:paraId="560C840B" w14:textId="77777777" w:rsidR="00102B27" w:rsidRDefault="00102B27" w:rsidP="00C320A8">
      <w:pPr>
        <w:spacing w:after="240"/>
      </w:pPr>
      <w:r w:rsidRPr="00102B27">
        <w:t xml:space="preserve">Znění otázky: Je Váš úřad bezbariérové přístupný? </w:t>
      </w:r>
    </w:p>
    <w:p w14:paraId="393285D2" w14:textId="77777777" w:rsidR="0049691D" w:rsidRPr="00102B27" w:rsidRDefault="00B46687" w:rsidP="001D22CB">
      <w:r w:rsidRPr="003A4882">
        <w:t xml:space="preserve">Většina </w:t>
      </w:r>
      <w:r w:rsidR="0049691D" w:rsidRPr="003A4882">
        <w:t>budov úřadů (69</w:t>
      </w:r>
      <w:r w:rsidR="00F575A5">
        <w:t xml:space="preserve"> %</w:t>
      </w:r>
      <w:r w:rsidR="0049691D" w:rsidRPr="003A4882">
        <w:t>) je na základ</w:t>
      </w:r>
      <w:r w:rsidR="0032727B">
        <w:t>ě zjištění částečně přístupných</w:t>
      </w:r>
      <w:r w:rsidRPr="003A4882">
        <w:t>.</w:t>
      </w:r>
      <w:r w:rsidR="0049691D" w:rsidRPr="003A4882">
        <w:t xml:space="preserve"> Mezi hlavní problémy při odstraňování bariér úřady uváděly umístění úřadu v his</w:t>
      </w:r>
      <w:r w:rsidR="00472994">
        <w:t>torické budově či </w:t>
      </w:r>
      <w:r w:rsidR="0049691D" w:rsidRPr="003A4882">
        <w:t>skutečnost, že jsou budovy úřadů zpřístupňovány postupně (týká se zejména ministerstev majících větší množství organizačních složek).</w:t>
      </w:r>
      <w:r w:rsidR="00A5777B" w:rsidRPr="003A4882">
        <w:t xml:space="preserve"> Jako plně bez</w:t>
      </w:r>
      <w:r w:rsidR="00472994">
        <w:t>bariérový svůj úřad označilo 13 </w:t>
      </w:r>
      <w:r w:rsidR="0032727B">
        <w:t>institucí</w:t>
      </w:r>
      <w:r w:rsidR="00A5777B" w:rsidRPr="003A4882">
        <w:t>, 11 úřa</w:t>
      </w:r>
      <w:r w:rsidR="00115660" w:rsidRPr="003A4882">
        <w:t>dů je pak dle zjištění</w:t>
      </w:r>
      <w:r w:rsidR="00A5777B" w:rsidRPr="003A4882">
        <w:t xml:space="preserve"> nepřístupných.</w:t>
      </w:r>
    </w:p>
    <w:p w14:paraId="62448B60" w14:textId="77777777" w:rsidR="00E10E10" w:rsidRPr="00ED5516" w:rsidRDefault="0032727B" w:rsidP="001D22CB">
      <w:r>
        <w:t xml:space="preserve">Většina ministerstev označila své budovy za z větší části bezbariérové, ta, která sídlí ve více budovách, pak uvedla, že některé budovy jsou přístupně alespoň částečně, a to v částech přístupných veřejnosti. </w:t>
      </w:r>
      <w:r w:rsidRPr="00650460">
        <w:t xml:space="preserve">Za přístupné úřady označily </w:t>
      </w:r>
      <w:r>
        <w:t xml:space="preserve">zejména vstupní haly </w:t>
      </w:r>
      <w:r w:rsidRPr="00650460">
        <w:t>včetně bezbariérové</w:t>
      </w:r>
      <w:r>
        <w:t>ho</w:t>
      </w:r>
      <w:r w:rsidRPr="00650460">
        <w:t xml:space="preserve"> WC, přepážky určené pro styk s veřejností </w:t>
      </w:r>
      <w:r>
        <w:t xml:space="preserve">či zasedací místnosti. Většina úřadů má také u budovy zřízena vyhrazená parkovací stání. </w:t>
      </w:r>
    </w:p>
    <w:p w14:paraId="7AA3C3A7" w14:textId="2057D672" w:rsidR="004E4F7A" w:rsidRPr="004E4F7A" w:rsidRDefault="00436BB7" w:rsidP="00C320A8">
      <w:pPr>
        <w:pStyle w:val="Titulek"/>
      </w:pPr>
      <w:bookmarkStart w:id="517" w:name="_Toc45513026"/>
      <w:r w:rsidRPr="00436BB7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51</w:t>
      </w:r>
      <w:r w:rsidR="00FC5B08">
        <w:rPr>
          <w:noProof/>
        </w:rPr>
        <w:fldChar w:fldCharType="end"/>
      </w:r>
      <w:r w:rsidRPr="00436BB7">
        <w:t xml:space="preserve"> Bezbariérově přístupné úřad</w:t>
      </w:r>
      <w:r>
        <w:t>y</w:t>
      </w:r>
      <w:bookmarkEnd w:id="517"/>
    </w:p>
    <w:p w14:paraId="7795DF71" w14:textId="77777777" w:rsidR="00875783" w:rsidRDefault="004B511E" w:rsidP="001D22CB">
      <w:pPr>
        <w:jc w:val="center"/>
      </w:pPr>
      <w:r w:rsidRPr="001A0CBC">
        <w:rPr>
          <w:noProof/>
        </w:rPr>
        <w:drawing>
          <wp:inline distT="0" distB="0" distL="0" distR="0" wp14:anchorId="6A66D3D1" wp14:editId="5C91A345">
            <wp:extent cx="4933950" cy="2276475"/>
            <wp:effectExtent l="0" t="0" r="0" b="9525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4BA9E2F8" w14:textId="2F5AE5FA" w:rsidR="001A0CBC" w:rsidRPr="001D22CB" w:rsidRDefault="001A0CBC" w:rsidP="0044337E">
      <w:pPr>
        <w:spacing w:before="0" w:after="200" w:line="276" w:lineRule="auto"/>
        <w:jc w:val="left"/>
        <w:rPr>
          <w:rStyle w:val="Zdraznnjemn"/>
        </w:rPr>
      </w:pPr>
      <w:r w:rsidRPr="001D22CB">
        <w:rPr>
          <w:rStyle w:val="Zdraznnjemn"/>
        </w:rPr>
        <w:t>Vybráno z komentářů:</w:t>
      </w:r>
    </w:p>
    <w:p w14:paraId="4F7513BE" w14:textId="77777777" w:rsidR="00875783" w:rsidRPr="001D22CB" w:rsidRDefault="003B5B94" w:rsidP="00611448">
      <w:pPr>
        <w:spacing w:before="0"/>
        <w:ind w:left="567"/>
        <w:rPr>
          <w:rStyle w:val="Zvraznn"/>
        </w:rPr>
      </w:pPr>
      <w:r w:rsidRPr="001D22CB">
        <w:rPr>
          <w:rStyle w:val="Zvraznn"/>
        </w:rPr>
        <w:t xml:space="preserve">K zajištění přístupu osob s tělesným postižením do budov spravovaných ČBÚ je vydán vnitřní předpis – Opatření předsedy ČBÚ č. 5/2010, který upravuje povinnost osoby odpovědné za průběh jednání zvolit vhodné místo pro průběh jednání, zejména </w:t>
      </w:r>
      <w:r w:rsidRPr="001D22CB">
        <w:rPr>
          <w:rStyle w:val="Zvraznn"/>
        </w:rPr>
        <w:lastRenderedPageBreak/>
        <w:t>s</w:t>
      </w:r>
      <w:r w:rsidR="003F2580" w:rsidRPr="001D22CB">
        <w:rPr>
          <w:rStyle w:val="Zvraznn"/>
        </w:rPr>
        <w:t> </w:t>
      </w:r>
      <w:r w:rsidRPr="001D22CB">
        <w:rPr>
          <w:rStyle w:val="Zvraznn"/>
        </w:rPr>
        <w:t>ohledem na možnost zajištění bezbariérového přístupu nebo jiného nejméně obtížného přístupu (například velká zasedací místnost). V případě nutnosti zdolat překážky (zejména schody) je možno použít deskových ramp, přenesení tělesně postižených a dalších vhodných prostředků.</w:t>
      </w:r>
    </w:p>
    <w:p w14:paraId="59833D15" w14:textId="77777777" w:rsidR="000677D8" w:rsidRPr="001D22CB" w:rsidRDefault="000776BC" w:rsidP="00611448">
      <w:pPr>
        <w:spacing w:before="0"/>
        <w:ind w:left="567"/>
        <w:jc w:val="right"/>
        <w:rPr>
          <w:rStyle w:val="Zvraznn"/>
        </w:rPr>
      </w:pPr>
      <w:r w:rsidRPr="001D22CB">
        <w:rPr>
          <w:rStyle w:val="Zdraznnintenzivn"/>
        </w:rPr>
        <w:t>Č</w:t>
      </w:r>
      <w:r w:rsidR="003B5B94" w:rsidRPr="001D22CB">
        <w:rPr>
          <w:rStyle w:val="Zdraznnintenzivn"/>
        </w:rPr>
        <w:t>eský báňský</w:t>
      </w:r>
      <w:r w:rsidR="003B5B94" w:rsidRPr="001D22CB">
        <w:rPr>
          <w:rStyle w:val="Zvraznn"/>
        </w:rPr>
        <w:t xml:space="preserve"> úřad</w:t>
      </w:r>
    </w:p>
    <w:p w14:paraId="1ACB3F66" w14:textId="77777777" w:rsidR="00170EA9" w:rsidRPr="001D22CB" w:rsidRDefault="000677D8" w:rsidP="00611448">
      <w:pPr>
        <w:spacing w:after="0"/>
        <w:ind w:left="567"/>
        <w:rPr>
          <w:rStyle w:val="Zvraznn"/>
        </w:rPr>
      </w:pPr>
      <w:r w:rsidRPr="001D22CB">
        <w:rPr>
          <w:rStyle w:val="Zvraznn"/>
        </w:rPr>
        <w:t>Jednotlivé sekce finančního úřadu sídlí v různých budovách, jejichž dispoziční řešení je rovněž různé. Proto nelze obecně konstatovat bezbariérovost objektů. V řadě případů se jedná o budovy alespoň z části bezbariérově přístupné do prostor</w:t>
      </w:r>
      <w:r w:rsidR="000776BC" w:rsidRPr="001D22CB">
        <w:rPr>
          <w:rStyle w:val="Zvraznn"/>
        </w:rPr>
        <w:t xml:space="preserve"> vyhrazených veřejnost</w:t>
      </w:r>
      <w:r w:rsidR="0032727B" w:rsidRPr="001D22CB">
        <w:rPr>
          <w:rStyle w:val="Zvraznn"/>
        </w:rPr>
        <w:t>i</w:t>
      </w:r>
      <w:r w:rsidR="000776BC" w:rsidRPr="001D22CB">
        <w:rPr>
          <w:rStyle w:val="Zvraznn"/>
        </w:rPr>
        <w:t xml:space="preserve"> </w:t>
      </w:r>
      <w:r w:rsidRPr="001D22CB">
        <w:rPr>
          <w:rStyle w:val="Zvraznn"/>
        </w:rPr>
        <w:t>podatelny, pokladny.</w:t>
      </w:r>
    </w:p>
    <w:p w14:paraId="024BEDB2" w14:textId="77777777" w:rsidR="00196F6A" w:rsidRPr="00611448" w:rsidRDefault="00464CCF" w:rsidP="00611448">
      <w:pPr>
        <w:spacing w:before="0"/>
        <w:ind w:left="567"/>
        <w:jc w:val="right"/>
        <w:rPr>
          <w:rStyle w:val="Zdraznnintenzivn"/>
        </w:rPr>
      </w:pPr>
      <w:r w:rsidRPr="00611448">
        <w:rPr>
          <w:rStyle w:val="Zdraznnintenzivn"/>
        </w:rPr>
        <w:t>Krajský finanční úřad</w:t>
      </w:r>
    </w:p>
    <w:p w14:paraId="35EA7DA3" w14:textId="77777777" w:rsidR="005F0583" w:rsidRPr="006E11D9" w:rsidRDefault="007C0C58" w:rsidP="009B209E">
      <w:pPr>
        <w:pStyle w:val="Nadpis2"/>
        <w:rPr>
          <w:color w:val="76923C" w:themeColor="accent3" w:themeShade="BF"/>
        </w:rPr>
      </w:pPr>
      <w:bookmarkStart w:id="518" w:name="_Toc24641640"/>
      <w:bookmarkStart w:id="519" w:name="_Toc45513060"/>
      <w:r w:rsidRPr="006E11D9">
        <w:rPr>
          <w:color w:val="76923C" w:themeColor="accent3" w:themeShade="BF"/>
        </w:rPr>
        <w:t xml:space="preserve">Agenda týkající se podpory zaměstnávání </w:t>
      </w:r>
      <w:bookmarkEnd w:id="518"/>
      <w:r w:rsidR="00EB42F1" w:rsidRPr="006E11D9">
        <w:rPr>
          <w:color w:val="76923C" w:themeColor="accent3" w:themeShade="BF"/>
        </w:rPr>
        <w:t>osob se zdravotním postižením</w:t>
      </w:r>
      <w:bookmarkEnd w:id="519"/>
    </w:p>
    <w:p w14:paraId="7FE2A3FD" w14:textId="77777777" w:rsidR="00805F8F" w:rsidRPr="00805F8F" w:rsidRDefault="00805F8F" w:rsidP="00D939F1">
      <w:pPr>
        <w:spacing w:after="240"/>
      </w:pPr>
      <w:r>
        <w:t xml:space="preserve">Znění otázky: </w:t>
      </w:r>
      <w:r w:rsidRPr="008A1C1F">
        <w:t>Vedete ve Vašem úřadu agendu týkající se podpory zaměstnávání OZP?</w:t>
      </w:r>
    </w:p>
    <w:p w14:paraId="34BA2695" w14:textId="77777777" w:rsidR="00911B90" w:rsidRDefault="00911B90" w:rsidP="00325095">
      <w:r w:rsidRPr="006A4AEC">
        <w:t>V úřadech se agendou týkající se zaměstnávání osob se zdravotním postižením zabývají většinou personální oddělení či oddělení mající na starosti mezi</w:t>
      </w:r>
      <w:r w:rsidR="0032727B">
        <w:t>resortní záležitosti</w:t>
      </w:r>
      <w:r w:rsidRPr="006A4AEC">
        <w:t>. Z dů</w:t>
      </w:r>
      <w:r w:rsidR="006A4AEC">
        <w:t>vodu nedostatečných personálních</w:t>
      </w:r>
      <w:r w:rsidRPr="006A4AEC">
        <w:t xml:space="preserve"> kapacit je tato agenda v</w:t>
      </w:r>
      <w:r w:rsidR="0032727B">
        <w:t>edena ve většině úřadů pouze ve </w:t>
      </w:r>
      <w:r w:rsidRPr="006A4AEC">
        <w:t>vztahu k hlášení povinného podílu (64</w:t>
      </w:r>
      <w:r w:rsidR="00556845">
        <w:t xml:space="preserve"> %</w:t>
      </w:r>
      <w:r w:rsidRPr="006A4AEC">
        <w:t>).</w:t>
      </w:r>
      <w:r w:rsidR="006A4AEC" w:rsidRPr="006A4AEC">
        <w:t xml:space="preserve"> </w:t>
      </w:r>
    </w:p>
    <w:p w14:paraId="6466FDC4" w14:textId="77777777" w:rsidR="0015256B" w:rsidRDefault="0015256B" w:rsidP="00325095">
      <w:r w:rsidRPr="006A4AEC">
        <w:t>Vytvoření speciální agendy</w:t>
      </w:r>
      <w:r w:rsidR="00DE6A18">
        <w:t xml:space="preserve"> </w:t>
      </w:r>
      <w:r w:rsidRPr="006A4AEC">
        <w:t>zab</w:t>
      </w:r>
      <w:r>
        <w:t>ývající se podporou opatření ve prospěch zaměstnávání osob se zdravotním postižením by vedlo k lepší refl</w:t>
      </w:r>
      <w:r w:rsidR="00DE6A18">
        <w:t>exi potřeb úspěšných uchazečů a </w:t>
      </w:r>
      <w:r>
        <w:t>zaměstnanců se zdravotním postižením</w:t>
      </w:r>
      <w:r w:rsidRPr="006A4AEC">
        <w:t xml:space="preserve">. </w:t>
      </w:r>
      <w:r>
        <w:t>Úřady by pak byly schopny zajišťovat, příp. poskytovat školení a poradenskou činnost</w:t>
      </w:r>
      <w:r w:rsidR="00DE6A18">
        <w:t xml:space="preserve"> jak pro</w:t>
      </w:r>
      <w:r w:rsidRPr="006A4AEC">
        <w:t xml:space="preserve"> </w:t>
      </w:r>
      <w:r w:rsidR="00DE6A18">
        <w:t xml:space="preserve">jejich spolupracovníky, tak </w:t>
      </w:r>
      <w:r w:rsidR="00472994">
        <w:t>pro </w:t>
      </w:r>
      <w:r w:rsidR="00DE6A18">
        <w:t>samotného zaměstnance se zdravotním postižením</w:t>
      </w:r>
      <w:r w:rsidRPr="006A4AEC">
        <w:t>.</w:t>
      </w:r>
    </w:p>
    <w:p w14:paraId="5E2227A9" w14:textId="52901B53" w:rsidR="00355A7D" w:rsidRDefault="00355A7D" w:rsidP="00C320A8">
      <w:pPr>
        <w:pStyle w:val="Titulek"/>
      </w:pPr>
      <w:bookmarkStart w:id="520" w:name="_Toc45513027"/>
      <w:r w:rsidRPr="00661464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52</w:t>
      </w:r>
      <w:r w:rsidR="00FC5B08">
        <w:rPr>
          <w:noProof/>
        </w:rPr>
        <w:fldChar w:fldCharType="end"/>
      </w:r>
      <w:r w:rsidR="00661464">
        <w:t xml:space="preserve"> Vedení agendy týkající se zaměstnávání osob se zdravotním postižením</w:t>
      </w:r>
      <w:bookmarkEnd w:id="520"/>
    </w:p>
    <w:p w14:paraId="5F5867F8" w14:textId="77777777" w:rsidR="007C0C58" w:rsidRPr="001E472A" w:rsidRDefault="001E472A" w:rsidP="001D22CB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6F1F6110" wp14:editId="76F12E52">
            <wp:extent cx="5000625" cy="2409825"/>
            <wp:effectExtent l="0" t="0" r="9525" b="9525"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5D996C4F" w14:textId="77777777" w:rsidR="00650B97" w:rsidRPr="006E11D9" w:rsidRDefault="00650B97" w:rsidP="009B209E">
      <w:pPr>
        <w:pStyle w:val="Nadpis2"/>
        <w:rPr>
          <w:color w:val="76923C" w:themeColor="accent3" w:themeShade="BF"/>
        </w:rPr>
      </w:pPr>
      <w:bookmarkStart w:id="521" w:name="_Toc45513061"/>
      <w:r w:rsidRPr="006E11D9">
        <w:rPr>
          <w:color w:val="76923C" w:themeColor="accent3" w:themeShade="BF"/>
        </w:rPr>
        <w:lastRenderedPageBreak/>
        <w:t>Mapování a vyhledá</w:t>
      </w:r>
      <w:r w:rsidR="000D2F43" w:rsidRPr="006E11D9">
        <w:rPr>
          <w:color w:val="76923C" w:themeColor="accent3" w:themeShade="BF"/>
        </w:rPr>
        <w:t>vání</w:t>
      </w:r>
      <w:r w:rsidRPr="006E11D9">
        <w:rPr>
          <w:color w:val="76923C" w:themeColor="accent3" w:themeShade="BF"/>
        </w:rPr>
        <w:t xml:space="preserve"> pozic</w:t>
      </w:r>
      <w:bookmarkStart w:id="522" w:name="_Toc24641641"/>
      <w:bookmarkEnd w:id="521"/>
      <w:r w:rsidRPr="006E11D9">
        <w:rPr>
          <w:color w:val="76923C" w:themeColor="accent3" w:themeShade="BF"/>
        </w:rPr>
        <w:t xml:space="preserve"> </w:t>
      </w:r>
      <w:bookmarkEnd w:id="522"/>
    </w:p>
    <w:p w14:paraId="61DCFD05" w14:textId="77777777" w:rsidR="00805F8F" w:rsidRPr="00805F8F" w:rsidRDefault="00805F8F" w:rsidP="00D939F1">
      <w:pPr>
        <w:spacing w:after="240"/>
      </w:pPr>
      <w:r w:rsidRPr="000D2F43">
        <w:t xml:space="preserve">Znění otázky: Mapujete a vyhledáváte </w:t>
      </w:r>
      <w:r>
        <w:t>pracovní pozice vhodné pro OZP?</w:t>
      </w:r>
    </w:p>
    <w:p w14:paraId="75E39F5A" w14:textId="77777777" w:rsidR="00D86A26" w:rsidRDefault="001F1AFF" w:rsidP="00325095">
      <w:r w:rsidRPr="00E76AE4">
        <w:t>Znalost o struktuře a vhodnosti pracovních/služebních míst a možností jejich případného uzpůsobení v souladu s oprávněnými požadavky zaměst</w:t>
      </w:r>
      <w:r w:rsidR="00E10E10">
        <w:t xml:space="preserve">nance se zdravotním postižením </w:t>
      </w:r>
      <w:r w:rsidRPr="00E76AE4">
        <w:t>n</w:t>
      </w:r>
      <w:r w:rsidR="00C04DD3" w:rsidRPr="00E76AE4">
        <w:t>apomáhá</w:t>
      </w:r>
      <w:r w:rsidRPr="00E76AE4">
        <w:t> tomu, aby úřad jako zaměstnavatel</w:t>
      </w:r>
      <w:r w:rsidR="00E76AE4">
        <w:t xml:space="preserve"> o </w:t>
      </w:r>
      <w:r w:rsidR="00C04DD3" w:rsidRPr="00E76AE4">
        <w:t xml:space="preserve">těchto </w:t>
      </w:r>
      <w:r w:rsidR="00E10E10">
        <w:t>místech cíleně informoval</w:t>
      </w:r>
      <w:r w:rsidR="00DE6A18">
        <w:t xml:space="preserve"> </w:t>
      </w:r>
      <w:r w:rsidR="00E10E10">
        <w:t>např. </w:t>
      </w:r>
      <w:r w:rsidR="00C04DD3" w:rsidRPr="00E76AE4">
        <w:t>organizace osob se zdravotním postižením.</w:t>
      </w:r>
    </w:p>
    <w:p w14:paraId="3865272C" w14:textId="77777777" w:rsidR="00E10E10" w:rsidRPr="00E76AE4" w:rsidRDefault="00E10E10" w:rsidP="00325095">
      <w:r w:rsidRPr="00E76AE4">
        <w:t>Z dotazníkového šetření vyplynulo, že většina úřadů vhodné pozice nemapuje, přičemž</w:t>
      </w:r>
      <w:r w:rsidR="001B176C">
        <w:t xml:space="preserve"> např.</w:t>
      </w:r>
      <w:r w:rsidRPr="00E76AE4">
        <w:t xml:space="preserve"> MPSV uvádí, že všechny pozice je možné obsadit osobami se zdravotním postižením, pokud tyto uspějí ve výběrovém řízení.  </w:t>
      </w:r>
    </w:p>
    <w:p w14:paraId="1B9C96FB" w14:textId="77777777" w:rsidR="00E10E10" w:rsidRDefault="00E10E10" w:rsidP="00325095">
      <w:r w:rsidRPr="00E76AE4">
        <w:t>Pouze jeden úř</w:t>
      </w:r>
      <w:r>
        <w:t>ad (MPO) uvedl, že vytváří pracovní místa</w:t>
      </w:r>
      <w:r w:rsidRPr="00E76AE4">
        <w:t xml:space="preserve"> cíleně</w:t>
      </w:r>
      <w:r>
        <w:t>, a to pozice týkající se </w:t>
      </w:r>
      <w:r w:rsidRPr="00E76AE4">
        <w:t>technicky administrativní práce (telefonní ústředna…).</w:t>
      </w:r>
    </w:p>
    <w:p w14:paraId="6158E669" w14:textId="77777777" w:rsidR="00E10E10" w:rsidRDefault="00E10E10" w:rsidP="00325095">
      <w:r>
        <w:t xml:space="preserve">Některé úřady naopak v rámci dotazníkového šetření uváděly, že povaha některých </w:t>
      </w:r>
      <w:r w:rsidR="003A2D82">
        <w:t>vykonávaných</w:t>
      </w:r>
      <w:r>
        <w:t xml:space="preserve"> činností zařazení osoby s konkrétním zdravotním postižením neumožňuje.</w:t>
      </w:r>
    </w:p>
    <w:p w14:paraId="2A8C3212" w14:textId="745E127A" w:rsidR="000D2F43" w:rsidRPr="00661464" w:rsidRDefault="000D2F43" w:rsidP="00C320A8">
      <w:pPr>
        <w:pStyle w:val="Titulek"/>
      </w:pPr>
      <w:bookmarkStart w:id="523" w:name="_Toc45513028"/>
      <w:r w:rsidRPr="00661464"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53</w:t>
      </w:r>
      <w:r w:rsidR="00FC5B08">
        <w:rPr>
          <w:noProof/>
        </w:rPr>
        <w:fldChar w:fldCharType="end"/>
      </w:r>
      <w:r>
        <w:t xml:space="preserve"> Mapování a vyhledávání pozic vhodných pro OZP</w:t>
      </w:r>
      <w:bookmarkEnd w:id="523"/>
    </w:p>
    <w:p w14:paraId="5F69B3E7" w14:textId="77777777" w:rsidR="00E10E10" w:rsidRPr="00344281" w:rsidRDefault="000D2F43" w:rsidP="001D22CB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01DE8412" wp14:editId="51AC827D">
            <wp:extent cx="5010150" cy="2562225"/>
            <wp:effectExtent l="0" t="0" r="0" b="952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75279D2D" w14:textId="77777777" w:rsidR="00E53845" w:rsidRPr="001D22CB" w:rsidRDefault="00E53845" w:rsidP="007D5114">
      <w:pPr>
        <w:spacing w:before="360"/>
        <w:rPr>
          <w:rStyle w:val="Zdraznnjemn"/>
        </w:rPr>
      </w:pPr>
      <w:r w:rsidRPr="001D22CB">
        <w:rPr>
          <w:rStyle w:val="Zdraznnjemn"/>
        </w:rPr>
        <w:t>Vybráno z komentářů:</w:t>
      </w:r>
    </w:p>
    <w:p w14:paraId="0BC5B5A5" w14:textId="77777777" w:rsidR="00BE0077" w:rsidRPr="001D22CB" w:rsidRDefault="00BE0077" w:rsidP="00611448">
      <w:pPr>
        <w:spacing w:after="0"/>
        <w:ind w:left="567"/>
        <w:rPr>
          <w:rStyle w:val="Zvraznn"/>
        </w:rPr>
      </w:pPr>
      <w:r w:rsidRPr="001D22CB">
        <w:rPr>
          <w:rStyle w:val="Zvraznn"/>
        </w:rPr>
        <w:t>Vzhledem k převažujícímu charakteru vykonávaných činností Krajskou hygienickou stanicí (kontrolní činnost v terénu) i v případě zajišťování obslužných činností a dané struktury systemizovaných míst máme značně omezené možnosti uplatnění OZP u</w:t>
      </w:r>
      <w:r w:rsidR="00FC02EA" w:rsidRPr="001D22CB">
        <w:rPr>
          <w:rStyle w:val="Zvraznn"/>
        </w:rPr>
        <w:t> </w:t>
      </w:r>
      <w:r w:rsidRPr="001D22CB">
        <w:rPr>
          <w:rStyle w:val="Zvraznn"/>
        </w:rPr>
        <w:t xml:space="preserve">těchto činností (potřeba osob bez omezení hybnosti, bez mentálního postižení).   </w:t>
      </w:r>
    </w:p>
    <w:p w14:paraId="3AD63CCE" w14:textId="77777777" w:rsidR="00F140F6" w:rsidRPr="001D22CB" w:rsidRDefault="00FC02EA" w:rsidP="00611448">
      <w:pPr>
        <w:spacing w:before="0"/>
        <w:jc w:val="right"/>
        <w:rPr>
          <w:rStyle w:val="Zdraznnintenzivn"/>
        </w:rPr>
      </w:pPr>
      <w:r w:rsidRPr="001D22CB">
        <w:rPr>
          <w:rStyle w:val="Zdraznnintenzivn"/>
        </w:rPr>
        <w:t>Krajské hygienické stanice</w:t>
      </w:r>
    </w:p>
    <w:p w14:paraId="47E777B6" w14:textId="77777777" w:rsidR="003C0741" w:rsidRPr="006E11D9" w:rsidRDefault="003C0741" w:rsidP="009B209E">
      <w:pPr>
        <w:pStyle w:val="Nadpis2"/>
        <w:rPr>
          <w:color w:val="76923C" w:themeColor="accent3" w:themeShade="BF"/>
        </w:rPr>
      </w:pPr>
      <w:bookmarkStart w:id="524" w:name="_Toc45513062"/>
      <w:r w:rsidRPr="006E11D9">
        <w:rPr>
          <w:color w:val="76923C" w:themeColor="accent3" w:themeShade="BF"/>
        </w:rPr>
        <w:lastRenderedPageBreak/>
        <w:t>Způsob zveřejňování inzerátů</w:t>
      </w:r>
      <w:bookmarkStart w:id="525" w:name="_Toc24641642"/>
      <w:bookmarkEnd w:id="524"/>
      <w:r w:rsidRPr="006E11D9">
        <w:rPr>
          <w:color w:val="76923C" w:themeColor="accent3" w:themeShade="BF"/>
        </w:rPr>
        <w:t xml:space="preserve"> </w:t>
      </w:r>
      <w:bookmarkEnd w:id="525"/>
    </w:p>
    <w:p w14:paraId="15E868E5" w14:textId="77777777" w:rsidR="00805F8F" w:rsidRPr="00805F8F" w:rsidRDefault="00805F8F" w:rsidP="00D939F1">
      <w:pPr>
        <w:spacing w:after="240"/>
      </w:pPr>
      <w:r w:rsidRPr="003C0741">
        <w:t>Znění otázky: Váš úřad zveřejňuje inzeráty na volná pracovní /služební místa:</w:t>
      </w:r>
    </w:p>
    <w:p w14:paraId="100CE2A0" w14:textId="77777777" w:rsidR="00E84CC8" w:rsidRDefault="00937227" w:rsidP="00325095">
      <w:r w:rsidRPr="00522E54">
        <w:t xml:space="preserve">Inzeráty s nabídkou volných pracovních a služebních pozic </w:t>
      </w:r>
      <w:r w:rsidR="00E84CC8">
        <w:t xml:space="preserve">jsou dle výsledků </w:t>
      </w:r>
      <w:r w:rsidR="009A2FAA">
        <w:t xml:space="preserve">dotazníkového šetření </w:t>
      </w:r>
      <w:r w:rsidR="00E84CC8">
        <w:t>zveřejňovány</w:t>
      </w:r>
      <w:r w:rsidR="00522E54">
        <w:t xml:space="preserve"> na </w:t>
      </w:r>
      <w:r w:rsidRPr="00522E54">
        <w:t>stránkách jednotlivých úřadů</w:t>
      </w:r>
      <w:r w:rsidR="00E84CC8">
        <w:t xml:space="preserve"> a na portálu </w:t>
      </w:r>
      <w:proofErr w:type="spellStart"/>
      <w:r w:rsidR="00E84CC8">
        <w:t>ISoS</w:t>
      </w:r>
      <w:r w:rsidRPr="00522E54">
        <w:t>S</w:t>
      </w:r>
      <w:proofErr w:type="spellEnd"/>
      <w:r w:rsidR="00E84CC8">
        <w:t>. Tři čtvrtiny</w:t>
      </w:r>
      <w:r w:rsidR="00E15829">
        <w:t xml:space="preserve"> úřadů </w:t>
      </w:r>
      <w:r w:rsidR="00E84CC8">
        <w:t xml:space="preserve">inzeráty zveřejňují </w:t>
      </w:r>
      <w:r w:rsidR="005E17B7">
        <w:t xml:space="preserve">i </w:t>
      </w:r>
      <w:r w:rsidR="001B176C">
        <w:t>na běžných</w:t>
      </w:r>
      <w:r w:rsidR="00E84CC8">
        <w:t xml:space="preserve"> pracovních portálech, pouze pětina pak </w:t>
      </w:r>
      <w:r w:rsidR="00E15829">
        <w:t>na </w:t>
      </w:r>
      <w:r w:rsidR="00E84CC8">
        <w:t xml:space="preserve">specializovaných pracovních portálech pro osoby se zdravotním postižením. </w:t>
      </w:r>
    </w:p>
    <w:p w14:paraId="595EC7E6" w14:textId="77777777" w:rsidR="009A2FAA" w:rsidRDefault="009A2FAA" w:rsidP="00325095">
      <w:r>
        <w:t xml:space="preserve">Úřady dále zveřejňují inzeráty na stránkách Úřadu práce, na sociálních sítích, v kariérních centrech vysokých škol apod., zcela výjimečně pak i na placených pracovních portálech. </w:t>
      </w:r>
    </w:p>
    <w:p w14:paraId="2427B01A" w14:textId="77777777" w:rsidR="009A2FAA" w:rsidRDefault="009A2FAA" w:rsidP="00325095">
      <w:r>
        <w:t xml:space="preserve">Na pracovních portálech pak úřady více zveřejňují v případě, že se jim nedaří služební/pracovní místo obsadit při zveřejnění pouze na stránkách úřadu a na portálu </w:t>
      </w:r>
      <w:proofErr w:type="spellStart"/>
      <w:r>
        <w:t>ISoSS</w:t>
      </w:r>
      <w:proofErr w:type="spellEnd"/>
      <w:r>
        <w:t>.</w:t>
      </w:r>
    </w:p>
    <w:p w14:paraId="219B9E5A" w14:textId="76A9AC5A" w:rsidR="003C0741" w:rsidRPr="00575E55" w:rsidRDefault="003C0741" w:rsidP="00C320A8">
      <w:pPr>
        <w:pStyle w:val="Titulek"/>
        <w:rPr>
          <w:noProof/>
        </w:rPr>
      </w:pPr>
      <w:bookmarkStart w:id="526" w:name="_Toc45513029"/>
      <w:r w:rsidRPr="00575E55">
        <w:rPr>
          <w:noProof/>
        </w:rPr>
        <w:t xml:space="preserve">Graf </w:t>
      </w:r>
      <w:r w:rsidR="00396D26">
        <w:rPr>
          <w:noProof/>
        </w:rPr>
        <w:fldChar w:fldCharType="begin"/>
      </w:r>
      <w:r w:rsidR="00396D26">
        <w:rPr>
          <w:noProof/>
        </w:rPr>
        <w:instrText xml:space="preserve"> SEQ Graf \* ARABIC </w:instrText>
      </w:r>
      <w:r w:rsidR="00396D26">
        <w:rPr>
          <w:noProof/>
        </w:rPr>
        <w:fldChar w:fldCharType="separate"/>
      </w:r>
      <w:r w:rsidR="000F72AB">
        <w:rPr>
          <w:noProof/>
        </w:rPr>
        <w:t>54</w:t>
      </w:r>
      <w:r w:rsidR="00396D26">
        <w:rPr>
          <w:noProof/>
        </w:rPr>
        <w:fldChar w:fldCharType="end"/>
      </w:r>
      <w:r w:rsidRPr="00575E55">
        <w:rPr>
          <w:noProof/>
        </w:rPr>
        <w:t xml:space="preserve"> Způsob zveřejňování inzerátů na volná služební/pracovní místa</w:t>
      </w:r>
      <w:bookmarkEnd w:id="526"/>
    </w:p>
    <w:p w14:paraId="6A16B26B" w14:textId="77777777" w:rsidR="009A2FAA" w:rsidRPr="00344281" w:rsidRDefault="00251FEE" w:rsidP="001D22CB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71A5D7A3" wp14:editId="1B7DC93A">
            <wp:extent cx="5019675" cy="2733675"/>
            <wp:effectExtent l="0" t="0" r="9525" b="9525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03C796E8" w14:textId="77777777" w:rsidR="00E53845" w:rsidRPr="001D22CB" w:rsidRDefault="00E53845" w:rsidP="007D5114">
      <w:pPr>
        <w:spacing w:before="360"/>
        <w:rPr>
          <w:rStyle w:val="Zdraznnjemn"/>
        </w:rPr>
      </w:pPr>
      <w:r w:rsidRPr="001D22CB">
        <w:rPr>
          <w:rStyle w:val="Zdraznnjemn"/>
        </w:rPr>
        <w:t>Vybráno z komentářů:</w:t>
      </w:r>
    </w:p>
    <w:p w14:paraId="1AF4E234" w14:textId="77777777" w:rsidR="00650B97" w:rsidRPr="001D22CB" w:rsidRDefault="00650B97" w:rsidP="00611448">
      <w:pPr>
        <w:spacing w:after="0"/>
        <w:ind w:left="567"/>
        <w:rPr>
          <w:rStyle w:val="Zvraznn"/>
        </w:rPr>
      </w:pPr>
      <w:r w:rsidRPr="001D22CB">
        <w:rPr>
          <w:rStyle w:val="Zvraznn"/>
        </w:rPr>
        <w:t>V roce 2018 zahájilo GFŘ, resp. celá Finanční sprá</w:t>
      </w:r>
      <w:r w:rsidR="00065A7F" w:rsidRPr="001D22CB">
        <w:rPr>
          <w:rStyle w:val="Zvraznn"/>
        </w:rPr>
        <w:t>va České republiky spolupráci s </w:t>
      </w:r>
      <w:r w:rsidRPr="001D22CB">
        <w:rPr>
          <w:rStyle w:val="Zvraznn"/>
        </w:rPr>
        <w:t>Národní radou osob se zdravotním postižením ČR, kterou zastupuje Mgr. Václav Krása. Od března 2018 je na webových stránkách praceprozp</w:t>
      </w:r>
      <w:r w:rsidR="00703DA9" w:rsidRPr="001D22CB">
        <w:rPr>
          <w:rStyle w:val="Zvraznn"/>
        </w:rPr>
        <w:t xml:space="preserve">.cz, </w:t>
      </w:r>
      <w:r w:rsidR="00065A7F" w:rsidRPr="001D22CB">
        <w:rPr>
          <w:rStyle w:val="Zvraznn"/>
        </w:rPr>
        <w:t>zveřejněn odkaz na </w:t>
      </w:r>
      <w:r w:rsidRPr="001D22CB">
        <w:rPr>
          <w:rStyle w:val="Zvraznn"/>
        </w:rPr>
        <w:t>vyhlášená výběrová řízení Finanční správy České republiky. Samotný způsob zveřejnění výběrových řízení vyhlášených orgány Finanční správy České republiky doznal taktéž nutných změn v souvislosti s navázáním této spolupráce (zavedení možností selekce dle vhodnosti pro OZP, změna metodiky výběrových řízení).</w:t>
      </w:r>
    </w:p>
    <w:p w14:paraId="3F96A6E7" w14:textId="77777777" w:rsidR="00651516" w:rsidRPr="001D22CB" w:rsidRDefault="00703DA9" w:rsidP="00611448">
      <w:pPr>
        <w:spacing w:before="0"/>
        <w:ind w:left="567"/>
        <w:jc w:val="right"/>
        <w:rPr>
          <w:rStyle w:val="Zvraznn"/>
        </w:rPr>
      </w:pPr>
      <w:r w:rsidRPr="001D22CB">
        <w:rPr>
          <w:rStyle w:val="Zvraznn"/>
        </w:rPr>
        <w:t>F</w:t>
      </w:r>
      <w:r w:rsidR="00650B97" w:rsidRPr="001D22CB">
        <w:rPr>
          <w:rStyle w:val="Zvraznn"/>
        </w:rPr>
        <w:t>inanční správa</w:t>
      </w:r>
      <w:r w:rsidR="007D1249" w:rsidRPr="001D22CB">
        <w:rPr>
          <w:rStyle w:val="Zvraznn"/>
        </w:rPr>
        <w:t xml:space="preserve"> ČR</w:t>
      </w:r>
    </w:p>
    <w:p w14:paraId="118DC6BC" w14:textId="77777777" w:rsidR="00651516" w:rsidRPr="001D22CB" w:rsidRDefault="00651516" w:rsidP="00611448">
      <w:pPr>
        <w:spacing w:after="0"/>
        <w:ind w:left="567"/>
        <w:rPr>
          <w:rStyle w:val="Zvraznn"/>
          <w:rFonts w:eastAsia="Calibri"/>
        </w:rPr>
      </w:pPr>
      <w:r w:rsidRPr="001D22CB">
        <w:rPr>
          <w:rStyle w:val="Zvraznn"/>
          <w:rFonts w:eastAsia="Calibri"/>
        </w:rPr>
        <w:lastRenderedPageBreak/>
        <w:t xml:space="preserve">Standardně ve vyhlašovaných výběrových řízeních uvádíme větu, že vítáme zájem žadatelek a žadatelů z různých skupin </w:t>
      </w:r>
      <w:proofErr w:type="gramStart"/>
      <w:r w:rsidRPr="001D22CB">
        <w:rPr>
          <w:rStyle w:val="Zvraznn"/>
          <w:rFonts w:eastAsia="Calibri"/>
        </w:rPr>
        <w:t xml:space="preserve">obyvatel, </w:t>
      </w:r>
      <w:r w:rsidR="00805F8F" w:rsidRPr="001D22CB">
        <w:rPr>
          <w:rStyle w:val="Zvraznn"/>
          <w:rFonts w:eastAsia="Calibri"/>
        </w:rPr>
        <w:t>...</w:t>
      </w:r>
      <w:r w:rsidRPr="001D22CB">
        <w:rPr>
          <w:rStyle w:val="Zvraznn"/>
          <w:rFonts w:eastAsia="Calibri"/>
        </w:rPr>
        <w:t>výslovně</w:t>
      </w:r>
      <w:proofErr w:type="gramEnd"/>
      <w:r w:rsidRPr="001D22CB">
        <w:rPr>
          <w:rStyle w:val="Zvraznn"/>
          <w:rFonts w:eastAsia="Calibri"/>
        </w:rPr>
        <w:t xml:space="preserve"> uvádíme vhodnost volného místa pro OZP jen v případě, že by místo bylo výlučně určeno pro OZP.</w:t>
      </w:r>
    </w:p>
    <w:p w14:paraId="070DD379" w14:textId="77777777" w:rsidR="00651516" w:rsidRPr="001D22CB" w:rsidRDefault="0091040B" w:rsidP="00611448">
      <w:pPr>
        <w:spacing w:before="0"/>
        <w:ind w:left="567"/>
        <w:jc w:val="right"/>
        <w:rPr>
          <w:rStyle w:val="Zvraznn"/>
          <w:rFonts w:eastAsia="Calibri"/>
        </w:rPr>
      </w:pPr>
      <w:r w:rsidRPr="001D22CB">
        <w:rPr>
          <w:rStyle w:val="Zvraznn"/>
          <w:rFonts w:eastAsia="Calibri"/>
        </w:rPr>
        <w:t>Český báňský úřad</w:t>
      </w:r>
    </w:p>
    <w:p w14:paraId="38766CC6" w14:textId="77777777" w:rsidR="001D22CB" w:rsidRDefault="00651516" w:rsidP="00611448">
      <w:pPr>
        <w:spacing w:after="0"/>
        <w:ind w:left="567"/>
        <w:rPr>
          <w:rStyle w:val="Zvraznn"/>
          <w:szCs w:val="22"/>
        </w:rPr>
      </w:pPr>
      <w:r w:rsidRPr="001D22CB">
        <w:rPr>
          <w:rStyle w:val="Zvraznn"/>
          <w:szCs w:val="22"/>
        </w:rPr>
        <w:t>Na portálech uveřejňujeme pouze pozice, na něž vyhlašujeme výběrové řízení opakovaně.</w:t>
      </w:r>
    </w:p>
    <w:p w14:paraId="1F2826CA" w14:textId="751ECC89" w:rsidR="00733EA7" w:rsidRPr="0044337E" w:rsidRDefault="00651516" w:rsidP="0044337E">
      <w:pPr>
        <w:spacing w:before="0"/>
        <w:ind w:left="567"/>
        <w:jc w:val="right"/>
        <w:rPr>
          <w:i/>
          <w:iCs/>
          <w:szCs w:val="22"/>
        </w:rPr>
      </w:pPr>
      <w:r w:rsidRPr="001D22CB">
        <w:rPr>
          <w:rStyle w:val="Zvraznn"/>
          <w:szCs w:val="22"/>
        </w:rPr>
        <w:t>Český úřad zeměměřický a katastrální</w:t>
      </w:r>
    </w:p>
    <w:p w14:paraId="1F0EBFE1" w14:textId="6216C8F4" w:rsidR="00081E73" w:rsidRPr="006E11D9" w:rsidRDefault="00921E7E" w:rsidP="009B209E">
      <w:pPr>
        <w:pStyle w:val="Nadpis2"/>
        <w:rPr>
          <w:color w:val="76923C" w:themeColor="accent3" w:themeShade="BF"/>
        </w:rPr>
      </w:pPr>
      <w:bookmarkStart w:id="527" w:name="_Toc45513063"/>
      <w:r w:rsidRPr="006E11D9">
        <w:rPr>
          <w:color w:val="76923C" w:themeColor="accent3" w:themeShade="BF"/>
        </w:rPr>
        <w:t>Informace o vhodnosti služebníh</w:t>
      </w:r>
      <w:r w:rsidR="00B85D13" w:rsidRPr="006E11D9">
        <w:rPr>
          <w:color w:val="76923C" w:themeColor="accent3" w:themeShade="BF"/>
        </w:rPr>
        <w:t>o/pracovního místa</w:t>
      </w:r>
      <w:bookmarkStart w:id="528" w:name="_Toc24641643"/>
      <w:bookmarkEnd w:id="527"/>
      <w:r w:rsidR="00B85D13" w:rsidRPr="006E11D9">
        <w:rPr>
          <w:color w:val="76923C" w:themeColor="accent3" w:themeShade="BF"/>
        </w:rPr>
        <w:t xml:space="preserve"> </w:t>
      </w:r>
      <w:bookmarkEnd w:id="528"/>
    </w:p>
    <w:p w14:paraId="13E3E765" w14:textId="77777777" w:rsidR="00805F8F" w:rsidRPr="00805F8F" w:rsidRDefault="00805F8F" w:rsidP="00D939F1">
      <w:pPr>
        <w:spacing w:after="240"/>
      </w:pPr>
      <w:r w:rsidRPr="00921E7E">
        <w:t>Znění otázky: Uvádí Váš úřad v inzerátech na volná pracovní místa informaci, že jsou tato vhodná i pro OZP?</w:t>
      </w:r>
    </w:p>
    <w:p w14:paraId="2930BA33" w14:textId="77777777" w:rsidR="001E69FC" w:rsidRDefault="001E69FC" w:rsidP="00325095">
      <w:r w:rsidRPr="00E76AE4">
        <w:t>Každé služební/pracovní místo klade jiné nároky jak na kvalifikaci, tak na zdravotní způsobilost uchazeče/zaměstnance</w:t>
      </w:r>
      <w:r>
        <w:t xml:space="preserve">. </w:t>
      </w:r>
    </w:p>
    <w:p w14:paraId="4D640C52" w14:textId="77777777" w:rsidR="005A71D6" w:rsidRDefault="005A71D6" w:rsidP="00325095">
      <w:r>
        <w:t>Z</w:t>
      </w:r>
      <w:r w:rsidR="005C373B">
        <w:t> dotazníkového šetření</w:t>
      </w:r>
      <w:r>
        <w:t xml:space="preserve"> vyplynulo, že více než polovina úřadů (53</w:t>
      </w:r>
      <w:r w:rsidR="00556845">
        <w:t xml:space="preserve"> %</w:t>
      </w:r>
      <w:r>
        <w:t>) informace o vhodnosti služebních a pracovních míst v inzerátech nezveřejňuje. V případě</w:t>
      </w:r>
      <w:r w:rsidR="009D2AC5">
        <w:t>, že uchazeč splní podmínky pro </w:t>
      </w:r>
      <w:r>
        <w:t xml:space="preserve">danou pozici, včetně zdravotní způsobilosti, a </w:t>
      </w:r>
      <w:r w:rsidR="009D2AC5">
        <w:t xml:space="preserve">u výběrového řízení uspěje, </w:t>
      </w:r>
      <w:r>
        <w:t>není</w:t>
      </w:r>
      <w:r w:rsidR="009D2AC5">
        <w:t xml:space="preserve"> dán</w:t>
      </w:r>
      <w:r>
        <w:t xml:space="preserve"> žádný důvod, aby nebyl na danou pozici přijat.</w:t>
      </w:r>
    </w:p>
    <w:p w14:paraId="12397ECF" w14:textId="77777777" w:rsidR="00323CD5" w:rsidRDefault="00323CD5" w:rsidP="00325095">
      <w:r>
        <w:t xml:space="preserve">Naopak </w:t>
      </w:r>
      <w:r w:rsidR="009D2AC5">
        <w:t>více než čtvrtina (34</w:t>
      </w:r>
      <w:r w:rsidR="00556845">
        <w:t xml:space="preserve"> %</w:t>
      </w:r>
      <w:r w:rsidR="001B176C">
        <w:t>) úřadů uvedla</w:t>
      </w:r>
      <w:r w:rsidR="009D2AC5">
        <w:t>, že informace</w:t>
      </w:r>
      <w:r w:rsidR="000E5F17">
        <w:t xml:space="preserve"> o vhodnosti</w:t>
      </w:r>
      <w:r w:rsidR="00472994">
        <w:t xml:space="preserve"> místa pro osoby se </w:t>
      </w:r>
      <w:r w:rsidR="009D2AC5">
        <w:t>zdravotním postižením uvádí. 12</w:t>
      </w:r>
      <w:r w:rsidR="00556845">
        <w:t xml:space="preserve"> %</w:t>
      </w:r>
      <w:r w:rsidR="009D2AC5">
        <w:t xml:space="preserve"> tak činí tehdy, p</w:t>
      </w:r>
      <w:r w:rsidR="00065A7F">
        <w:t>okud je dané místo vytvořeno či </w:t>
      </w:r>
      <w:r w:rsidR="009D2AC5">
        <w:t>určeno výlučně pro OZP.</w:t>
      </w:r>
      <w:r>
        <w:t xml:space="preserve"> </w:t>
      </w:r>
    </w:p>
    <w:p w14:paraId="42C27695" w14:textId="62402F01" w:rsidR="00081E73" w:rsidRPr="00575E55" w:rsidRDefault="00081E73" w:rsidP="00C320A8">
      <w:pPr>
        <w:pStyle w:val="Titulek"/>
        <w:rPr>
          <w:noProof/>
        </w:rPr>
      </w:pPr>
      <w:bookmarkStart w:id="529" w:name="_Toc45513030"/>
      <w:r w:rsidRPr="00575E55">
        <w:rPr>
          <w:noProof/>
        </w:rPr>
        <w:t xml:space="preserve">Graf </w:t>
      </w:r>
      <w:r w:rsidR="00396D26">
        <w:rPr>
          <w:noProof/>
        </w:rPr>
        <w:fldChar w:fldCharType="begin"/>
      </w:r>
      <w:r w:rsidR="00396D26">
        <w:rPr>
          <w:noProof/>
        </w:rPr>
        <w:instrText xml:space="preserve"> SEQ Graf \* ARABIC </w:instrText>
      </w:r>
      <w:r w:rsidR="00396D26">
        <w:rPr>
          <w:noProof/>
        </w:rPr>
        <w:fldChar w:fldCharType="separate"/>
      </w:r>
      <w:r w:rsidR="000F72AB">
        <w:rPr>
          <w:noProof/>
        </w:rPr>
        <w:t>55</w:t>
      </w:r>
      <w:r w:rsidR="00396D26">
        <w:rPr>
          <w:noProof/>
        </w:rPr>
        <w:fldChar w:fldCharType="end"/>
      </w:r>
      <w:r w:rsidRPr="00575E55">
        <w:rPr>
          <w:noProof/>
        </w:rPr>
        <w:t xml:space="preserve"> </w:t>
      </w:r>
      <w:r w:rsidR="00E07F29" w:rsidRPr="00575E55">
        <w:rPr>
          <w:noProof/>
        </w:rPr>
        <w:t>Informace o vhodnosti</w:t>
      </w:r>
      <w:r w:rsidRPr="00575E55">
        <w:rPr>
          <w:noProof/>
        </w:rPr>
        <w:t xml:space="preserve"> služební</w:t>
      </w:r>
      <w:r w:rsidR="00E07F29" w:rsidRPr="00575E55">
        <w:rPr>
          <w:noProof/>
        </w:rPr>
        <w:t>ho</w:t>
      </w:r>
      <w:r w:rsidRPr="00575E55">
        <w:rPr>
          <w:noProof/>
        </w:rPr>
        <w:t>/pracovní</w:t>
      </w:r>
      <w:r w:rsidR="00E07F29" w:rsidRPr="00575E55">
        <w:rPr>
          <w:noProof/>
        </w:rPr>
        <w:t>ho</w:t>
      </w:r>
      <w:r w:rsidRPr="00575E55">
        <w:rPr>
          <w:noProof/>
        </w:rPr>
        <w:t xml:space="preserve"> místa</w:t>
      </w:r>
      <w:r w:rsidR="00E07F29" w:rsidRPr="00575E55">
        <w:rPr>
          <w:noProof/>
        </w:rPr>
        <w:t xml:space="preserve"> pro osoby se zdravotním postižením</w:t>
      </w:r>
      <w:bookmarkEnd w:id="529"/>
    </w:p>
    <w:p w14:paraId="394C127D" w14:textId="77777777" w:rsidR="00081E73" w:rsidRPr="001E472A" w:rsidRDefault="00230925" w:rsidP="001D22CB">
      <w:pPr>
        <w:pStyle w:val="Bezmezer"/>
        <w:jc w:val="center"/>
        <w:rPr>
          <w:szCs w:val="22"/>
        </w:rPr>
      </w:pPr>
      <w:r>
        <w:rPr>
          <w:noProof/>
        </w:rPr>
        <w:drawing>
          <wp:inline distT="0" distB="0" distL="0" distR="0" wp14:anchorId="17955C7C" wp14:editId="0CAB15C7">
            <wp:extent cx="5010150" cy="2552700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35A4FFF0" w14:textId="77777777" w:rsidR="0044337E" w:rsidRDefault="0044337E">
      <w:pPr>
        <w:spacing w:before="0" w:after="200" w:line="276" w:lineRule="auto"/>
        <w:jc w:val="left"/>
        <w:rPr>
          <w:rStyle w:val="Zdraznnjemn"/>
        </w:rPr>
      </w:pPr>
      <w:r>
        <w:rPr>
          <w:rStyle w:val="Zdraznnjemn"/>
        </w:rPr>
        <w:br w:type="page"/>
      </w:r>
    </w:p>
    <w:p w14:paraId="366E0F84" w14:textId="1A6F29D8" w:rsidR="00E07F29" w:rsidRPr="001D22CB" w:rsidRDefault="009D2AC5" w:rsidP="007D5114">
      <w:pPr>
        <w:spacing w:before="360"/>
        <w:rPr>
          <w:rStyle w:val="Zdraznnjemn"/>
        </w:rPr>
      </w:pPr>
      <w:r w:rsidRPr="001D22CB">
        <w:rPr>
          <w:rStyle w:val="Zdraznnjemn"/>
        </w:rPr>
        <w:lastRenderedPageBreak/>
        <w:t>Vybráno z komentářů:</w:t>
      </w:r>
    </w:p>
    <w:p w14:paraId="37560715" w14:textId="77777777" w:rsidR="00555D33" w:rsidRPr="001D22CB" w:rsidRDefault="00555D33" w:rsidP="00D939F1">
      <w:pPr>
        <w:spacing w:after="0"/>
        <w:ind w:left="567"/>
        <w:rPr>
          <w:rStyle w:val="Zdraznnjemn"/>
        </w:rPr>
      </w:pPr>
      <w:r w:rsidRPr="001D22CB">
        <w:rPr>
          <w:rStyle w:val="Zdraznnjemn"/>
        </w:rPr>
        <w:t>Informace, že služební či pracovní místo je vho</w:t>
      </w:r>
      <w:r w:rsidR="000E5F17" w:rsidRPr="001D22CB">
        <w:rPr>
          <w:rStyle w:val="Zdraznnjemn"/>
        </w:rPr>
        <w:t>dné pro OZP, je uvedeno přímo v </w:t>
      </w:r>
      <w:r w:rsidRPr="001D22CB">
        <w:rPr>
          <w:rStyle w:val="Zdraznnjemn"/>
        </w:rPr>
        <w:t>inzerci volného místa, a zároveň lze inzerci výběrových řízení podle této skutečnosti selektovat.</w:t>
      </w:r>
    </w:p>
    <w:p w14:paraId="7A5A7915" w14:textId="77777777" w:rsidR="007B160A" w:rsidRPr="001D22CB" w:rsidRDefault="007B160A" w:rsidP="00D939F1">
      <w:pPr>
        <w:spacing w:before="0"/>
        <w:jc w:val="right"/>
        <w:rPr>
          <w:rStyle w:val="Zdraznnjemn"/>
        </w:rPr>
      </w:pPr>
      <w:r w:rsidRPr="001D22CB">
        <w:rPr>
          <w:rStyle w:val="Zdraznnjemn"/>
        </w:rPr>
        <w:t>F</w:t>
      </w:r>
      <w:r w:rsidR="00330A47" w:rsidRPr="001D22CB">
        <w:rPr>
          <w:rStyle w:val="Zdraznnjemn"/>
        </w:rPr>
        <w:t>inanční</w:t>
      </w:r>
      <w:r w:rsidR="00555D33" w:rsidRPr="001D22CB">
        <w:rPr>
          <w:rStyle w:val="Zdraznnjemn"/>
        </w:rPr>
        <w:t xml:space="preserve"> </w:t>
      </w:r>
      <w:r w:rsidR="00330A47" w:rsidRPr="001D22CB">
        <w:rPr>
          <w:rStyle w:val="Zdraznnjemn"/>
        </w:rPr>
        <w:t>s</w:t>
      </w:r>
      <w:r w:rsidR="00555D33" w:rsidRPr="001D22CB">
        <w:rPr>
          <w:rStyle w:val="Zdraznnjemn"/>
        </w:rPr>
        <w:t>práva</w:t>
      </w:r>
      <w:r w:rsidRPr="001D22CB">
        <w:rPr>
          <w:rStyle w:val="Zdraznnjemn"/>
        </w:rPr>
        <w:t xml:space="preserve"> ČR</w:t>
      </w:r>
    </w:p>
    <w:p w14:paraId="7BE40D44" w14:textId="77777777" w:rsidR="004268DD" w:rsidRPr="001D22CB" w:rsidRDefault="001E69FC" w:rsidP="00611448">
      <w:pPr>
        <w:spacing w:after="0"/>
        <w:ind w:left="567"/>
        <w:rPr>
          <w:rStyle w:val="Zdraznnjemn"/>
        </w:rPr>
      </w:pPr>
      <w:r w:rsidRPr="001D22CB">
        <w:rPr>
          <w:rStyle w:val="Zdraznnjemn"/>
        </w:rPr>
        <w:t>V rámci zachování rovného přístupu neuvádíme výčet osob, pro které</w:t>
      </w:r>
      <w:r w:rsidR="004268DD" w:rsidRPr="001D22CB">
        <w:rPr>
          <w:rStyle w:val="Zdraznnjemn"/>
        </w:rPr>
        <w:t xml:space="preserve"> by mohlo být místo </w:t>
      </w:r>
      <w:r w:rsidRPr="001D22CB">
        <w:rPr>
          <w:rStyle w:val="Zdraznnjemn"/>
        </w:rPr>
        <w:t>vhodné</w:t>
      </w:r>
      <w:r w:rsidR="00330A47" w:rsidRPr="001D22CB">
        <w:rPr>
          <w:rStyle w:val="Zdraznnjemn"/>
        </w:rPr>
        <w:t>.</w:t>
      </w:r>
    </w:p>
    <w:p w14:paraId="76DDE69B" w14:textId="77777777" w:rsidR="001E69FC" w:rsidRPr="001D22CB" w:rsidRDefault="00330A47" w:rsidP="00611448">
      <w:pPr>
        <w:spacing w:before="0"/>
        <w:jc w:val="right"/>
        <w:rPr>
          <w:rStyle w:val="Zdraznnjemn"/>
        </w:rPr>
      </w:pPr>
      <w:r w:rsidRPr="001D22CB">
        <w:rPr>
          <w:rStyle w:val="Zdraznnjemn"/>
        </w:rPr>
        <w:t>Ministerstvo práce a sociálních věcí</w:t>
      </w:r>
    </w:p>
    <w:p w14:paraId="39E4C0B8" w14:textId="77777777" w:rsidR="000E5F17" w:rsidRPr="006E11D9" w:rsidRDefault="000E5F17" w:rsidP="009B209E">
      <w:pPr>
        <w:pStyle w:val="Nadpis2"/>
        <w:rPr>
          <w:color w:val="76923C" w:themeColor="accent3" w:themeShade="BF"/>
        </w:rPr>
      </w:pPr>
      <w:bookmarkStart w:id="530" w:name="_Toc24641644"/>
      <w:bookmarkStart w:id="531" w:name="_Toc45513064"/>
      <w:r w:rsidRPr="006E11D9">
        <w:rPr>
          <w:color w:val="76923C" w:themeColor="accent3" w:themeShade="BF"/>
        </w:rPr>
        <w:t>Spolupráce se školami</w:t>
      </w:r>
      <w:bookmarkEnd w:id="530"/>
      <w:bookmarkEnd w:id="531"/>
      <w:r w:rsidRPr="006E11D9">
        <w:rPr>
          <w:color w:val="76923C" w:themeColor="accent3" w:themeShade="BF"/>
        </w:rPr>
        <w:t xml:space="preserve"> </w:t>
      </w:r>
    </w:p>
    <w:p w14:paraId="17C228CA" w14:textId="77777777" w:rsidR="00805F8F" w:rsidRPr="00805F8F" w:rsidRDefault="00805F8F" w:rsidP="00D939F1">
      <w:pPr>
        <w:spacing w:after="240"/>
      </w:pPr>
      <w:r w:rsidRPr="000E5F17">
        <w:t>Znění otázky: Máte navázanou bližší spolupráci se škola</w:t>
      </w:r>
      <w:r>
        <w:t>mi (zajišťujete např. stáže pro </w:t>
      </w:r>
      <w:r w:rsidRPr="000E5F17">
        <w:t>studenty a absolventy se zdravotním postižením)?</w:t>
      </w:r>
    </w:p>
    <w:p w14:paraId="0EA38DF9" w14:textId="77777777" w:rsidR="0007318F" w:rsidRPr="00A2177E" w:rsidRDefault="00E2586C" w:rsidP="00325095">
      <w:r w:rsidRPr="00A2177E">
        <w:t>N</w:t>
      </w:r>
      <w:r w:rsidR="0007318F" w:rsidRPr="00A2177E">
        <w:t>avázání spolupráce</w:t>
      </w:r>
      <w:r w:rsidRPr="00A2177E">
        <w:t xml:space="preserve"> se středními, vyššími odbornými a vysokými školami </w:t>
      </w:r>
      <w:r w:rsidR="00795C16" w:rsidRPr="00A2177E">
        <w:t>spočívající</w:t>
      </w:r>
      <w:r w:rsidR="00DE6A18">
        <w:t>,</w:t>
      </w:r>
      <w:r w:rsidR="00795C16" w:rsidRPr="00A2177E">
        <w:t xml:space="preserve"> např. </w:t>
      </w:r>
      <w:r w:rsidR="0007318F" w:rsidRPr="00A2177E">
        <w:t>v seznámení studentů a absolventů s možností práce v jednotliv</w:t>
      </w:r>
      <w:r w:rsidR="004A5A83">
        <w:t>ých úřadech dle jejich zaměření a</w:t>
      </w:r>
      <w:r w:rsidR="0007318F" w:rsidRPr="00A2177E">
        <w:t xml:space="preserve"> umožnění exkurzí a stáží</w:t>
      </w:r>
      <w:r w:rsidRPr="00A2177E">
        <w:t xml:space="preserve">, je přínosné jak pro úřady, které mohou </w:t>
      </w:r>
      <w:r w:rsidR="00795C16" w:rsidRPr="00A2177E">
        <w:t>zaujmout a </w:t>
      </w:r>
      <w:r w:rsidRPr="00A2177E">
        <w:t>získat kvalitní zaměstnance, tak pro studenty, kterým je tak demonstrována vstříc</w:t>
      </w:r>
      <w:r w:rsidR="00795C16" w:rsidRPr="00A2177E">
        <w:t>nost a </w:t>
      </w:r>
      <w:r w:rsidRPr="00A2177E">
        <w:t xml:space="preserve">ochota úřadů zaměstnávat </w:t>
      </w:r>
      <w:r w:rsidR="00910D44" w:rsidRPr="00A2177E">
        <w:t xml:space="preserve">i </w:t>
      </w:r>
      <w:r w:rsidR="00861472">
        <w:t>osoby se zdravotním</w:t>
      </w:r>
      <w:r w:rsidRPr="00A2177E">
        <w:t> postižením.</w:t>
      </w:r>
      <w:r w:rsidR="0007318F" w:rsidRPr="00A2177E">
        <w:t xml:space="preserve"> </w:t>
      </w:r>
    </w:p>
    <w:p w14:paraId="338A52F6" w14:textId="77777777" w:rsidR="0062066D" w:rsidRPr="00203DBC" w:rsidRDefault="0062066D" w:rsidP="00325095">
      <w:r w:rsidRPr="00203DBC">
        <w:t>Z průzkumu však vyplynulo, že 79</w:t>
      </w:r>
      <w:r w:rsidR="00556845">
        <w:t xml:space="preserve"> %</w:t>
      </w:r>
      <w:r w:rsidRPr="00203DBC">
        <w:t xml:space="preserve"> úřadů žádnou aktivitu v této oblasti nevykonává, 16</w:t>
      </w:r>
      <w:r w:rsidR="00556845">
        <w:t xml:space="preserve"> %</w:t>
      </w:r>
      <w:r w:rsidR="00166989">
        <w:t xml:space="preserve"> z nich </w:t>
      </w:r>
      <w:r w:rsidRPr="00203DBC">
        <w:t xml:space="preserve">uvádí, že jsou tyto </w:t>
      </w:r>
      <w:r w:rsidR="00203DBC">
        <w:t>aktivity do budoucna plánovány</w:t>
      </w:r>
      <w:r w:rsidR="00AF0E0B">
        <w:t xml:space="preserve"> (Krajské finanční úřady, Úřad práce</w:t>
      </w:r>
      <w:r w:rsidR="004A5A83">
        <w:t xml:space="preserve"> ČR</w:t>
      </w:r>
      <w:r w:rsidR="00AF0E0B">
        <w:t>)</w:t>
      </w:r>
      <w:r w:rsidR="00203DBC">
        <w:t>.</w:t>
      </w:r>
    </w:p>
    <w:p w14:paraId="5C9D8879" w14:textId="77777777" w:rsidR="0062066D" w:rsidRDefault="0062066D" w:rsidP="00325095">
      <w:r w:rsidRPr="00203DBC">
        <w:t>Spolupráci se školami má navázáno 20</w:t>
      </w:r>
      <w:r w:rsidR="00556845">
        <w:t xml:space="preserve"> %</w:t>
      </w:r>
      <w:r w:rsidRPr="00203DBC">
        <w:t xml:space="preserve"> z oslovených úřadů, a to dlouhodobou (</w:t>
      </w:r>
      <w:r w:rsidR="00AF0E0B">
        <w:t>Ministerstvo spravedlnosti,</w:t>
      </w:r>
      <w:r w:rsidRPr="00203DBC">
        <w:t xml:space="preserve"> Ministerstvo financí</w:t>
      </w:r>
      <w:r w:rsidR="00AF0E0B">
        <w:t>, Fi</w:t>
      </w:r>
      <w:r w:rsidR="00472994">
        <w:t>nanční úřad Moravskoslezského a </w:t>
      </w:r>
      <w:r w:rsidR="00AF0E0B">
        <w:t>Olomouck</w:t>
      </w:r>
      <w:r w:rsidR="004A5A83">
        <w:t>ého kraje či</w:t>
      </w:r>
      <w:r w:rsidR="00AF0E0B">
        <w:t xml:space="preserve"> krajská hygienická stanice Plzeňského kraje</w:t>
      </w:r>
      <w:r w:rsidRPr="00203DBC">
        <w:t>) či příležitostnou</w:t>
      </w:r>
      <w:r w:rsidR="00203DBC" w:rsidRPr="00203DBC">
        <w:t xml:space="preserve"> (Ministerstvo kultury, Ministerstvo průmyslu a obchodu</w:t>
      </w:r>
      <w:r w:rsidR="00AF0E0B">
        <w:t xml:space="preserve">, </w:t>
      </w:r>
      <w:r w:rsidR="00203DBC" w:rsidRPr="00203DBC">
        <w:t>Ministerstvo práce a sociálních věcí</w:t>
      </w:r>
      <w:r w:rsidR="004A5A83">
        <w:t>, Generální finanční ředitelství či</w:t>
      </w:r>
      <w:r w:rsidR="00AF0E0B">
        <w:t xml:space="preserve"> </w:t>
      </w:r>
      <w:r w:rsidR="004A5A83">
        <w:t>Finanční úřad Jihočeského kraje</w:t>
      </w:r>
      <w:r w:rsidR="00203DBC" w:rsidRPr="00203DBC">
        <w:t>)</w:t>
      </w:r>
      <w:r w:rsidRPr="00203DBC">
        <w:t>.</w:t>
      </w:r>
    </w:p>
    <w:p w14:paraId="22897362" w14:textId="77777777" w:rsidR="0062066D" w:rsidRDefault="00AF0E0B" w:rsidP="00325095">
      <w:r>
        <w:t>Se školami, byť příležitostně, spolupracují s</w:t>
      </w:r>
      <w:r w:rsidR="004A5A83">
        <w:t>píše ministerstva a větší úřady</w:t>
      </w:r>
      <w:r>
        <w:t xml:space="preserve"> krom</w:t>
      </w:r>
      <w:r w:rsidR="004A5A83">
        <w:t>ě</w:t>
      </w:r>
      <w:r>
        <w:t xml:space="preserve"> ústředních orgánů státní správy, které tyto aktivity vyvíjejí spíše výjimečně.</w:t>
      </w:r>
    </w:p>
    <w:p w14:paraId="0E1C3FE3" w14:textId="4067E6BC" w:rsidR="000E5F17" w:rsidRPr="00575E55" w:rsidRDefault="000E5F17" w:rsidP="00C320A8">
      <w:pPr>
        <w:pStyle w:val="Titulek"/>
        <w:rPr>
          <w:noProof/>
        </w:rPr>
      </w:pPr>
      <w:bookmarkStart w:id="532" w:name="_Toc45513031"/>
      <w:r w:rsidRPr="00575E55">
        <w:rPr>
          <w:noProof/>
        </w:rPr>
        <w:lastRenderedPageBreak/>
        <w:t xml:space="preserve">Graf </w:t>
      </w:r>
      <w:r w:rsidR="00396D26">
        <w:rPr>
          <w:noProof/>
        </w:rPr>
        <w:fldChar w:fldCharType="begin"/>
      </w:r>
      <w:r w:rsidR="00396D26">
        <w:rPr>
          <w:noProof/>
        </w:rPr>
        <w:instrText xml:space="preserve"> SEQ Graf \* ARABIC </w:instrText>
      </w:r>
      <w:r w:rsidR="00396D26">
        <w:rPr>
          <w:noProof/>
        </w:rPr>
        <w:fldChar w:fldCharType="separate"/>
      </w:r>
      <w:r w:rsidR="000F72AB">
        <w:rPr>
          <w:noProof/>
        </w:rPr>
        <w:t>56</w:t>
      </w:r>
      <w:r w:rsidR="00396D26">
        <w:rPr>
          <w:noProof/>
        </w:rPr>
        <w:fldChar w:fldCharType="end"/>
      </w:r>
      <w:r w:rsidRPr="00575E55">
        <w:rPr>
          <w:noProof/>
        </w:rPr>
        <w:t xml:space="preserve"> Spolupráce se školami</w:t>
      </w:r>
      <w:bookmarkEnd w:id="532"/>
    </w:p>
    <w:p w14:paraId="0A5D010D" w14:textId="683ABDC2" w:rsidR="00733EA7" w:rsidRPr="0044337E" w:rsidRDefault="002E2F68" w:rsidP="0044337E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0B225609" wp14:editId="68593D61">
            <wp:extent cx="5021580" cy="2990850"/>
            <wp:effectExtent l="0" t="0" r="7620" b="0"/>
            <wp:docPr id="31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7BD4D8FE" w14:textId="60AA8FD6" w:rsidR="000E5F17" w:rsidRPr="001D22CB" w:rsidRDefault="000E5F17" w:rsidP="00AE4CA4">
      <w:pPr>
        <w:spacing w:before="360"/>
        <w:rPr>
          <w:i/>
          <w:iCs/>
        </w:rPr>
      </w:pPr>
      <w:r w:rsidRPr="001D22CB">
        <w:rPr>
          <w:i/>
          <w:iCs/>
        </w:rPr>
        <w:t>Vybráno z komentářů:</w:t>
      </w:r>
    </w:p>
    <w:p w14:paraId="2F958568" w14:textId="77777777" w:rsidR="00B234DE" w:rsidRPr="001D22CB" w:rsidRDefault="00B234DE" w:rsidP="00D939F1">
      <w:pPr>
        <w:spacing w:after="0"/>
        <w:ind w:left="567"/>
        <w:rPr>
          <w:i/>
          <w:iCs/>
        </w:rPr>
      </w:pPr>
      <w:r w:rsidRPr="001D22CB">
        <w:rPr>
          <w:i/>
          <w:iCs/>
        </w:rPr>
        <w:t>MPSV umožňuje vykonávání odborné praxe student</w:t>
      </w:r>
      <w:r w:rsidR="00065A7F" w:rsidRPr="001D22CB">
        <w:rPr>
          <w:i/>
          <w:iCs/>
        </w:rPr>
        <w:t>ům středních a vysokých škol na </w:t>
      </w:r>
      <w:r w:rsidRPr="001D22CB">
        <w:rPr>
          <w:i/>
          <w:iCs/>
        </w:rPr>
        <w:t>základě uzavřené dohody. Nerozlišujeme, zda jde o studenty se zdravotním postižením či nikoliv.</w:t>
      </w:r>
    </w:p>
    <w:p w14:paraId="162BA772" w14:textId="77777777" w:rsidR="00B234DE" w:rsidRPr="001D22CB" w:rsidRDefault="00B234DE" w:rsidP="00D939F1">
      <w:pPr>
        <w:spacing w:before="0"/>
        <w:ind w:left="567"/>
        <w:jc w:val="right"/>
        <w:rPr>
          <w:i/>
          <w:iCs/>
        </w:rPr>
      </w:pPr>
      <w:r w:rsidRPr="001D22CB">
        <w:rPr>
          <w:i/>
          <w:iCs/>
        </w:rPr>
        <w:t>Ministerstvo práce a sociálních věcí</w:t>
      </w:r>
    </w:p>
    <w:p w14:paraId="23C390E4" w14:textId="77777777" w:rsidR="00707D69" w:rsidRPr="001D22CB" w:rsidRDefault="00707D69" w:rsidP="00D939F1">
      <w:pPr>
        <w:spacing w:after="0"/>
        <w:ind w:left="567"/>
        <w:rPr>
          <w:i/>
          <w:iCs/>
        </w:rPr>
      </w:pPr>
      <w:r w:rsidRPr="001D22CB">
        <w:rPr>
          <w:i/>
          <w:iCs/>
        </w:rPr>
        <w:t>Úřad dlouhodobě spolupracuje s vysokými a středními</w:t>
      </w:r>
      <w:r w:rsidR="00065A7F" w:rsidRPr="001D22CB">
        <w:rPr>
          <w:i/>
          <w:iCs/>
        </w:rPr>
        <w:t xml:space="preserve"> školami. Součástí spolupráce s </w:t>
      </w:r>
      <w:r w:rsidRPr="001D22CB">
        <w:rPr>
          <w:i/>
          <w:iCs/>
        </w:rPr>
        <w:t>VŠ je i možnost výkonu neplacené stáže, problematika výkonu stáže osobami zdravotně postiženými však není zvlášť řešena. S požada</w:t>
      </w:r>
      <w:r w:rsidR="00065A7F" w:rsidRPr="001D22CB">
        <w:rPr>
          <w:i/>
          <w:iCs/>
        </w:rPr>
        <w:t>vkem studenta jako osoby se </w:t>
      </w:r>
      <w:r w:rsidRPr="001D22CB">
        <w:rPr>
          <w:i/>
          <w:iCs/>
        </w:rPr>
        <w:t xml:space="preserve">zdravotním postižením, která by projevila vůli vykonávat neplacenou stáž, se úřad dosud nesetkal. Náplní stáže je typicky administrativní činnost a práce s veřejností.   </w:t>
      </w:r>
    </w:p>
    <w:p w14:paraId="209A3174" w14:textId="77777777" w:rsidR="00707D69" w:rsidRPr="001D22CB" w:rsidRDefault="009F577C" w:rsidP="00D939F1">
      <w:pPr>
        <w:spacing w:before="0"/>
        <w:ind w:left="567"/>
        <w:jc w:val="right"/>
        <w:rPr>
          <w:i/>
          <w:iCs/>
        </w:rPr>
      </w:pPr>
      <w:r w:rsidRPr="001D22CB">
        <w:rPr>
          <w:i/>
          <w:iCs/>
        </w:rPr>
        <w:t>F</w:t>
      </w:r>
      <w:r w:rsidR="00707D69" w:rsidRPr="001D22CB">
        <w:rPr>
          <w:i/>
          <w:iCs/>
        </w:rPr>
        <w:t>inanční úřad</w:t>
      </w:r>
      <w:r w:rsidRPr="001D22CB">
        <w:rPr>
          <w:i/>
          <w:iCs/>
        </w:rPr>
        <w:t xml:space="preserve"> pro Moravskoslezský kraj</w:t>
      </w:r>
    </w:p>
    <w:p w14:paraId="5667F293" w14:textId="77777777" w:rsidR="00020E1A" w:rsidRPr="001D22CB" w:rsidRDefault="00020E1A" w:rsidP="00D939F1">
      <w:pPr>
        <w:spacing w:after="0"/>
        <w:ind w:left="567"/>
        <w:rPr>
          <w:i/>
          <w:iCs/>
        </w:rPr>
      </w:pPr>
      <w:r w:rsidRPr="001D22CB">
        <w:rPr>
          <w:i/>
          <w:iCs/>
        </w:rPr>
        <w:t>Dlouhodobě spolupracujeme a zajišťujeme stáže pro studenty Právnické fakulty UK Praha (katedra práva životního prostředí).</w:t>
      </w:r>
    </w:p>
    <w:p w14:paraId="6CD1DD85" w14:textId="77777777" w:rsidR="00300C24" w:rsidRPr="001D22CB" w:rsidRDefault="00020E1A" w:rsidP="00D939F1">
      <w:pPr>
        <w:spacing w:before="0"/>
        <w:ind w:left="567"/>
        <w:jc w:val="right"/>
        <w:rPr>
          <w:i/>
          <w:iCs/>
        </w:rPr>
      </w:pPr>
      <w:r w:rsidRPr="001D22CB">
        <w:rPr>
          <w:i/>
          <w:iCs/>
        </w:rPr>
        <w:t>Český báňský úřad</w:t>
      </w:r>
    </w:p>
    <w:p w14:paraId="6E023C8C" w14:textId="77777777" w:rsidR="0044337E" w:rsidRDefault="0044337E">
      <w:pPr>
        <w:spacing w:before="0" w:after="200" w:line="276" w:lineRule="auto"/>
        <w:jc w:val="left"/>
        <w:rPr>
          <w:rFonts w:asciiTheme="majorHAnsi" w:eastAsiaTheme="minorHAnsi" w:hAnsiTheme="majorHAnsi"/>
          <w:b/>
          <w:bCs/>
          <w:color w:val="76923C" w:themeColor="accent3" w:themeShade="BF"/>
          <w:sz w:val="26"/>
          <w:szCs w:val="22"/>
          <w:lang w:eastAsia="en-US"/>
        </w:rPr>
      </w:pPr>
      <w:r>
        <w:br w:type="page"/>
      </w:r>
    </w:p>
    <w:p w14:paraId="4A2C3BA4" w14:textId="308EB6A9" w:rsidR="00472E92" w:rsidRPr="006E11D9" w:rsidRDefault="00472E92" w:rsidP="009B209E">
      <w:pPr>
        <w:pStyle w:val="Nadpis2"/>
        <w:rPr>
          <w:color w:val="76923C" w:themeColor="accent3" w:themeShade="BF"/>
        </w:rPr>
      </w:pPr>
      <w:bookmarkStart w:id="533" w:name="_Toc45513065"/>
      <w:r w:rsidRPr="006E11D9">
        <w:rPr>
          <w:color w:val="76923C" w:themeColor="accent3" w:themeShade="BF"/>
        </w:rPr>
        <w:lastRenderedPageBreak/>
        <w:t>Míra fluktuace zaměstnanců</w:t>
      </w:r>
      <w:bookmarkStart w:id="534" w:name="_Toc24641645"/>
      <w:bookmarkEnd w:id="533"/>
      <w:r w:rsidRPr="006E11D9">
        <w:rPr>
          <w:color w:val="76923C" w:themeColor="accent3" w:themeShade="BF"/>
        </w:rPr>
        <w:t xml:space="preserve"> </w:t>
      </w:r>
      <w:bookmarkEnd w:id="534"/>
    </w:p>
    <w:p w14:paraId="1DF8D407" w14:textId="77777777" w:rsidR="00805F8F" w:rsidRDefault="00805F8F" w:rsidP="00D939F1">
      <w:pPr>
        <w:spacing w:after="240"/>
      </w:pPr>
      <w:r w:rsidRPr="00552F05">
        <w:rPr>
          <w:szCs w:val="22"/>
        </w:rPr>
        <w:t xml:space="preserve">Znění otázky: </w:t>
      </w:r>
      <w:r w:rsidRPr="00552F05">
        <w:t>Jaká je míra fluktuace OZP ve Vašem úřadě ve srovnání s oso</w:t>
      </w:r>
      <w:r>
        <w:t>bami bez </w:t>
      </w:r>
      <w:r w:rsidRPr="00552F05">
        <w:t>zdravotního postižení?</w:t>
      </w:r>
      <w:r>
        <w:t xml:space="preserve"> </w:t>
      </w:r>
    </w:p>
    <w:p w14:paraId="6DEAD506" w14:textId="77777777" w:rsidR="00A3158E" w:rsidRPr="00805F8F" w:rsidRDefault="007C57D3" w:rsidP="00325095">
      <w:r>
        <w:t>Doba setrvání ve stejném zaměstnání je odrazem</w:t>
      </w:r>
      <w:r w:rsidR="00D75558">
        <w:t xml:space="preserve"> mnoha různých faktorů, nejen osobní pref</w:t>
      </w:r>
      <w:r>
        <w:t>erence zaměs</w:t>
      </w:r>
      <w:r w:rsidR="00D75558">
        <w:t>t</w:t>
      </w:r>
      <w:r>
        <w:t xml:space="preserve">nance, ale i </w:t>
      </w:r>
      <w:r w:rsidR="009B55B6">
        <w:t>ochoty</w:t>
      </w:r>
      <w:r w:rsidR="00A3158E">
        <w:t xml:space="preserve"> a možnost</w:t>
      </w:r>
      <w:r w:rsidR="0062511C">
        <w:t>mi</w:t>
      </w:r>
      <w:r w:rsidR="00A3158E">
        <w:t xml:space="preserve"> zaměstna</w:t>
      </w:r>
      <w:r w:rsidR="002C6415">
        <w:t>vatele přizpůsobit se </w:t>
      </w:r>
      <w:r w:rsidR="00A3158E">
        <w:t>případným specifickým požadavkům zaměstnance</w:t>
      </w:r>
      <w:r w:rsidR="007F1711">
        <w:t xml:space="preserve"> se zdravotním postižením</w:t>
      </w:r>
      <w:r w:rsidR="00A3158E">
        <w:t xml:space="preserve"> </w:t>
      </w:r>
      <w:r>
        <w:t>na</w:t>
      </w:r>
      <w:r w:rsidR="00A3158E">
        <w:t xml:space="preserve"> úpravu pracovního prostředí, pracovní doby či </w:t>
      </w:r>
      <w:r w:rsidR="007F1711">
        <w:t xml:space="preserve">umožněním </w:t>
      </w:r>
      <w:r w:rsidR="00A3158E">
        <w:t>vykonávat práci mimo pracoviště.</w:t>
      </w:r>
    </w:p>
    <w:p w14:paraId="64FB4821" w14:textId="77777777" w:rsidR="007F1711" w:rsidRDefault="007F1711" w:rsidP="00325095">
      <w:r>
        <w:t>Z</w:t>
      </w:r>
      <w:r w:rsidR="00A54E65">
        <w:t> dotazníkového šetření</w:t>
      </w:r>
      <w:r>
        <w:t xml:space="preserve"> vyplynulo, že většina úřadů pozoruje spíše nižší fluktuaci či </w:t>
      </w:r>
      <w:r w:rsidR="00847D14">
        <w:t xml:space="preserve">není možné její míru u </w:t>
      </w:r>
      <w:r w:rsidR="00A54E65">
        <w:t xml:space="preserve">zaměstnanců se zdravotním </w:t>
      </w:r>
      <w:r w:rsidR="00847D14">
        <w:t>postižením vyhodnotit. Naopak žádný úřad míru fluktuace těchto zaměstnanců nevyhodnotil jako vyšší.</w:t>
      </w:r>
    </w:p>
    <w:p w14:paraId="170B0B0F" w14:textId="77777777" w:rsidR="00C90BF2" w:rsidRDefault="0064568C" w:rsidP="00325095">
      <w:r>
        <w:t xml:space="preserve">Závěry tak vyvrací i častý předsudek, že lidé s postižením </w:t>
      </w:r>
      <w:r w:rsidR="00472994">
        <w:t>střídají zaměstnání častěji a </w:t>
      </w:r>
      <w:r w:rsidR="005074B4">
        <w:t>opouštějí ho</w:t>
      </w:r>
      <w:r w:rsidR="00A54E65">
        <w:t xml:space="preserve"> dříve než ostatní </w:t>
      </w:r>
      <w:r>
        <w:t>zaměstnanci.</w:t>
      </w:r>
    </w:p>
    <w:p w14:paraId="1DB3F599" w14:textId="5BCF6233" w:rsidR="00472E92" w:rsidRPr="00575E55" w:rsidRDefault="00472E92" w:rsidP="00C320A8">
      <w:pPr>
        <w:pStyle w:val="Titulek"/>
        <w:rPr>
          <w:noProof/>
        </w:rPr>
      </w:pPr>
      <w:bookmarkStart w:id="535" w:name="_Toc45513032"/>
      <w:r w:rsidRPr="00575E55">
        <w:rPr>
          <w:noProof/>
        </w:rPr>
        <w:t xml:space="preserve">Graf </w:t>
      </w:r>
      <w:r w:rsidR="00396D26">
        <w:rPr>
          <w:noProof/>
        </w:rPr>
        <w:fldChar w:fldCharType="begin"/>
      </w:r>
      <w:r w:rsidR="00396D26">
        <w:rPr>
          <w:noProof/>
        </w:rPr>
        <w:instrText xml:space="preserve"> SEQ Graf \* ARABIC </w:instrText>
      </w:r>
      <w:r w:rsidR="00396D26">
        <w:rPr>
          <w:noProof/>
        </w:rPr>
        <w:fldChar w:fldCharType="separate"/>
      </w:r>
      <w:r w:rsidR="000F72AB">
        <w:rPr>
          <w:noProof/>
        </w:rPr>
        <w:t>57</w:t>
      </w:r>
      <w:r w:rsidR="00396D26">
        <w:rPr>
          <w:noProof/>
        </w:rPr>
        <w:fldChar w:fldCharType="end"/>
      </w:r>
      <w:r w:rsidRPr="00575E55">
        <w:rPr>
          <w:noProof/>
        </w:rPr>
        <w:t xml:space="preserve"> </w:t>
      </w:r>
      <w:r w:rsidR="00552F05" w:rsidRPr="00575E55">
        <w:rPr>
          <w:noProof/>
        </w:rPr>
        <w:t>Míra fluktuace zaměstnanců se zdravotním postižením</w:t>
      </w:r>
      <w:bookmarkEnd w:id="535"/>
    </w:p>
    <w:p w14:paraId="1BE1BC6F" w14:textId="77777777" w:rsidR="00472E92" w:rsidRPr="001E472A" w:rsidRDefault="00AF3DD6" w:rsidP="001D22CB">
      <w:pPr>
        <w:pStyle w:val="Bezmezer"/>
        <w:jc w:val="center"/>
        <w:rPr>
          <w:szCs w:val="22"/>
        </w:rPr>
      </w:pPr>
      <w:r>
        <w:rPr>
          <w:noProof/>
        </w:rPr>
        <w:drawing>
          <wp:inline distT="0" distB="0" distL="0" distR="0" wp14:anchorId="45266294" wp14:editId="2665D391">
            <wp:extent cx="5057775" cy="2847975"/>
            <wp:effectExtent l="0" t="0" r="9525" b="9525"/>
            <wp:docPr id="38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14:paraId="3E06BD99" w14:textId="77777777" w:rsidR="00472E92" w:rsidRPr="001D22CB" w:rsidRDefault="00472E92" w:rsidP="001D22CB">
      <w:pPr>
        <w:spacing w:before="360"/>
        <w:rPr>
          <w:rStyle w:val="Zdraznnjemn"/>
        </w:rPr>
      </w:pPr>
      <w:r w:rsidRPr="001D22CB">
        <w:rPr>
          <w:rStyle w:val="Zdraznnjemn"/>
        </w:rPr>
        <w:t>Vybráno z komentářů:</w:t>
      </w:r>
    </w:p>
    <w:p w14:paraId="23A4772B" w14:textId="77777777" w:rsidR="00D551AB" w:rsidRPr="001D22CB" w:rsidRDefault="00D551AB" w:rsidP="00D939F1">
      <w:pPr>
        <w:spacing w:after="0"/>
        <w:ind w:left="567"/>
        <w:rPr>
          <w:rStyle w:val="Zdraznnjemn"/>
        </w:rPr>
      </w:pPr>
      <w:r w:rsidRPr="001D22CB">
        <w:rPr>
          <w:rStyle w:val="Zdraznnjemn"/>
        </w:rPr>
        <w:t xml:space="preserve">Ačkoliv zaměstnáváme jen velmi malé procento osob se zdravotním postižením, snažíme se vytvořit ve spolupráci s lékaři poskytovatele </w:t>
      </w:r>
      <w:proofErr w:type="spellStart"/>
      <w:r w:rsidRPr="001D22CB">
        <w:rPr>
          <w:rStyle w:val="Zdraznnjemn"/>
        </w:rPr>
        <w:t>pracovnělékařských</w:t>
      </w:r>
      <w:proofErr w:type="spellEnd"/>
      <w:r w:rsidRPr="001D22CB">
        <w:rPr>
          <w:rStyle w:val="Zdraznnjemn"/>
        </w:rPr>
        <w:t xml:space="preserve"> služeb těmto zaměstnancům co nejpříznivější pracovní podmínky po celou dobu jejich pracovního či služebního poměru. Osoby se zdravotním postižením, které jsou v rezortu obrany zaměstnány, tak zpravidla setrvávají na pracovním nebo služebním místě až do konce své pracovní kariéry.</w:t>
      </w:r>
    </w:p>
    <w:p w14:paraId="777C6544" w14:textId="77777777" w:rsidR="00D551AB" w:rsidRPr="001D22CB" w:rsidRDefault="00D551AB" w:rsidP="00D939F1">
      <w:pPr>
        <w:spacing w:before="0"/>
        <w:jc w:val="right"/>
        <w:rPr>
          <w:rStyle w:val="Zdraznnjemn"/>
        </w:rPr>
      </w:pPr>
      <w:r w:rsidRPr="001D22CB">
        <w:rPr>
          <w:rStyle w:val="Zdraznnjemn"/>
        </w:rPr>
        <w:t>Ministerstvo obrany</w:t>
      </w:r>
    </w:p>
    <w:p w14:paraId="7A45C7D4" w14:textId="77777777" w:rsidR="00D130D7" w:rsidRPr="006E11D9" w:rsidRDefault="001B3395" w:rsidP="009B209E">
      <w:pPr>
        <w:pStyle w:val="Nadpis2"/>
        <w:rPr>
          <w:color w:val="76923C" w:themeColor="accent3" w:themeShade="BF"/>
        </w:rPr>
      </w:pPr>
      <w:bookmarkStart w:id="536" w:name="_Toc45513066"/>
      <w:r w:rsidRPr="006E11D9">
        <w:rPr>
          <w:color w:val="76923C" w:themeColor="accent3" w:themeShade="BF"/>
        </w:rPr>
        <w:lastRenderedPageBreak/>
        <w:t>Opatření ke zvýšení zaměstnanosti</w:t>
      </w:r>
      <w:bookmarkStart w:id="537" w:name="_Toc24641646"/>
      <w:bookmarkEnd w:id="536"/>
      <w:r w:rsidRPr="006E11D9">
        <w:rPr>
          <w:color w:val="76923C" w:themeColor="accent3" w:themeShade="BF"/>
        </w:rPr>
        <w:t xml:space="preserve"> </w:t>
      </w:r>
      <w:bookmarkEnd w:id="537"/>
    </w:p>
    <w:p w14:paraId="62100008" w14:textId="77777777" w:rsidR="00396CDA" w:rsidRPr="00396CDA" w:rsidRDefault="00396CDA" w:rsidP="00D939F1">
      <w:pPr>
        <w:spacing w:after="240"/>
      </w:pPr>
      <w:r w:rsidRPr="00F777B8">
        <w:rPr>
          <w:szCs w:val="22"/>
        </w:rPr>
        <w:t xml:space="preserve">Znění otázky: </w:t>
      </w:r>
      <w:r w:rsidRPr="00F777B8">
        <w:t>Prosím uveďte, jaká opatření by dle Vašeho názoru ve Vašem úřadu přispěla ke zvýšení zaměstnanosti OZP.</w:t>
      </w:r>
    </w:p>
    <w:p w14:paraId="1ADE2207" w14:textId="77777777" w:rsidR="00BD3F7A" w:rsidRDefault="00D130D7" w:rsidP="00325095">
      <w:r w:rsidRPr="00D130D7">
        <w:t xml:space="preserve">Poslední otázka byla otevřená a dávala možnost úřadům vyjádřit se k možným opatřením, </w:t>
      </w:r>
      <w:r w:rsidR="00942745">
        <w:t xml:space="preserve">která by </w:t>
      </w:r>
      <w:r w:rsidR="00C60090">
        <w:t>mohla přispět</w:t>
      </w:r>
      <w:r w:rsidR="00942745">
        <w:t xml:space="preserve"> ke zvýšení zaměstnanosti </w:t>
      </w:r>
      <w:r w:rsidR="00483C43">
        <w:t>osob</w:t>
      </w:r>
      <w:r w:rsidR="00942745">
        <w:t xml:space="preserve"> s</w:t>
      </w:r>
      <w:r w:rsidR="00483C43">
        <w:t>e zdravotním</w:t>
      </w:r>
      <w:r w:rsidR="00942745">
        <w:t xml:space="preserve"> postižením </w:t>
      </w:r>
      <w:r w:rsidR="00F777B8">
        <w:t xml:space="preserve">v úřadech </w:t>
      </w:r>
      <w:r w:rsidR="00483C43">
        <w:t>a </w:t>
      </w:r>
      <w:r w:rsidR="00065A7F">
        <w:t>která by </w:t>
      </w:r>
      <w:r w:rsidRPr="00D130D7">
        <w:t xml:space="preserve">mohla být přijata za účelem zvýšení počtu </w:t>
      </w:r>
      <w:r w:rsidR="00B36707">
        <w:t xml:space="preserve">těchto </w:t>
      </w:r>
      <w:r w:rsidRPr="00D130D7">
        <w:t>zaměstnanců ve státní správě.</w:t>
      </w:r>
      <w:r>
        <w:t xml:space="preserve"> </w:t>
      </w:r>
      <w:r w:rsidR="00942745">
        <w:t>N</w:t>
      </w:r>
      <w:r>
        <w:t xml:space="preserve">ávrh/komentář k tomuto </w:t>
      </w:r>
      <w:r w:rsidR="00942745">
        <w:t>bodu uvedlo 24</w:t>
      </w:r>
      <w:r>
        <w:t xml:space="preserve"> úřadů. </w:t>
      </w:r>
    </w:p>
    <w:p w14:paraId="56CC2854" w14:textId="77777777" w:rsidR="00F777B8" w:rsidRDefault="00C60090" w:rsidP="00325095">
      <w:r>
        <w:t>Mezi</w:t>
      </w:r>
      <w:r w:rsidR="00F777B8">
        <w:t xml:space="preserve"> nejčastěji zmiňovaná opatření</w:t>
      </w:r>
      <w:r>
        <w:t xml:space="preserve"> patřilo </w:t>
      </w:r>
      <w:r w:rsidR="00F777B8">
        <w:t>informování žadatelů v rámci zveřejňování nabídek zaměstnání o tom, že místo je vhodné i pro o</w:t>
      </w:r>
      <w:r w:rsidR="00472994">
        <w:t>soby se zdravotním postižením a </w:t>
      </w:r>
      <w:r w:rsidR="00F777B8">
        <w:t xml:space="preserve">zveřejňování inzerátů na více různých inzertních portálech. Mezi další širokou skupinu patřila opatření k </w:t>
      </w:r>
      <w:r>
        <w:t xml:space="preserve">zajištění </w:t>
      </w:r>
      <w:r w:rsidR="00F777B8">
        <w:t xml:space="preserve">plné </w:t>
      </w:r>
      <w:r>
        <w:t>bezbariérovosti budov</w:t>
      </w:r>
      <w:r w:rsidR="00F777B8">
        <w:t xml:space="preserve"> (vyhrazená parkovací místa, bezbariérový vstup a pohyb po budově) včetně provádění úprav pracovního místa a pracovní doby</w:t>
      </w:r>
      <w:r w:rsidR="00263FA3">
        <w:t xml:space="preserve"> a také </w:t>
      </w:r>
      <w:r w:rsidR="009F577C">
        <w:t>šíření příkladů dobré praxe</w:t>
      </w:r>
      <w:r w:rsidR="00F777B8">
        <w:t xml:space="preserve">. </w:t>
      </w:r>
    </w:p>
    <w:p w14:paraId="71340AC9" w14:textId="77777777" w:rsidR="00611F91" w:rsidRDefault="00F777B8" w:rsidP="00325095">
      <w:r>
        <w:t xml:space="preserve">Mezi návrhy bylo </w:t>
      </w:r>
      <w:r w:rsidR="00635241">
        <w:t xml:space="preserve">také </w:t>
      </w:r>
      <w:r>
        <w:t>zavedení s</w:t>
      </w:r>
      <w:r w:rsidR="00611F91" w:rsidRPr="00BD3F7A">
        <w:t>peciální</w:t>
      </w:r>
      <w:r>
        <w:t>ch vyšších plat</w:t>
      </w:r>
      <w:r w:rsidR="00472994">
        <w:t>ových tarifů pouze pro osoby se </w:t>
      </w:r>
      <w:r>
        <w:t>zdravotním postižením, r</w:t>
      </w:r>
      <w:r w:rsidR="009223F8">
        <w:t>ozšíření spolupráce se školami či z</w:t>
      </w:r>
      <w:r w:rsidR="00611F91" w:rsidRPr="00C90BF2">
        <w:t xml:space="preserve">měna legislativy v oblasti zaměstnávání </w:t>
      </w:r>
      <w:r w:rsidR="009223F8">
        <w:t>(např. za účelem zjednodušení</w:t>
      </w:r>
      <w:r w:rsidR="00611F91" w:rsidRPr="00C90BF2">
        <w:t xml:space="preserve"> systém</w:t>
      </w:r>
      <w:r w:rsidR="009223F8">
        <w:t>u</w:t>
      </w:r>
      <w:r w:rsidR="00611F91" w:rsidRPr="00C90BF2">
        <w:t xml:space="preserve"> náhradního plnění</w:t>
      </w:r>
      <w:r w:rsidR="009223F8">
        <w:t>)</w:t>
      </w:r>
      <w:r w:rsidR="00611F91" w:rsidRPr="00C90BF2">
        <w:t xml:space="preserve">. </w:t>
      </w:r>
    </w:p>
    <w:p w14:paraId="748EACEA" w14:textId="77EA8AC3" w:rsidR="00F777B8" w:rsidRDefault="00F777B8" w:rsidP="00C320A8">
      <w:pPr>
        <w:pStyle w:val="Titulek"/>
      </w:pPr>
      <w:bookmarkStart w:id="538" w:name="_Toc45513033"/>
      <w:r>
        <w:t xml:space="preserve">Graf </w:t>
      </w:r>
      <w:r w:rsidR="00FC5B08">
        <w:fldChar w:fldCharType="begin"/>
      </w:r>
      <w:r w:rsidR="00FC5B08">
        <w:instrText xml:space="preserve"> SEQ Graf \* ARABIC </w:instrText>
      </w:r>
      <w:r w:rsidR="00FC5B08">
        <w:fldChar w:fldCharType="separate"/>
      </w:r>
      <w:r w:rsidR="000F72AB">
        <w:rPr>
          <w:noProof/>
        </w:rPr>
        <w:t>58</w:t>
      </w:r>
      <w:r w:rsidR="00FC5B08">
        <w:rPr>
          <w:noProof/>
        </w:rPr>
        <w:fldChar w:fldCharType="end"/>
      </w:r>
      <w:r>
        <w:t xml:space="preserve"> Opatření ke zvýšení zaměstnanosti</w:t>
      </w:r>
      <w:bookmarkEnd w:id="538"/>
    </w:p>
    <w:p w14:paraId="488E3F55" w14:textId="59165E31" w:rsidR="00961DE8" w:rsidRPr="0044337E" w:rsidRDefault="009F577C" w:rsidP="0044337E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5CF95636" wp14:editId="646D4376">
            <wp:extent cx="5734050" cy="3905885"/>
            <wp:effectExtent l="0" t="0" r="0" b="18415"/>
            <wp:docPr id="78" name="Graf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14:paraId="142082A3" w14:textId="77777777" w:rsidR="00553EF5" w:rsidRDefault="00BB0E19" w:rsidP="000F72AB">
      <w:pPr>
        <w:pStyle w:val="Nadpis1"/>
      </w:pPr>
      <w:bookmarkStart w:id="539" w:name="_Toc45513067"/>
      <w:bookmarkStart w:id="540" w:name="_GoBack"/>
      <w:bookmarkEnd w:id="540"/>
      <w:r>
        <w:lastRenderedPageBreak/>
        <w:t>Závěr</w:t>
      </w:r>
      <w:bookmarkEnd w:id="539"/>
    </w:p>
    <w:p w14:paraId="3E406A20" w14:textId="77777777" w:rsidR="00E60A20" w:rsidRDefault="00E60A20" w:rsidP="001D22CB">
      <w:r>
        <w:t xml:space="preserve">Průzkumu zaměstnávání osob se zdravotním postižením se </w:t>
      </w:r>
      <w:r w:rsidRPr="00AB0B81">
        <w:t xml:space="preserve">zúčastnilo </w:t>
      </w:r>
      <w:r w:rsidR="006254C1" w:rsidRPr="00AB0B81">
        <w:t>81</w:t>
      </w:r>
      <w:r w:rsidRPr="00AB0B81">
        <w:t xml:space="preserve"> vybraných úřadů</w:t>
      </w:r>
      <w:r>
        <w:t xml:space="preserve"> státní správy (ministerstva, jejich </w:t>
      </w:r>
      <w:r w:rsidR="00877A73">
        <w:t>organizační složky</w:t>
      </w:r>
      <w:r>
        <w:t xml:space="preserve"> a ústřední orgány státní správy)</w:t>
      </w:r>
      <w:r w:rsidR="002076D2">
        <w:t>, na </w:t>
      </w:r>
      <w:r w:rsidR="00090B24">
        <w:t>základě tabulky a dotazníkového šetření</w:t>
      </w:r>
      <w:r>
        <w:t xml:space="preserve"> bylo zjišťováno, jaká je struktura a forma výkonu práce jednotlivých osob se zdravotním postižením, které jsou v úřadech </w:t>
      </w:r>
      <w:r w:rsidR="00237877">
        <w:t>zaměstnány ve </w:t>
      </w:r>
      <w:r w:rsidR="00877A73">
        <w:t xml:space="preserve">služebním </w:t>
      </w:r>
      <w:r>
        <w:t>a pracovním poměru i na základě dohod o pracích konaných mimo pracovní poměr.</w:t>
      </w:r>
    </w:p>
    <w:p w14:paraId="743A8C45" w14:textId="6982F24C" w:rsidR="00910E61" w:rsidRDefault="00222473" w:rsidP="00910E61">
      <w:r w:rsidRPr="007B543E">
        <w:t xml:space="preserve">Z průzkumu vyplynulo, </w:t>
      </w:r>
      <w:r w:rsidR="00877A73" w:rsidRPr="007B543E">
        <w:t>že v</w:t>
      </w:r>
      <w:r w:rsidR="00F60DE3">
        <w:t> </w:t>
      </w:r>
      <w:r w:rsidR="00877A73" w:rsidRPr="007B543E">
        <w:t>úřadech</w:t>
      </w:r>
      <w:r w:rsidR="00F60DE3">
        <w:t xml:space="preserve"> </w:t>
      </w:r>
      <w:r w:rsidR="00EA7E86">
        <w:t>bylo</w:t>
      </w:r>
      <w:r w:rsidR="00F60DE3">
        <w:t xml:space="preserve"> ve služebním nebo pracovním poměru</w:t>
      </w:r>
      <w:r w:rsidR="00877A73" w:rsidRPr="007B543E">
        <w:t xml:space="preserve"> zaměstnáno </w:t>
      </w:r>
      <w:r w:rsidR="00877A73">
        <w:t>7</w:t>
      </w:r>
      <w:r w:rsidR="00F60DE3">
        <w:t>4</w:t>
      </w:r>
      <w:r w:rsidR="00877A73" w:rsidRPr="004059B7">
        <w:t> </w:t>
      </w:r>
      <w:r w:rsidR="00F60DE3">
        <w:t>599</w:t>
      </w:r>
      <w:r w:rsidR="00877A73" w:rsidRPr="004059B7">
        <w:t xml:space="preserve"> </w:t>
      </w:r>
      <w:r w:rsidR="00B16D14">
        <w:t>osob včetně osob se </w:t>
      </w:r>
      <w:r w:rsidR="00877A73">
        <w:t>zdravotním p</w:t>
      </w:r>
      <w:r w:rsidR="00877A73" w:rsidRPr="00AB0B81">
        <w:t>ostižením</w:t>
      </w:r>
      <w:r w:rsidR="00910E61">
        <w:t xml:space="preserve">, </w:t>
      </w:r>
      <w:r w:rsidR="00877A73" w:rsidRPr="00AB0B81">
        <w:t>5</w:t>
      </w:r>
      <w:r w:rsidR="00F60DE3">
        <w:t>4</w:t>
      </w:r>
      <w:r w:rsidR="00877A73" w:rsidRPr="00AB0B81">
        <w:t> </w:t>
      </w:r>
      <w:r w:rsidR="00F60DE3">
        <w:t>281</w:t>
      </w:r>
      <w:r w:rsidR="00877A73" w:rsidRPr="00AB0B81">
        <w:t xml:space="preserve"> žen a 2</w:t>
      </w:r>
      <w:r w:rsidR="00F60DE3">
        <w:t>0</w:t>
      </w:r>
      <w:r w:rsidR="00877A73" w:rsidRPr="00AB0B81">
        <w:t> </w:t>
      </w:r>
      <w:r w:rsidR="00F60DE3">
        <w:t>318</w:t>
      </w:r>
      <w:r w:rsidR="00877A73" w:rsidRPr="00AB0B81">
        <w:t xml:space="preserve"> mužů</w:t>
      </w:r>
      <w:r w:rsidR="00910E61">
        <w:t>.</w:t>
      </w:r>
      <w:r w:rsidR="00FF33F4">
        <w:t xml:space="preserve"> </w:t>
      </w:r>
      <w:r w:rsidR="00910E61">
        <w:t>N</w:t>
      </w:r>
      <w:r w:rsidR="00FF33F4">
        <w:t>a</w:t>
      </w:r>
      <w:r w:rsidR="00D939F1">
        <w:t> </w:t>
      </w:r>
      <w:r w:rsidR="00FF33F4">
        <w:t xml:space="preserve">základě dohod o pracích konaných mimo pracovní poměr </w:t>
      </w:r>
      <w:r w:rsidR="00EA7E86">
        <w:t xml:space="preserve">bylo </w:t>
      </w:r>
      <w:r w:rsidR="00FF33F4">
        <w:t>zaměstnáno dalších 3 719 osob</w:t>
      </w:r>
      <w:r w:rsidR="00910E61">
        <w:t>, celkový počet zaměstnanců tak činil 78 318</w:t>
      </w:r>
      <w:r w:rsidR="00877A73" w:rsidRPr="00AB0B81">
        <w:t xml:space="preserve">. </w:t>
      </w:r>
    </w:p>
    <w:p w14:paraId="62A4C57C" w14:textId="73BBC72D" w:rsidR="00910E61" w:rsidRDefault="00910E61" w:rsidP="00910E61">
      <w:r>
        <w:rPr>
          <w:color w:val="000000" w:themeColor="text1"/>
        </w:rPr>
        <w:t>P</w:t>
      </w:r>
      <w:r w:rsidR="00B16D14">
        <w:rPr>
          <w:color w:val="000000" w:themeColor="text1"/>
        </w:rPr>
        <w:t>očet zaměstnanců se </w:t>
      </w:r>
      <w:r w:rsidR="007B543E" w:rsidRPr="00AB0B81">
        <w:rPr>
          <w:color w:val="000000" w:themeColor="text1"/>
        </w:rPr>
        <w:t>zdravotním postižením byl</w:t>
      </w:r>
      <w:r w:rsidR="00FF33F4">
        <w:rPr>
          <w:color w:val="000000" w:themeColor="text1"/>
        </w:rPr>
        <w:t xml:space="preserve"> </w:t>
      </w:r>
      <w:r w:rsidR="00FF33F4">
        <w:t>ve služebním nebo pracovním poměru</w:t>
      </w:r>
      <w:r w:rsidR="00FF33F4" w:rsidRPr="007B543E">
        <w:t xml:space="preserve"> </w:t>
      </w:r>
      <w:r w:rsidR="007B543E" w:rsidRPr="00AB0B81">
        <w:rPr>
          <w:color w:val="000000" w:themeColor="text1"/>
        </w:rPr>
        <w:t>1</w:t>
      </w:r>
      <w:r w:rsidR="00543507">
        <w:rPr>
          <w:color w:val="000000" w:themeColor="text1"/>
        </w:rPr>
        <w:t> </w:t>
      </w:r>
      <w:r w:rsidR="007B543E" w:rsidRPr="00AB0B81">
        <w:rPr>
          <w:color w:val="000000" w:themeColor="text1"/>
        </w:rPr>
        <w:t>704</w:t>
      </w:r>
      <w:r w:rsidR="00543507">
        <w:rPr>
          <w:color w:val="000000" w:themeColor="text1"/>
        </w:rPr>
        <w:t>, 1 281 žen a 423 mužů, podíl žen činil 75,2 %.</w:t>
      </w:r>
      <w:r>
        <w:rPr>
          <w:color w:val="000000" w:themeColor="text1"/>
        </w:rPr>
        <w:t xml:space="preserve"> </w:t>
      </w:r>
      <w:r>
        <w:t>Na základě dohod o </w:t>
      </w:r>
      <w:r w:rsidRPr="00AB0B81">
        <w:t>pracích</w:t>
      </w:r>
      <w:r>
        <w:t xml:space="preserve"> konaných mimo pracovní poměr práci vykonávalo dalších</w:t>
      </w:r>
      <w:r>
        <w:rPr>
          <w:i/>
        </w:rPr>
        <w:t xml:space="preserve"> </w:t>
      </w:r>
      <w:r>
        <w:t>37 </w:t>
      </w:r>
      <w:r w:rsidRPr="00AB0B81">
        <w:t>osob</w:t>
      </w:r>
      <w:r>
        <w:t xml:space="preserve"> se zdravotním postižením. </w:t>
      </w:r>
    </w:p>
    <w:p w14:paraId="1508A453" w14:textId="51D37A2B" w:rsidR="007B543E" w:rsidRPr="00EA7E86" w:rsidRDefault="00910E61" w:rsidP="001D22CB">
      <w:pPr>
        <w:rPr>
          <w:color w:val="000000" w:themeColor="text1"/>
        </w:rPr>
      </w:pPr>
      <w:r>
        <w:rPr>
          <w:color w:val="000000" w:themeColor="text1"/>
        </w:rPr>
        <w:t>Podíl osob se zdravotním postižením, které prac</w:t>
      </w:r>
      <w:r w:rsidR="00EA7E86">
        <w:rPr>
          <w:color w:val="000000" w:themeColor="text1"/>
        </w:rPr>
        <w:t>oval</w:t>
      </w:r>
      <w:r w:rsidR="00C8733D">
        <w:rPr>
          <w:color w:val="000000" w:themeColor="text1"/>
        </w:rPr>
        <w:t>y</w:t>
      </w:r>
      <w:r>
        <w:rPr>
          <w:color w:val="000000" w:themeColor="text1"/>
        </w:rPr>
        <w:t xml:space="preserve"> v</w:t>
      </w:r>
      <w:r w:rsidR="00EA7E86">
        <w:rPr>
          <w:color w:val="000000" w:themeColor="text1"/>
        </w:rPr>
        <w:t> </w:t>
      </w:r>
      <w:r>
        <w:rPr>
          <w:color w:val="000000" w:themeColor="text1"/>
        </w:rPr>
        <w:t>úřadech</w:t>
      </w:r>
      <w:r w:rsidR="00EA7E86">
        <w:rPr>
          <w:color w:val="000000" w:themeColor="text1"/>
        </w:rPr>
        <w:t xml:space="preserve"> ve služebním nebo pracovním poměru</w:t>
      </w:r>
      <w:r>
        <w:rPr>
          <w:color w:val="000000" w:themeColor="text1"/>
        </w:rPr>
        <w:t>,</w:t>
      </w:r>
      <w:r w:rsidR="00EA7E86">
        <w:rPr>
          <w:color w:val="000000" w:themeColor="text1"/>
        </w:rPr>
        <w:t xml:space="preserve"> činil</w:t>
      </w:r>
      <w:r w:rsidR="007B543E" w:rsidRPr="00AB0B81">
        <w:rPr>
          <w:color w:val="000000" w:themeColor="text1"/>
        </w:rPr>
        <w:t xml:space="preserve"> 2,2</w:t>
      </w:r>
      <w:r w:rsidR="00F60DE3">
        <w:rPr>
          <w:color w:val="000000" w:themeColor="text1"/>
        </w:rPr>
        <w:t>2</w:t>
      </w:r>
      <w:r w:rsidR="007B543E" w:rsidRPr="00AB0B81">
        <w:rPr>
          <w:color w:val="000000" w:themeColor="text1"/>
        </w:rPr>
        <w:t xml:space="preserve"> %.</w:t>
      </w:r>
      <w:r w:rsidR="00EA7E86">
        <w:rPr>
          <w:color w:val="000000" w:themeColor="text1"/>
        </w:rPr>
        <w:t xml:space="preserve"> </w:t>
      </w:r>
      <w:r w:rsidR="007B543E" w:rsidRPr="00AB0B81">
        <w:t xml:space="preserve">V jednotlivých ministerstvech </w:t>
      </w:r>
      <w:r w:rsidR="00EA7E86">
        <w:t>byl</w:t>
      </w:r>
      <w:r w:rsidR="007B543E" w:rsidRPr="00AB0B81">
        <w:t xml:space="preserve"> tento podíl 1,33 %, v jejich organizačních složkách 2,65 % a v ústředních orgánech státní správy 2,08 %.</w:t>
      </w:r>
    </w:p>
    <w:p w14:paraId="0794D2D5" w14:textId="20832C6D" w:rsidR="00F60DE3" w:rsidRDefault="007B543E" w:rsidP="001D22CB">
      <w:r w:rsidRPr="00AB0B81">
        <w:t xml:space="preserve">Ve služebním poměru bylo 73,8 % </w:t>
      </w:r>
      <w:r w:rsidR="00237877">
        <w:t>osob se zdravotním postižením</w:t>
      </w:r>
      <w:r w:rsidRPr="00AB0B81">
        <w:t xml:space="preserve"> (15,5 % využívalo kratší </w:t>
      </w:r>
      <w:r w:rsidRPr="0004622D">
        <w:t>služební dobu) a 25 % bylo v pracovním poměru (19,5 % pr</w:t>
      </w:r>
      <w:r w:rsidR="00237877" w:rsidRPr="0004622D">
        <w:t>acovalo na zkrácený úvazek)</w:t>
      </w:r>
      <w:r w:rsidR="0004622D" w:rsidRPr="0004622D">
        <w:t xml:space="preserve">. </w:t>
      </w:r>
      <w:r w:rsidR="00BB2EAF">
        <w:t>O</w:t>
      </w:r>
      <w:r w:rsidR="00BB2EAF" w:rsidRPr="0004622D">
        <w:t xml:space="preserve">statní zaměstnanci </w:t>
      </w:r>
      <w:r w:rsidR="00BB2EAF">
        <w:t>využívali</w:t>
      </w:r>
      <w:r w:rsidR="00BB2EAF" w:rsidRPr="0004622D">
        <w:t xml:space="preserve"> kratší služební/pracovní dobu v 6,9 % a 9,1 %. </w:t>
      </w:r>
      <w:r w:rsidR="0004622D" w:rsidRPr="0004622D">
        <w:t xml:space="preserve">Ze zjištění </w:t>
      </w:r>
      <w:r w:rsidR="00652BB1">
        <w:t xml:space="preserve">tedy </w:t>
      </w:r>
      <w:r w:rsidR="0004622D" w:rsidRPr="0004622D">
        <w:t>vypl</w:t>
      </w:r>
      <w:r w:rsidR="00652BB1">
        <w:t>ynulo</w:t>
      </w:r>
      <w:r w:rsidR="0004622D" w:rsidRPr="0004622D">
        <w:t>, že OZP prac</w:t>
      </w:r>
      <w:r w:rsidR="00C8733D">
        <w:t>ovaly</w:t>
      </w:r>
      <w:r w:rsidR="0004622D" w:rsidRPr="0004622D">
        <w:t xml:space="preserve"> na zkrácený úvazek</w:t>
      </w:r>
      <w:r w:rsidR="00AE4CA4">
        <w:rPr>
          <w:vertAlign w:val="superscript"/>
        </w:rPr>
        <w:t xml:space="preserve"> </w:t>
      </w:r>
      <w:r w:rsidR="0004622D" w:rsidRPr="0004622D">
        <w:t>přibližně 2x častěji</w:t>
      </w:r>
      <w:r w:rsidR="00BB2EAF">
        <w:t xml:space="preserve"> než ostatní zaměstnanci.</w:t>
      </w:r>
    </w:p>
    <w:p w14:paraId="1921BD99" w14:textId="38997CEC" w:rsidR="00122218" w:rsidRPr="00EA7E86" w:rsidRDefault="00122218" w:rsidP="001D22CB">
      <w:r w:rsidRPr="00AB0B81">
        <w:t xml:space="preserve">Z celkového počtu zaměstnaných OZP </w:t>
      </w:r>
      <w:r w:rsidR="00EA7E86">
        <w:t>byly</w:t>
      </w:r>
      <w:r w:rsidRPr="00AB0B81">
        <w:t xml:space="preserve"> nejvíce zastoupeny osoby s uznaným prvním stupněm invalidity (61,5 %), z nichž většinu tvoř</w:t>
      </w:r>
      <w:r w:rsidR="000550A9">
        <w:t>ily</w:t>
      </w:r>
      <w:r w:rsidRPr="00AB0B81">
        <w:t xml:space="preserve"> ženy (77,5 %). Nejpočetnější skupinou </w:t>
      </w:r>
      <w:r w:rsidR="00EA7E86">
        <w:t>byly</w:t>
      </w:r>
      <w:r w:rsidRPr="00AB0B81">
        <w:t xml:space="preserve"> osoby s uznaným prvním stupněm invalidity ve služebním poměru, jejichž podíl tvoř</w:t>
      </w:r>
      <w:r w:rsidR="00EA7E86">
        <w:t>il</w:t>
      </w:r>
      <w:r w:rsidRPr="00AB0B81">
        <w:t xml:space="preserve"> téměř 47 % všech zaměstnanců se zdravotním postižením ve státní správě.</w:t>
      </w:r>
    </w:p>
    <w:p w14:paraId="3E735359" w14:textId="5A947920" w:rsidR="00122218" w:rsidRPr="00AB0B81" w:rsidRDefault="00122218" w:rsidP="001D22CB">
      <w:r w:rsidRPr="00AB0B81">
        <w:t>Zkrácené pracovní doby využíva</w:t>
      </w:r>
      <w:r w:rsidR="00EA7E86">
        <w:t>li</w:t>
      </w:r>
      <w:r w:rsidRPr="00AB0B81">
        <w:t xml:space="preserve"> nejvíce lidé s uznaným druhým stupněm invalidity, a to ve</w:t>
      </w:r>
      <w:r w:rsidR="005B423A">
        <w:t> </w:t>
      </w:r>
      <w:r w:rsidRPr="00AB0B81">
        <w:t>26,4 % (v pracovním poměru podíl v rámci této skupiny dosahuje dokonce 32,9 %</w:t>
      </w:r>
      <w:r w:rsidR="009B5C40" w:rsidRPr="00AB0B81">
        <w:t>).</w:t>
      </w:r>
    </w:p>
    <w:p w14:paraId="69516315" w14:textId="4773EC22" w:rsidR="009B5C40" w:rsidRPr="00592171" w:rsidRDefault="009B5C40" w:rsidP="001D22CB">
      <w:pPr>
        <w:rPr>
          <w:bCs/>
        </w:rPr>
      </w:pPr>
      <w:r w:rsidRPr="00AB0B81">
        <w:t xml:space="preserve">Z celkového počtu zaměstnanců se zdravotním postižením </w:t>
      </w:r>
      <w:r w:rsidR="00EA7E86">
        <w:t>bylo</w:t>
      </w:r>
      <w:r w:rsidRPr="00AB0B81">
        <w:t xml:space="preserve"> 54 % </w:t>
      </w:r>
      <w:r w:rsidR="0033573D" w:rsidRPr="00AB0B81">
        <w:t>osob</w:t>
      </w:r>
      <w:r w:rsidRPr="00AB0B81">
        <w:t xml:space="preserve"> zařazeno do 9–10 platové třídy (772 ve služebním poměru, 151 v pracovním poměru), poté následuje 8–9 platová třída s 15 % OZP a 11–12 se 14 %. Kratší úvazek využíval nejvyšší podíl osob ve 13–14 platové třídě, jejich podíl dosahoval téměř 30 %. V 15–16 platové třídě neměl zkrácenou služební či pracovní dobu žádný zaměstnanec, a to i přes to, že v této skupině byly 3 osoby s uznaným třetím stupněm invalidity. Nejpočetnější skupinou, při porovnání </w:t>
      </w:r>
      <w:r w:rsidRPr="00AB0B81">
        <w:lastRenderedPageBreak/>
        <w:t>podílu zaměstnanců se zdravotním postižením dle stupně invalidity a zařazení do platové tříd</w:t>
      </w:r>
      <w:r w:rsidRPr="00592171">
        <w:rPr>
          <w:bCs/>
        </w:rPr>
        <w:t>y, jsou zaměstnanci s uznaným prvním stupněm invalidity v 9–10 platové třídě (36,4</w:t>
      </w:r>
      <w:r w:rsidR="00327BB4" w:rsidRPr="00592171">
        <w:rPr>
          <w:bCs/>
        </w:rPr>
        <w:t> </w:t>
      </w:r>
      <w:r w:rsidRPr="00592171">
        <w:rPr>
          <w:bCs/>
        </w:rPr>
        <w:t>%).</w:t>
      </w:r>
    </w:p>
    <w:p w14:paraId="72531017" w14:textId="77777777" w:rsidR="00592171" w:rsidRPr="00592171" w:rsidRDefault="00592171" w:rsidP="001D22CB">
      <w:r w:rsidRPr="00592171">
        <w:t xml:space="preserve">Nejtypičtějším zaměstnancem se zdravotním postižením ve státní správě je </w:t>
      </w:r>
      <w:r>
        <w:t xml:space="preserve">tak </w:t>
      </w:r>
      <w:r w:rsidRPr="00592171">
        <w:t>žena s uznaným prvním stupněm invalidity pracující v organizační složce ministerstva ve služebním poměru s nezkrácenou služební dobou a zařaze</w:t>
      </w:r>
      <w:r>
        <w:t xml:space="preserve">ná do 9 nebo 10 platové třídy. </w:t>
      </w:r>
    </w:p>
    <w:p w14:paraId="779D3F08" w14:textId="77777777" w:rsidR="004D6231" w:rsidRDefault="00AB0B81" w:rsidP="001D22CB">
      <w:r w:rsidRPr="001A1EB8">
        <w:t xml:space="preserve">V rámci dotazníkového šetření, které bylo součástí průzkumu a </w:t>
      </w:r>
      <w:r w:rsidR="00FE5868">
        <w:t xml:space="preserve">do </w:t>
      </w:r>
      <w:r w:rsidRPr="001A1EB8">
        <w:t>kterého se z</w:t>
      </w:r>
      <w:r w:rsidR="00FE5868">
        <w:t>apojilo</w:t>
      </w:r>
      <w:r w:rsidR="00CF0FDD">
        <w:t xml:space="preserve"> 78 </w:t>
      </w:r>
      <w:r w:rsidRPr="001A1EB8">
        <w:t xml:space="preserve">úřadů, bylo zjištěno, že je většina úřadů </w:t>
      </w:r>
      <w:r w:rsidR="00E901AC">
        <w:t xml:space="preserve">alespoň </w:t>
      </w:r>
      <w:r w:rsidRPr="001A1EB8">
        <w:t>částečně</w:t>
      </w:r>
      <w:r w:rsidR="00CF0FDD">
        <w:t xml:space="preserve"> bezbariérově</w:t>
      </w:r>
      <w:r w:rsidRPr="001A1EB8">
        <w:t xml:space="preserve"> přístupná, </w:t>
      </w:r>
      <w:r w:rsidR="00CF0FDD">
        <w:t>resorty plánují v </w:t>
      </w:r>
      <w:r w:rsidRPr="001A1EB8">
        <w:t>odstraňování bariér pokračovat tak, aby byl pl</w:t>
      </w:r>
      <w:r w:rsidR="004D6231">
        <w:t>ně zajištěn přístup a pohyb po </w:t>
      </w:r>
      <w:r w:rsidRPr="001A1EB8">
        <w:t>budovách i pro osoby se sníženou schopností pohybu nebo orientace včetně dostatečné kapacity vyhrazených parkovacích stání</w:t>
      </w:r>
      <w:r w:rsidR="00CF0FDD">
        <w:t>.</w:t>
      </w:r>
      <w:r w:rsidRPr="001A1EB8">
        <w:t xml:space="preserve"> </w:t>
      </w:r>
    </w:p>
    <w:p w14:paraId="66881FB3" w14:textId="77777777" w:rsidR="001A1EB8" w:rsidRDefault="001A1EB8" w:rsidP="001D22CB">
      <w:r w:rsidRPr="001A1EB8">
        <w:t xml:space="preserve">Ze zjištění </w:t>
      </w:r>
      <w:r>
        <w:t>také</w:t>
      </w:r>
      <w:r w:rsidRPr="001A1EB8">
        <w:t xml:space="preserve"> vyplynulo, že většina úřadů nemá </w:t>
      </w:r>
      <w:r>
        <w:t xml:space="preserve">samostatně vyčleněnou </w:t>
      </w:r>
      <w:r w:rsidRPr="001A1EB8">
        <w:t>agendu n</w:t>
      </w:r>
      <w:r w:rsidR="004D6231">
        <w:t>a </w:t>
      </w:r>
      <w:r w:rsidRPr="001A1EB8">
        <w:t>podporu zaměstnávání osob se zdravotním postižením</w:t>
      </w:r>
      <w:r>
        <w:t xml:space="preserve">, </w:t>
      </w:r>
      <w:r w:rsidRPr="001A1EB8">
        <w:t xml:space="preserve">nemapuje </w:t>
      </w:r>
      <w:r>
        <w:t>služební/pracovní</w:t>
      </w:r>
      <w:r w:rsidRPr="001A1EB8">
        <w:t xml:space="preserve"> míst</w:t>
      </w:r>
      <w:r>
        <w:t>a vhodná</w:t>
      </w:r>
      <w:r w:rsidRPr="001A1EB8">
        <w:t xml:space="preserve"> pro OZP a zveřejňuje inzerci pouze na</w:t>
      </w:r>
      <w:r>
        <w:t> stránkách úřadu a na </w:t>
      </w:r>
      <w:r w:rsidRPr="001A1EB8">
        <w:t xml:space="preserve">portálu </w:t>
      </w:r>
      <w:proofErr w:type="spellStart"/>
      <w:r w:rsidRPr="001A1EB8">
        <w:t>I</w:t>
      </w:r>
      <w:r w:rsidR="008907AC">
        <w:t>So</w:t>
      </w:r>
      <w:r w:rsidRPr="001A1EB8">
        <w:t>SS</w:t>
      </w:r>
      <w:proofErr w:type="spellEnd"/>
      <w:r w:rsidR="00544DF0">
        <w:t>.</w:t>
      </w:r>
    </w:p>
    <w:p w14:paraId="0F34F15E" w14:textId="77777777" w:rsidR="00B54D6F" w:rsidRDefault="001A1EB8" w:rsidP="001D22CB">
      <w:pPr>
        <w:rPr>
          <w:bCs/>
        </w:rPr>
      </w:pPr>
      <w:r>
        <w:t>Mezi pozitivní zjištění patří skutečnost, že žádný úřad nevyhodnotit míru fluktuace zaměstnanců se zdravotním postižením jako vyšší, mnohé z nich naopak uvedly, že tito zaměstnanci patří mezi zaměstnance stabilnější a mnohdy v úřadě setrvají po celou dobu své pracovní kariéry.</w:t>
      </w:r>
    </w:p>
    <w:p w14:paraId="7D1C66BB" w14:textId="00BACA4F" w:rsidR="00F64F8B" w:rsidRDefault="00376A7B" w:rsidP="001D22CB">
      <w:r>
        <w:t xml:space="preserve">Jako </w:t>
      </w:r>
      <w:r w:rsidR="00EB39F3">
        <w:t xml:space="preserve">možná </w:t>
      </w:r>
      <w:r w:rsidR="00B54D6F">
        <w:t xml:space="preserve">opatření </w:t>
      </w:r>
      <w:r w:rsidR="00AB0B81">
        <w:t xml:space="preserve">ke zvýšení zaměstnanosti OZP </w:t>
      </w:r>
      <w:r>
        <w:t>úřady</w:t>
      </w:r>
      <w:r w:rsidR="00812A73">
        <w:t xml:space="preserve"> mimo zajištění </w:t>
      </w:r>
      <w:r w:rsidR="00E901AC">
        <w:t xml:space="preserve">bezbariérové </w:t>
      </w:r>
      <w:r w:rsidR="00812A73">
        <w:t>přístupnosti</w:t>
      </w:r>
      <w:r>
        <w:t xml:space="preserve"> </w:t>
      </w:r>
      <w:r w:rsidR="00E901AC">
        <w:t xml:space="preserve">budov </w:t>
      </w:r>
      <w:r w:rsidR="00CF0FDD">
        <w:t xml:space="preserve">včetně </w:t>
      </w:r>
      <w:r w:rsidR="00CF0FDD" w:rsidRPr="001A1EB8">
        <w:t>přizpůsobení pracovníh</w:t>
      </w:r>
      <w:r w:rsidR="00CF0FDD">
        <w:t xml:space="preserve">o místa a pracovní doby specifickým potřebám zaměstnance </w:t>
      </w:r>
      <w:r w:rsidR="004D6231">
        <w:t xml:space="preserve">nejčastěji </w:t>
      </w:r>
      <w:r w:rsidR="00EB39F3">
        <w:t xml:space="preserve">zmiňovaly </w:t>
      </w:r>
      <w:r w:rsidR="00B54D6F">
        <w:t xml:space="preserve">informování žadatelů v rámci nabídek zaměstnání o tom, že místo je vhodné i pro </w:t>
      </w:r>
      <w:r w:rsidR="00915763">
        <w:t>osoby se zdravotním postižením,</w:t>
      </w:r>
      <w:r w:rsidR="00544DF0">
        <w:t xml:space="preserve"> </w:t>
      </w:r>
      <w:r w:rsidR="00EB39F3">
        <w:t xml:space="preserve">rozšíření </w:t>
      </w:r>
      <w:r w:rsidR="00B54D6F">
        <w:t>zveřejňování inzerátů na v</w:t>
      </w:r>
      <w:r w:rsidR="002F72CB">
        <w:t>íce různých inzertních portálech</w:t>
      </w:r>
      <w:r w:rsidR="00915763">
        <w:t xml:space="preserve"> či šíření příkladů dobré praxe</w:t>
      </w:r>
      <w:r w:rsidR="00544DF0">
        <w:t>.</w:t>
      </w:r>
    </w:p>
    <w:p w14:paraId="18EFD879" w14:textId="44504E09" w:rsidR="00A14324" w:rsidRDefault="00A14324">
      <w:pPr>
        <w:spacing w:before="0" w:after="200" w:line="276" w:lineRule="auto"/>
        <w:jc w:val="left"/>
      </w:pPr>
      <w:r>
        <w:br w:type="page"/>
      </w:r>
    </w:p>
    <w:p w14:paraId="57CE7776" w14:textId="412B8AF8" w:rsidR="00A14324" w:rsidRPr="00A14324" w:rsidRDefault="00A14324" w:rsidP="000F72AB">
      <w:pPr>
        <w:pStyle w:val="Nadpis1"/>
        <w:numPr>
          <w:ilvl w:val="0"/>
          <w:numId w:val="0"/>
        </w:numPr>
        <w:ind w:left="432"/>
      </w:pPr>
      <w:bookmarkStart w:id="541" w:name="_Toc45513068"/>
      <w:r w:rsidRPr="00A14324">
        <w:lastRenderedPageBreak/>
        <w:t>Seznam tabulek</w:t>
      </w:r>
      <w:bookmarkEnd w:id="541"/>
    </w:p>
    <w:p w14:paraId="3BFFE891" w14:textId="7FF54891" w:rsidR="00A14324" w:rsidRDefault="00A14324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45482647" w:history="1">
        <w:r w:rsidRPr="000B5674">
          <w:rPr>
            <w:rStyle w:val="Hypertextovodkaz"/>
            <w:noProof/>
          </w:rPr>
          <w:t>Tabulka 1 Rozdělení počtu zaměstnanců dle druhu zaměstnaneckého poměru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_Toc45482647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389D1A6" w14:textId="6664899E" w:rsidR="00A14324" w:rsidRDefault="005C63A5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482648" w:history="1">
        <w:r w:rsidR="00A14324" w:rsidRPr="000B5674">
          <w:rPr>
            <w:rStyle w:val="Hypertextovodkaz"/>
            <w:noProof/>
          </w:rPr>
          <w:t>Tabulka 2 Rozdělení počtu zaměstnanců dle uznaného stupně invalidity a druhu zaměstnaneckého poměru</w:t>
        </w:r>
        <w:r w:rsidR="00A14324">
          <w:rPr>
            <w:noProof/>
            <w:webHidden/>
          </w:rPr>
          <w:tab/>
        </w:r>
        <w:r w:rsidR="00A14324">
          <w:rPr>
            <w:noProof/>
            <w:webHidden/>
          </w:rPr>
          <w:fldChar w:fldCharType="begin"/>
        </w:r>
        <w:r w:rsidR="00A14324">
          <w:rPr>
            <w:noProof/>
            <w:webHidden/>
          </w:rPr>
          <w:instrText xml:space="preserve"> PAGEREF _Toc45482648 \h </w:instrText>
        </w:r>
        <w:r w:rsidR="00A14324">
          <w:rPr>
            <w:noProof/>
            <w:webHidden/>
          </w:rPr>
        </w:r>
        <w:r w:rsidR="00A14324"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24</w:t>
        </w:r>
        <w:r w:rsidR="00A14324">
          <w:rPr>
            <w:noProof/>
            <w:webHidden/>
          </w:rPr>
          <w:fldChar w:fldCharType="end"/>
        </w:r>
      </w:hyperlink>
    </w:p>
    <w:p w14:paraId="393CB861" w14:textId="3C6D644F" w:rsidR="00A14324" w:rsidRDefault="005C63A5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482649" w:history="1">
        <w:r w:rsidR="00A14324" w:rsidRPr="000B5674">
          <w:rPr>
            <w:rStyle w:val="Hypertextovodkaz"/>
            <w:noProof/>
          </w:rPr>
          <w:t>Tabulka 3 Rozdělení počtu zaměstnanců – OZP dle druhu zaměstnaneckého poměru a platových tříd</w:t>
        </w:r>
        <w:r w:rsidR="00A14324">
          <w:rPr>
            <w:noProof/>
            <w:webHidden/>
          </w:rPr>
          <w:tab/>
        </w:r>
        <w:r w:rsidR="00A14324">
          <w:rPr>
            <w:noProof/>
            <w:webHidden/>
          </w:rPr>
          <w:fldChar w:fldCharType="begin"/>
        </w:r>
        <w:r w:rsidR="00A14324">
          <w:rPr>
            <w:noProof/>
            <w:webHidden/>
          </w:rPr>
          <w:instrText xml:space="preserve"> PAGEREF _Toc45482649 \h </w:instrText>
        </w:r>
        <w:r w:rsidR="00A14324">
          <w:rPr>
            <w:noProof/>
            <w:webHidden/>
          </w:rPr>
        </w:r>
        <w:r w:rsidR="00A14324"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35</w:t>
        </w:r>
        <w:r w:rsidR="00A14324">
          <w:rPr>
            <w:noProof/>
            <w:webHidden/>
          </w:rPr>
          <w:fldChar w:fldCharType="end"/>
        </w:r>
      </w:hyperlink>
    </w:p>
    <w:p w14:paraId="2DCB1FEA" w14:textId="2E689838" w:rsidR="00A14324" w:rsidRDefault="00A14324" w:rsidP="000F72AB">
      <w:pPr>
        <w:pStyle w:val="Nadpis1"/>
        <w:numPr>
          <w:ilvl w:val="0"/>
          <w:numId w:val="0"/>
        </w:numPr>
        <w:ind w:left="432"/>
      </w:pPr>
      <w:r>
        <w:fldChar w:fldCharType="end"/>
      </w:r>
      <w:bookmarkStart w:id="542" w:name="_Toc45513069"/>
      <w:r>
        <w:t>Seznam grafů</w:t>
      </w:r>
      <w:bookmarkEnd w:id="542"/>
    </w:p>
    <w:p w14:paraId="10B97F14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"Graf" </w:instrText>
      </w:r>
      <w:r>
        <w:fldChar w:fldCharType="separate"/>
      </w:r>
      <w:hyperlink w:anchor="_Toc45512976" w:history="1">
        <w:r w:rsidRPr="00ED4E8B">
          <w:rPr>
            <w:rStyle w:val="Hypertextovodkaz"/>
            <w:noProof/>
          </w:rPr>
          <w:t>Graf 1 Podíl osob se zdravotním postižením z celkového počtu obyvatel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74CD31F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77" w:history="1">
        <w:r w:rsidRPr="00ED4E8B">
          <w:rPr>
            <w:rStyle w:val="Hypertextovodkaz"/>
            <w:noProof/>
          </w:rPr>
          <w:t>Graf 2 Podíl osob se zdravotním postižením z celkového počtu obyvatel podle věku a pohlaví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94C1BBA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78" w:history="1">
        <w:r w:rsidRPr="00ED4E8B">
          <w:rPr>
            <w:rStyle w:val="Hypertextovodkaz"/>
            <w:noProof/>
          </w:rPr>
          <w:t>Graf 3 Dosažené vzdělání osob se zdravotním postižením a obyvatelstva celkem ve věku 35–49 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D06712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79" w:history="1">
        <w:r w:rsidRPr="00ED4E8B">
          <w:rPr>
            <w:rStyle w:val="Hypertextovodkaz"/>
            <w:noProof/>
          </w:rPr>
          <w:t>Graf 4 Osoby se zdravotním postižením podle práce a důchodu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10ECF5E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0" w:history="1">
        <w:r w:rsidRPr="00ED4E8B">
          <w:rPr>
            <w:rStyle w:val="Hypertextovodkaz"/>
            <w:noProof/>
          </w:rPr>
          <w:t>Graf 5 Celkový počet zaměstnanců v úřadech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0361AF9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1" w:history="1">
        <w:r w:rsidRPr="00ED4E8B">
          <w:rPr>
            <w:rStyle w:val="Hypertextovodkaz"/>
            <w:noProof/>
          </w:rPr>
          <w:t>Graf 6 Celkový počet zaměstnanců v úřadech – podíl žen a mužů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6B5836B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2" w:history="1">
        <w:r w:rsidRPr="00ED4E8B">
          <w:rPr>
            <w:rStyle w:val="Hypertextovodkaz"/>
            <w:noProof/>
          </w:rPr>
          <w:t>Graf 7 Celkový počet zaměstnanců dle druhu úřadu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C7F8C39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3" w:history="1">
        <w:r w:rsidRPr="00ED4E8B">
          <w:rPr>
            <w:rStyle w:val="Hypertextovodkaz"/>
            <w:noProof/>
          </w:rPr>
          <w:t>Graf 8 Počet zaměstnanců – ministerstva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4330CD9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4" w:history="1">
        <w:r w:rsidRPr="00ED4E8B">
          <w:rPr>
            <w:rStyle w:val="Hypertextovodkaz"/>
            <w:noProof/>
          </w:rPr>
          <w:t>Graf 9 Počet zaměstnanců – ministerstva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580A5C5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5" w:history="1">
        <w:r w:rsidRPr="00ED4E8B">
          <w:rPr>
            <w:rStyle w:val="Hypertextovodkaz"/>
            <w:noProof/>
          </w:rPr>
          <w:t>Graf 10 Počet zaměstnanců – ústřední orgány státní správy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3642E3D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6" w:history="1">
        <w:r w:rsidRPr="00ED4E8B">
          <w:rPr>
            <w:rStyle w:val="Hypertextovodkaz"/>
            <w:noProof/>
          </w:rPr>
          <w:t>Graf 11 Počet zaměstnanců dle úřadu a druhu zaměstnaneckého poměru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54EB26D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7" w:history="1">
        <w:r w:rsidRPr="00ED4E8B">
          <w:rPr>
            <w:rStyle w:val="Hypertextovodkaz"/>
            <w:noProof/>
          </w:rPr>
          <w:t>Graf 12 Podíl osob se zdravotním postižením ve státní správě ve služebním a pracovním poměru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71FD863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8" w:history="1">
        <w:r w:rsidRPr="00ED4E8B">
          <w:rPr>
            <w:rStyle w:val="Hypertextovodkaz"/>
            <w:noProof/>
          </w:rPr>
          <w:t>Graf 13 Počet OZP ve státní správě dle druhu úřadu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BBD312B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89" w:history="1">
        <w:r w:rsidRPr="00ED4E8B">
          <w:rPr>
            <w:rStyle w:val="Hypertextovodkaz"/>
            <w:noProof/>
          </w:rPr>
          <w:t>Graf 14 Podíl OZP dle druhu úřadu a délky úvazku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4142B58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0" w:history="1">
        <w:r w:rsidRPr="00ED4E8B">
          <w:rPr>
            <w:rStyle w:val="Hypertextovodkaz"/>
            <w:noProof/>
          </w:rPr>
          <w:t>Graf 15 Počet OZP – ministerstva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4CF9806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1" w:history="1">
        <w:r w:rsidRPr="00ED4E8B">
          <w:rPr>
            <w:rStyle w:val="Hypertextovodkaz"/>
            <w:noProof/>
          </w:rPr>
          <w:t>Graf 16 Počet OZP – organizační složky ministerstev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B07FBD8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2" w:history="1">
        <w:r w:rsidRPr="00ED4E8B">
          <w:rPr>
            <w:rStyle w:val="Hypertextovodkaz"/>
            <w:noProof/>
          </w:rPr>
          <w:t>Graf 17 Počet OZP – ústřední orgány státní správy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C5542E5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3" w:history="1">
        <w:r w:rsidRPr="00ED4E8B">
          <w:rPr>
            <w:rStyle w:val="Hypertextovodkaz"/>
            <w:noProof/>
          </w:rPr>
          <w:t>Graf 18 Počet OZP dle uznaného stupně invalidity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DF4123A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4" w:history="1">
        <w:r w:rsidRPr="00ED4E8B">
          <w:rPr>
            <w:rStyle w:val="Hypertextovodkaz"/>
            <w:noProof/>
          </w:rPr>
          <w:t>Graf 19 Podíl žen dle uznaného stupně invalidity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76BF609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5" w:history="1">
        <w:r w:rsidRPr="00ED4E8B">
          <w:rPr>
            <w:rStyle w:val="Hypertextovodkaz"/>
            <w:noProof/>
          </w:rPr>
          <w:t>Graf 20 Podíl mužů dle uznaného stupně invalidity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3CAB59A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6" w:history="1">
        <w:r w:rsidRPr="00ED4E8B">
          <w:rPr>
            <w:rStyle w:val="Hypertextovodkaz"/>
            <w:noProof/>
          </w:rPr>
          <w:t>Graf 21 Porovnání podílu žen a mužů dle uznaného stupně invalidity; menší kruh znázorňuje ženy, větší kruh muže.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2A591DE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7" w:history="1">
        <w:r w:rsidRPr="00ED4E8B">
          <w:rPr>
            <w:rStyle w:val="Hypertextovodkaz"/>
            <w:noProof/>
          </w:rPr>
          <w:t>Graf 22 Počet OZP dle uznaného stupně invalidity v úřadech a druhu zaměstnaneckého poměru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4D9989D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8" w:history="1">
        <w:r w:rsidRPr="00ED4E8B">
          <w:rPr>
            <w:rStyle w:val="Hypertextovodkaz"/>
            <w:noProof/>
          </w:rPr>
          <w:t>Graf 23 Podíl OZP s kratší služební/pracovní dobou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AC083E5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2999" w:history="1">
        <w:r w:rsidRPr="00ED4E8B">
          <w:rPr>
            <w:rStyle w:val="Hypertextovodkaz"/>
            <w:noProof/>
          </w:rPr>
          <w:t>Graf 24 Počet OZP dle uznaného stupně invalidity na ministerstvech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690D643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0" w:history="1">
        <w:r w:rsidRPr="00ED4E8B">
          <w:rPr>
            <w:rStyle w:val="Hypertextovodkaz"/>
            <w:noProof/>
          </w:rPr>
          <w:t xml:space="preserve">Graf 25 Podíl OZP se zkráceným úvazkem dle uznaného stupně invalidity </w:t>
        </w:r>
        <w:r w:rsidRPr="00ED4E8B">
          <w:rPr>
            <w:rStyle w:val="Hypertextovodkaz"/>
            <w:noProof/>
          </w:rPr>
          <w:t>na ministerstvech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D789BAA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1" w:history="1">
        <w:r w:rsidRPr="00ED4E8B">
          <w:rPr>
            <w:rStyle w:val="Hypertextovodkaz"/>
            <w:noProof/>
          </w:rPr>
          <w:t>Graf 26 Počet OZP dle uznaného stupně invalidity v organizačních složkách ministerstev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6F87BA2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2" w:history="1">
        <w:r w:rsidRPr="00ED4E8B">
          <w:rPr>
            <w:rStyle w:val="Hypertextovodkaz"/>
            <w:noProof/>
          </w:rPr>
          <w:t>Graf 27 Podíl OZP se zkráceným úvazkem dle uznaného stupně invalidity v organizačních složkách ministerstev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5ABDC80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3" w:history="1">
        <w:r w:rsidRPr="00ED4E8B">
          <w:rPr>
            <w:rStyle w:val="Hypertextovodkaz"/>
            <w:noProof/>
          </w:rPr>
          <w:t>Graf 28 Počet OZP dle uznaného stupně invalidity v ústředních orgánech státní správy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D3714DC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4" w:history="1">
        <w:r w:rsidRPr="00ED4E8B">
          <w:rPr>
            <w:rStyle w:val="Hypertextovodkaz"/>
            <w:noProof/>
          </w:rPr>
          <w:t>Graf 29 Podíl OZP se zkráceným úvazkem dle uznaného stupně invalidity v organizačních složkách ministerstev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5280727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5" w:history="1">
        <w:r w:rsidRPr="00ED4E8B">
          <w:rPr>
            <w:rStyle w:val="Hypertextovodkaz"/>
            <w:noProof/>
          </w:rPr>
          <w:t>Graf 30 Podíl OZP dle platových tříd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BA724BB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6" w:history="1">
        <w:r w:rsidRPr="00ED4E8B">
          <w:rPr>
            <w:rStyle w:val="Hypertextovodkaz"/>
            <w:noProof/>
          </w:rPr>
          <w:t>Graf 31 Podíl žen a mužů se zdravotním postižením dle zařazení do platových tříd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638F14E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7" w:history="1">
        <w:r w:rsidRPr="00ED4E8B">
          <w:rPr>
            <w:rStyle w:val="Hypertextovodkaz"/>
            <w:noProof/>
          </w:rPr>
          <w:t>Graf 32 Počet OZP dle druhu zaměstnaneckého poměru a zařazení do platové třídy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18DE8DF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8" w:history="1">
        <w:r w:rsidRPr="00ED4E8B">
          <w:rPr>
            <w:rStyle w:val="Hypertextovodkaz"/>
            <w:noProof/>
          </w:rPr>
          <w:t>Graf 33 Podíl OZP se zkráceným úvazkem v platových třídách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C2B7AF1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09" w:history="1">
        <w:r w:rsidRPr="00ED4E8B">
          <w:rPr>
            <w:rStyle w:val="Hypertextovodkaz"/>
            <w:noProof/>
          </w:rPr>
          <w:t>Graf 34 Podíl OZP se zkráceným úvazkem v jednotlivých platových třídách dle druhu zaměstnaneckého poměru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0B1857C8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0" w:history="1">
        <w:r w:rsidRPr="00ED4E8B">
          <w:rPr>
            <w:rStyle w:val="Hypertextovodkaz"/>
            <w:noProof/>
          </w:rPr>
          <w:t>Graf 35 Počet OZP dle stupně invalidity a zařazení do platové třídy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FEC3A2B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1" w:history="1">
        <w:r w:rsidRPr="00ED4E8B">
          <w:rPr>
            <w:rStyle w:val="Hypertextovodkaz"/>
            <w:noProof/>
          </w:rPr>
          <w:t>Graf 36 Podíl OZP dle zařazení do platových tříd na ministerstvech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4806B65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2" w:history="1">
        <w:r w:rsidRPr="00ED4E8B">
          <w:rPr>
            <w:rStyle w:val="Hypertextovodkaz"/>
            <w:noProof/>
          </w:rPr>
          <w:t>Graf 37 Podíl žen a mužů se zdravotním postižením v platových třídách na ministerstvech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DA4F17C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3" w:history="1">
        <w:r w:rsidRPr="00ED4E8B">
          <w:rPr>
            <w:rStyle w:val="Hypertextovodkaz"/>
            <w:noProof/>
          </w:rPr>
          <w:t>Graf 38 Počet OZP dle druhu zaměstnaneckého poměru a zařazení do platové třídy na ministerstvech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BD0FC30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4" w:history="1">
        <w:r w:rsidRPr="00ED4E8B">
          <w:rPr>
            <w:rStyle w:val="Hypertextovodkaz"/>
            <w:noProof/>
          </w:rPr>
          <w:t>Graf 39 Podíl OZP se zkráceným úvazkem dle druhu zaměstnaneckého poměru na ministerstvech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0B67849F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5" w:history="1">
        <w:r w:rsidRPr="00ED4E8B">
          <w:rPr>
            <w:rStyle w:val="Hypertextovodkaz"/>
            <w:noProof/>
          </w:rPr>
          <w:t>Graf 40 Počet OZP dle stupně invalidity a zařazení do platové třídy na ministerstvech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D5790AB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6" w:history="1">
        <w:r w:rsidRPr="00ED4E8B">
          <w:rPr>
            <w:rStyle w:val="Hypertextovodkaz"/>
            <w:noProof/>
          </w:rPr>
          <w:t>Graf 41 Podíl OZP v organizačních složkách ministerstev dle zařazení do platových tříd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355BFD8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7" w:history="1">
        <w:r w:rsidRPr="00ED4E8B">
          <w:rPr>
            <w:rStyle w:val="Hypertextovodkaz"/>
            <w:noProof/>
          </w:rPr>
          <w:t>Graf 42 Podíl žen a mužů v platových třídách v organizačních složkách ministerstev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BADA57F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8" w:history="1">
        <w:r w:rsidRPr="00ED4E8B">
          <w:rPr>
            <w:rStyle w:val="Hypertextovodkaz"/>
            <w:noProof/>
          </w:rPr>
          <w:t>Graf 43 Počet OZP dle zařazení do platových tříd a druhu zaměstnaneckého poměru v organizačních složkách ministerstev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FB2E5C8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19" w:history="1">
        <w:r w:rsidRPr="00ED4E8B">
          <w:rPr>
            <w:rStyle w:val="Hypertextovodkaz"/>
            <w:noProof/>
          </w:rPr>
          <w:t>Graf 44 Podíl OZP se zkráceným úvazkem dle zaměstnaneckého poměru v organizačních složkách ministerstev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D261207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0" w:history="1">
        <w:r w:rsidRPr="00ED4E8B">
          <w:rPr>
            <w:rStyle w:val="Hypertextovodkaz"/>
            <w:noProof/>
          </w:rPr>
          <w:t>Graf 45 Počet OZP dle stupně invalidity a zařazení do platové třídy v organizačních složkách ministerstev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88E97B8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1" w:history="1">
        <w:r w:rsidRPr="00ED4E8B">
          <w:rPr>
            <w:rStyle w:val="Hypertextovodkaz"/>
            <w:noProof/>
          </w:rPr>
          <w:t>Graf 46 Podíl OZP v ústředních orgánech státní správy dle zařazení do platových tříd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415F4D61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2" w:history="1">
        <w:r w:rsidRPr="00ED4E8B">
          <w:rPr>
            <w:rStyle w:val="Hypertextovodkaz"/>
            <w:noProof/>
          </w:rPr>
          <w:t>Graf 47 Podíl žen a mužů v platových třídách v ústředních orgánech státní správy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0284C6C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3" w:history="1">
        <w:r w:rsidRPr="00ED4E8B">
          <w:rPr>
            <w:rStyle w:val="Hypertextovodkaz"/>
            <w:noProof/>
          </w:rPr>
          <w:t>Graf 48 Počet OZP dle zařazení do platových tříd a druhu zaměstnaneckého poměru v ústředních orgánech státní správy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50877F8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4" w:history="1">
        <w:r w:rsidRPr="00ED4E8B">
          <w:rPr>
            <w:rStyle w:val="Hypertextovodkaz"/>
            <w:noProof/>
          </w:rPr>
          <w:t>Graf 49 Podíl OZP se zkráceným úvazkem dle zaměstnaneckého poměru a zařazení do platových tříd v ústředních orgánech státní správy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0EF296E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5" w:history="1">
        <w:r w:rsidRPr="00ED4E8B">
          <w:rPr>
            <w:rStyle w:val="Hypertextovodkaz"/>
            <w:noProof/>
          </w:rPr>
          <w:t>Graf 50 Počet OZP dle stupně invalidity a dle zařazení do platové třídy v ústředních orgánech státní správy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2153C01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6" w:history="1">
        <w:r w:rsidRPr="00ED4E8B">
          <w:rPr>
            <w:rStyle w:val="Hypertextovodkaz"/>
            <w:noProof/>
          </w:rPr>
          <w:t>Graf 51 Bezbariérově přístupné úřady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3AB9A14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7" w:history="1">
        <w:r w:rsidRPr="00ED4E8B">
          <w:rPr>
            <w:rStyle w:val="Hypertextovodkaz"/>
            <w:noProof/>
          </w:rPr>
          <w:t>Graf 52 Vedení agendy týkající se zaměstnávání osob se zdravotním postižením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6942AF15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8" w:history="1">
        <w:r w:rsidRPr="00ED4E8B">
          <w:rPr>
            <w:rStyle w:val="Hypertextovodkaz"/>
            <w:noProof/>
          </w:rPr>
          <w:t>Graf 53 Mapování a vyhledávání pozic vhodných pro OZP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3E43A3D9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29" w:history="1">
        <w:r w:rsidRPr="00ED4E8B">
          <w:rPr>
            <w:rStyle w:val="Hypertextovodkaz"/>
            <w:noProof/>
          </w:rPr>
          <w:t>Graf 54 Způsob zveřejňování inzerátů na volná služební/pracovní místa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43F18B42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30" w:history="1">
        <w:r w:rsidRPr="00ED4E8B">
          <w:rPr>
            <w:rStyle w:val="Hypertextovodkaz"/>
            <w:noProof/>
          </w:rPr>
          <w:t>Graf 55 Informace o vhodnosti služebního/pracovního místa pro osoby se zdravotním postižením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4782B22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31" w:history="1">
        <w:r w:rsidRPr="00ED4E8B">
          <w:rPr>
            <w:rStyle w:val="Hypertextovodkaz"/>
            <w:noProof/>
          </w:rPr>
          <w:t>Graf 56 Spolupráce se školami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11B8E1F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32" w:history="1">
        <w:r w:rsidRPr="00ED4E8B">
          <w:rPr>
            <w:rStyle w:val="Hypertextovodkaz"/>
            <w:noProof/>
          </w:rPr>
          <w:t>Graf 57 Míra fluktuace zaměstnanců se zdravotním postižením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0927FBC7" w14:textId="77777777" w:rsidR="00B5102D" w:rsidRDefault="00B5102D" w:rsidP="00B5102D">
      <w:pPr>
        <w:pStyle w:val="Seznamobrzk"/>
        <w:tabs>
          <w:tab w:val="right" w:leader="dot" w:pos="9062"/>
        </w:tabs>
        <w:spacing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45513033" w:history="1">
        <w:r w:rsidRPr="00ED4E8B">
          <w:rPr>
            <w:rStyle w:val="Hypertextovodkaz"/>
            <w:noProof/>
          </w:rPr>
          <w:t>Graf 58 Opatření ke zvýšení zaměstnanosti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_Toc45513033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72AB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53D43B33" w14:textId="20A219AF" w:rsidR="00A14324" w:rsidRDefault="00B5102D" w:rsidP="00B5102D">
      <w:pPr>
        <w:spacing w:line="240" w:lineRule="auto"/>
      </w:pPr>
      <w:r>
        <w:fldChar w:fldCharType="end"/>
      </w:r>
    </w:p>
    <w:sectPr w:rsidR="00A14324" w:rsidSect="009A326E">
      <w:footerReference w:type="default" r:id="rId67"/>
      <w:headerReference w:type="first" r:id="rId68"/>
      <w:footerReference w:type="first" r:id="rId6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D0712" w14:textId="77777777" w:rsidR="005C63A5" w:rsidRDefault="005C63A5" w:rsidP="00325095">
      <w:r>
        <w:separator/>
      </w:r>
    </w:p>
    <w:p w14:paraId="4CA505FF" w14:textId="77777777" w:rsidR="005C63A5" w:rsidRDefault="005C63A5" w:rsidP="00325095"/>
  </w:endnote>
  <w:endnote w:type="continuationSeparator" w:id="0">
    <w:p w14:paraId="4C458E66" w14:textId="77777777" w:rsidR="005C63A5" w:rsidRDefault="005C63A5" w:rsidP="00325095">
      <w:r>
        <w:continuationSeparator/>
      </w:r>
    </w:p>
    <w:p w14:paraId="2374C988" w14:textId="77777777" w:rsidR="005C63A5" w:rsidRDefault="005C63A5" w:rsidP="00325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42553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55C0522" w14:textId="77777777" w:rsidR="005C63A5" w:rsidRDefault="005C63A5" w:rsidP="002D1D6D">
            <w:pPr>
              <w:pStyle w:val="Zpat"/>
              <w:jc w:val="right"/>
            </w:pPr>
            <w:r w:rsidRPr="00F737A0">
              <w:t xml:space="preserve">Stránka </w:t>
            </w:r>
            <w:r w:rsidRPr="00F737A0">
              <w:fldChar w:fldCharType="begin"/>
            </w:r>
            <w:r w:rsidRPr="00F737A0">
              <w:instrText>PAGE</w:instrText>
            </w:r>
            <w:r w:rsidRPr="00F737A0">
              <w:fldChar w:fldCharType="separate"/>
            </w:r>
            <w:r w:rsidR="000F72AB">
              <w:rPr>
                <w:noProof/>
              </w:rPr>
              <w:t>57</w:t>
            </w:r>
            <w:r w:rsidRPr="00F737A0">
              <w:fldChar w:fldCharType="end"/>
            </w:r>
            <w:r w:rsidRPr="00F737A0">
              <w:t xml:space="preserve"> z </w:t>
            </w:r>
            <w:r w:rsidRPr="00F737A0">
              <w:fldChar w:fldCharType="begin"/>
            </w:r>
            <w:r w:rsidRPr="00F737A0">
              <w:instrText>NUMPAGES</w:instrText>
            </w:r>
            <w:r w:rsidRPr="00F737A0">
              <w:fldChar w:fldCharType="separate"/>
            </w:r>
            <w:r w:rsidR="000F72AB">
              <w:rPr>
                <w:noProof/>
              </w:rPr>
              <w:t>61</w:t>
            </w:r>
            <w:r w:rsidRPr="00F737A0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3CD5" w14:textId="77777777" w:rsidR="005C63A5" w:rsidRPr="00461022" w:rsidRDefault="005C63A5" w:rsidP="00BE574B">
    <w:pPr>
      <w:jc w:val="right"/>
      <w:rPr>
        <w:b/>
        <w:bCs/>
        <w:color w:val="244061" w:themeColor="accent1" w:themeShade="80"/>
        <w:sz w:val="28"/>
        <w:szCs w:val="24"/>
      </w:rPr>
    </w:pPr>
    <w:r w:rsidRPr="00461022">
      <w:rPr>
        <w:b/>
        <w:bCs/>
        <w:color w:val="244061" w:themeColor="accent1" w:themeShade="80"/>
        <w:sz w:val="28"/>
        <w:szCs w:val="24"/>
      </w:rPr>
      <w:t xml:space="preserve">                                                            červenec 2020</w:t>
    </w:r>
  </w:p>
  <w:p w14:paraId="37EFBE1A" w14:textId="77777777" w:rsidR="005C63A5" w:rsidRDefault="005C63A5" w:rsidP="003250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F23B6" w14:textId="77777777" w:rsidR="005C63A5" w:rsidRDefault="005C63A5" w:rsidP="00325095">
      <w:r>
        <w:separator/>
      </w:r>
    </w:p>
  </w:footnote>
  <w:footnote w:type="continuationSeparator" w:id="0">
    <w:p w14:paraId="534587E9" w14:textId="77777777" w:rsidR="005C63A5" w:rsidRDefault="005C63A5" w:rsidP="00325095">
      <w:r>
        <w:continuationSeparator/>
      </w:r>
    </w:p>
  </w:footnote>
  <w:footnote w:type="continuationNotice" w:id="1">
    <w:p w14:paraId="05433226" w14:textId="77777777" w:rsidR="005C63A5" w:rsidRPr="003965A8" w:rsidRDefault="005C63A5" w:rsidP="003965A8">
      <w:pPr>
        <w:pStyle w:val="Zpat"/>
      </w:pPr>
    </w:p>
  </w:footnote>
  <w:footnote w:id="2">
    <w:p w14:paraId="492BC475" w14:textId="77777777" w:rsidR="005C63A5" w:rsidRDefault="005C63A5" w:rsidP="001A6A4B">
      <w:pPr>
        <w:pStyle w:val="Textpoznpodarou"/>
      </w:pPr>
      <w:r>
        <w:rPr>
          <w:rStyle w:val="Znakapoznpodarou"/>
        </w:rPr>
        <w:footnoteRef/>
      </w:r>
      <w:r>
        <w:t xml:space="preserve"> § 81 odst. 1 zákona č. 435/2004 Sb., o zaměstnanosti, ve znění pozdějších předpisů </w:t>
      </w:r>
    </w:p>
  </w:footnote>
  <w:footnote w:id="3">
    <w:p w14:paraId="7562C18B" w14:textId="77777777" w:rsidR="005C63A5" w:rsidRDefault="005C63A5" w:rsidP="003965A8">
      <w:pPr>
        <w:pStyle w:val="Textpoznpodarou"/>
        <w:widowControl w:val="0"/>
      </w:pPr>
      <w:r>
        <w:rPr>
          <w:rStyle w:val="Znakapoznpodarou"/>
        </w:rPr>
        <w:footnoteRef/>
      </w:r>
      <w:r>
        <w:t xml:space="preserve"> </w:t>
      </w:r>
      <w:r w:rsidRPr="00AC7A2E">
        <w:rPr>
          <w:rStyle w:val="Znakapoznpodarou"/>
        </w:rPr>
        <w:t xml:space="preserve">Český statistický úřad. 2019. Výběrové šetření osob se zdravotním postižením – 2018. Dostupné z: </w:t>
      </w:r>
      <w:r w:rsidRPr="003965A8">
        <w:rPr>
          <w:rStyle w:val="Znakapoznpodarou"/>
          <w:i/>
          <w:iCs/>
        </w:rPr>
        <w:t>https://www.czso.cz/csu/czso/vyberove-setreni-osob-se-zdravotnim-postizenim-2018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5C63A5" w14:paraId="0923086F" w14:textId="77777777" w:rsidTr="00D04A30">
      <w:tc>
        <w:tcPr>
          <w:tcW w:w="6345" w:type="dxa"/>
          <w:shd w:val="clear" w:color="auto" w:fill="auto"/>
        </w:tcPr>
        <w:p w14:paraId="39C2D23A" w14:textId="26D0F754" w:rsidR="005C63A5" w:rsidRDefault="005C63A5" w:rsidP="00327D82">
          <w:pPr>
            <w:tabs>
              <w:tab w:val="left" w:pos="1206"/>
            </w:tabs>
            <w:spacing w:before="0" w:after="0" w:line="240" w:lineRule="auto"/>
            <w:jc w:val="left"/>
            <w:rPr>
              <w:rFonts w:ascii="Cambria" w:hAnsi="Cambria"/>
              <w:color w:val="1F497D"/>
              <w:sz w:val="28"/>
              <w:szCs w:val="26"/>
            </w:rPr>
          </w:pPr>
          <w:r>
            <w:rPr>
              <w:rFonts w:ascii="Cambria" w:hAnsi="Cambria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/>
              <w:color w:val="1F497D"/>
              <w:sz w:val="28"/>
              <w:szCs w:val="26"/>
            </w:rPr>
            <w:t xml:space="preserve">Oddělení sekretariátu Vládního výboru </w:t>
          </w:r>
        </w:p>
        <w:p w14:paraId="0207DC08" w14:textId="77777777" w:rsidR="005C63A5" w:rsidRPr="00F76890" w:rsidRDefault="005C63A5" w:rsidP="00E66B1F">
          <w:pPr>
            <w:tabs>
              <w:tab w:val="left" w:pos="1206"/>
            </w:tabs>
            <w:spacing w:before="0" w:after="0" w:line="240" w:lineRule="auto"/>
            <w:rPr>
              <w:rFonts w:ascii="Cambria" w:hAnsi="Cambria"/>
              <w:sz w:val="44"/>
              <w:szCs w:val="40"/>
            </w:rPr>
          </w:pPr>
          <w:r>
            <w:rPr>
              <w:rFonts w:ascii="Cambria" w:hAnsi="Cambria"/>
              <w:color w:val="1F497D"/>
              <w:sz w:val="28"/>
              <w:szCs w:val="26"/>
            </w:rPr>
            <w:t>pro osoby se zdravotním postižením</w:t>
          </w:r>
        </w:p>
      </w:tc>
      <w:tc>
        <w:tcPr>
          <w:tcW w:w="3544" w:type="dxa"/>
          <w:shd w:val="clear" w:color="auto" w:fill="auto"/>
        </w:tcPr>
        <w:p w14:paraId="0290D409" w14:textId="77777777" w:rsidR="005C63A5" w:rsidRDefault="005C63A5" w:rsidP="00E66B1F">
          <w:pPr>
            <w:pStyle w:val="Zhlav"/>
            <w:jc w:val="right"/>
          </w:pPr>
          <w:r>
            <w:rPr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007466A" wp14:editId="52251649">
                <wp:extent cx="1800225" cy="523875"/>
                <wp:effectExtent l="0" t="0" r="9525" b="9525"/>
                <wp:docPr id="25" name="Obrázek 2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B5AD0C" w14:textId="77777777" w:rsidR="005C63A5" w:rsidRDefault="005C63A5" w:rsidP="003250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B38"/>
    <w:multiLevelType w:val="hybridMultilevel"/>
    <w:tmpl w:val="56FC8856"/>
    <w:lvl w:ilvl="0" w:tplc="B2CCBAA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1BD538D"/>
    <w:multiLevelType w:val="hybridMultilevel"/>
    <w:tmpl w:val="106E970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55B0E"/>
    <w:multiLevelType w:val="multilevel"/>
    <w:tmpl w:val="736ED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E936AD"/>
    <w:multiLevelType w:val="multilevel"/>
    <w:tmpl w:val="2D128A2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44061" w:themeColor="accent1" w:themeShade="80"/>
        <w:spacing w:val="0"/>
        <w:w w:val="0"/>
        <w:kern w:val="0"/>
        <w:position w:val="0"/>
        <w:sz w:val="3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89C6D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A24FEE"/>
    <w:multiLevelType w:val="multilevel"/>
    <w:tmpl w:val="90D6D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4F6228" w:themeColor="accent3" w:themeShade="8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C541874"/>
    <w:multiLevelType w:val="hybridMultilevel"/>
    <w:tmpl w:val="AA5E4D80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0CDC0D88"/>
    <w:multiLevelType w:val="hybridMultilevel"/>
    <w:tmpl w:val="6A50EBF2"/>
    <w:lvl w:ilvl="0" w:tplc="C1AA07F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5BF5"/>
    <w:multiLevelType w:val="hybridMultilevel"/>
    <w:tmpl w:val="34A0683E"/>
    <w:lvl w:ilvl="0" w:tplc="218C7942">
      <w:start w:val="1"/>
      <w:numFmt w:val="decimal"/>
      <w:lvlText w:val="%1.1"/>
      <w:lvlJc w:val="left"/>
      <w:pPr>
        <w:ind w:left="720" w:hanging="360"/>
      </w:pPr>
      <w:rPr>
        <w:rFonts w:asciiTheme="majorHAnsi" w:hAnsiTheme="majorHAnsi" w:hint="default"/>
        <w:b/>
        <w:i w:val="0"/>
        <w:color w:val="76923C" w:themeColor="accent3" w:themeShade="BF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00C65"/>
    <w:multiLevelType w:val="hybridMultilevel"/>
    <w:tmpl w:val="F862732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1FF77B6C"/>
    <w:multiLevelType w:val="multilevel"/>
    <w:tmpl w:val="7A5E0B9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75A52DD"/>
    <w:multiLevelType w:val="hybridMultilevel"/>
    <w:tmpl w:val="59E2A55E"/>
    <w:lvl w:ilvl="0" w:tplc="8C3E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6294D"/>
    <w:multiLevelType w:val="hybridMultilevel"/>
    <w:tmpl w:val="55B45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81B29"/>
    <w:multiLevelType w:val="multilevel"/>
    <w:tmpl w:val="463A92D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2A770F9"/>
    <w:multiLevelType w:val="hybridMultilevel"/>
    <w:tmpl w:val="A06CE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B176A"/>
    <w:multiLevelType w:val="hybridMultilevel"/>
    <w:tmpl w:val="3D7AFEE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9A04C8"/>
    <w:multiLevelType w:val="hybridMultilevel"/>
    <w:tmpl w:val="212CF6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244C3F"/>
    <w:multiLevelType w:val="hybridMultilevel"/>
    <w:tmpl w:val="68CA7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E28B8"/>
    <w:multiLevelType w:val="hybridMultilevel"/>
    <w:tmpl w:val="146E357A"/>
    <w:lvl w:ilvl="0" w:tplc="FD5C6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02E6B"/>
    <w:multiLevelType w:val="multilevel"/>
    <w:tmpl w:val="EC285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BF404E"/>
    <w:multiLevelType w:val="hybridMultilevel"/>
    <w:tmpl w:val="D4AEB9AC"/>
    <w:lvl w:ilvl="0" w:tplc="9B769CCC">
      <w:start w:val="1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5540CB"/>
    <w:multiLevelType w:val="hybridMultilevel"/>
    <w:tmpl w:val="C61A711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12D6270"/>
    <w:multiLevelType w:val="multilevel"/>
    <w:tmpl w:val="3FACF7CC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44061" w:themeColor="accent1" w:themeShade="80"/>
        <w:spacing w:val="0"/>
        <w:w w:val="0"/>
        <w:kern w:val="0"/>
        <w:position w:val="0"/>
        <w:sz w:val="3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51F90C89"/>
    <w:multiLevelType w:val="multilevel"/>
    <w:tmpl w:val="0518B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A1C20AB"/>
    <w:multiLevelType w:val="multilevel"/>
    <w:tmpl w:val="4444490A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44061" w:themeColor="accent1" w:themeShade="80"/>
        <w:spacing w:val="0"/>
        <w:kern w:val="0"/>
        <w:position w:val="0"/>
        <w:sz w:val="32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6923C" w:themeColor="accent3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5BBB6848"/>
    <w:multiLevelType w:val="hybridMultilevel"/>
    <w:tmpl w:val="5ADAE1C4"/>
    <w:lvl w:ilvl="0" w:tplc="AA142E7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365F91" w:themeColor="accent1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022F5"/>
    <w:multiLevelType w:val="hybridMultilevel"/>
    <w:tmpl w:val="957C540A"/>
    <w:lvl w:ilvl="0" w:tplc="EDAC6B86"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DF12236"/>
    <w:multiLevelType w:val="multilevel"/>
    <w:tmpl w:val="071AC8F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244061" w:themeColor="accent1" w:themeShade="8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>
    <w:nsid w:val="606E34EC"/>
    <w:multiLevelType w:val="hybridMultilevel"/>
    <w:tmpl w:val="DA80F272"/>
    <w:lvl w:ilvl="0" w:tplc="E824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82102"/>
    <w:multiLevelType w:val="hybridMultilevel"/>
    <w:tmpl w:val="75525E82"/>
    <w:lvl w:ilvl="0" w:tplc="04C2D1DC">
      <w:start w:val="1"/>
      <w:numFmt w:val="bullet"/>
      <w:lvlText w:val=""/>
      <w:lvlJc w:val="left"/>
      <w:pPr>
        <w:ind w:left="1429" w:hanging="295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9C274B"/>
    <w:multiLevelType w:val="multilevel"/>
    <w:tmpl w:val="36B40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DA3A07"/>
    <w:multiLevelType w:val="hybridMultilevel"/>
    <w:tmpl w:val="3F4CA0CC"/>
    <w:lvl w:ilvl="0" w:tplc="37843624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C3472"/>
    <w:multiLevelType w:val="multilevel"/>
    <w:tmpl w:val="704A519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6D8C7541"/>
    <w:multiLevelType w:val="multilevel"/>
    <w:tmpl w:val="AE9AC7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2A15152"/>
    <w:multiLevelType w:val="hybridMultilevel"/>
    <w:tmpl w:val="ED4E6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80818"/>
    <w:multiLevelType w:val="hybridMultilevel"/>
    <w:tmpl w:val="7C2631A0"/>
    <w:lvl w:ilvl="0" w:tplc="C20AAAA4">
      <w:start w:val="1"/>
      <w:numFmt w:val="decimal"/>
      <w:lvlText w:val="%1.1."/>
      <w:lvlJc w:val="left"/>
      <w:pPr>
        <w:ind w:left="720" w:hanging="360"/>
      </w:pPr>
      <w:rPr>
        <w:rFonts w:asciiTheme="majorHAnsi" w:hAnsiTheme="majorHAnsi" w:hint="default"/>
        <w:b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933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51A4A43"/>
    <w:multiLevelType w:val="hybridMultilevel"/>
    <w:tmpl w:val="83723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D6C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115DE3"/>
    <w:multiLevelType w:val="multilevel"/>
    <w:tmpl w:val="93CC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C157258"/>
    <w:multiLevelType w:val="hybridMultilevel"/>
    <w:tmpl w:val="784A11E4"/>
    <w:lvl w:ilvl="0" w:tplc="F0C8E5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50C90"/>
    <w:multiLevelType w:val="hybridMultilevel"/>
    <w:tmpl w:val="20B087E4"/>
    <w:lvl w:ilvl="0" w:tplc="9B48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9"/>
  </w:num>
  <w:num w:numId="4">
    <w:abstractNumId w:val="20"/>
  </w:num>
  <w:num w:numId="5">
    <w:abstractNumId w:val="2"/>
  </w:num>
  <w:num w:numId="6">
    <w:abstractNumId w:val="16"/>
  </w:num>
  <w:num w:numId="7">
    <w:abstractNumId w:val="26"/>
  </w:num>
  <w:num w:numId="8">
    <w:abstractNumId w:val="1"/>
  </w:num>
  <w:num w:numId="9">
    <w:abstractNumId w:val="40"/>
  </w:num>
  <w:num w:numId="10">
    <w:abstractNumId w:val="37"/>
  </w:num>
  <w:num w:numId="11">
    <w:abstractNumId w:val="31"/>
  </w:num>
  <w:num w:numId="12">
    <w:abstractNumId w:val="41"/>
  </w:num>
  <w:num w:numId="13">
    <w:abstractNumId w:val="4"/>
  </w:num>
  <w:num w:numId="14">
    <w:abstractNumId w:val="23"/>
  </w:num>
  <w:num w:numId="15">
    <w:abstractNumId w:val="32"/>
  </w:num>
  <w:num w:numId="16">
    <w:abstractNumId w:val="38"/>
  </w:num>
  <w:num w:numId="17">
    <w:abstractNumId w:val="19"/>
  </w:num>
  <w:num w:numId="18">
    <w:abstractNumId w:val="29"/>
  </w:num>
  <w:num w:numId="19">
    <w:abstractNumId w:val="28"/>
  </w:num>
  <w:num w:numId="20">
    <w:abstractNumId w:val="30"/>
  </w:num>
  <w:num w:numId="21">
    <w:abstractNumId w:val="5"/>
  </w:num>
  <w:num w:numId="22">
    <w:abstractNumId w:val="18"/>
  </w:num>
  <w:num w:numId="23">
    <w:abstractNumId w:val="36"/>
  </w:num>
  <w:num w:numId="24">
    <w:abstractNumId w:val="15"/>
  </w:num>
  <w:num w:numId="25">
    <w:abstractNumId w:val="0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17"/>
  </w:num>
  <w:num w:numId="29">
    <w:abstractNumId w:val="32"/>
  </w:num>
  <w:num w:numId="30">
    <w:abstractNumId w:val="19"/>
  </w:num>
  <w:num w:numId="31">
    <w:abstractNumId w:val="35"/>
  </w:num>
  <w:num w:numId="32">
    <w:abstractNumId w:val="13"/>
  </w:num>
  <w:num w:numId="33">
    <w:abstractNumId w:val="10"/>
  </w:num>
  <w:num w:numId="34">
    <w:abstractNumId w:val="25"/>
  </w:num>
  <w:num w:numId="35">
    <w:abstractNumId w:val="22"/>
  </w:num>
  <w:num w:numId="36">
    <w:abstractNumId w:val="12"/>
  </w:num>
  <w:num w:numId="37">
    <w:abstractNumId w:val="14"/>
  </w:num>
  <w:num w:numId="38">
    <w:abstractNumId w:val="34"/>
  </w:num>
  <w:num w:numId="39">
    <w:abstractNumId w:val="11"/>
  </w:num>
  <w:num w:numId="40">
    <w:abstractNumId w:val="21"/>
  </w:num>
  <w:num w:numId="41">
    <w:abstractNumId w:val="8"/>
  </w:num>
  <w:num w:numId="42">
    <w:abstractNumId w:val="3"/>
  </w:num>
  <w:num w:numId="43">
    <w:abstractNumId w:val="24"/>
  </w:num>
  <w:num w:numId="44">
    <w:abstractNumId w:val="3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34"/>
    <w:rsid w:val="000042FF"/>
    <w:rsid w:val="00004399"/>
    <w:rsid w:val="000043BB"/>
    <w:rsid w:val="0000595B"/>
    <w:rsid w:val="00006AFC"/>
    <w:rsid w:val="000075F9"/>
    <w:rsid w:val="000076E5"/>
    <w:rsid w:val="00010FA4"/>
    <w:rsid w:val="0001315D"/>
    <w:rsid w:val="000151B3"/>
    <w:rsid w:val="000168A9"/>
    <w:rsid w:val="000172D5"/>
    <w:rsid w:val="00017549"/>
    <w:rsid w:val="00020E1A"/>
    <w:rsid w:val="00020EEF"/>
    <w:rsid w:val="000233A7"/>
    <w:rsid w:val="00023AFC"/>
    <w:rsid w:val="00024AA2"/>
    <w:rsid w:val="00024FE3"/>
    <w:rsid w:val="000316D3"/>
    <w:rsid w:val="00031746"/>
    <w:rsid w:val="00037A8C"/>
    <w:rsid w:val="0004055B"/>
    <w:rsid w:val="00040C86"/>
    <w:rsid w:val="00041D7B"/>
    <w:rsid w:val="00042CD6"/>
    <w:rsid w:val="0004508D"/>
    <w:rsid w:val="0004622D"/>
    <w:rsid w:val="00046649"/>
    <w:rsid w:val="00050688"/>
    <w:rsid w:val="000522B7"/>
    <w:rsid w:val="000523FF"/>
    <w:rsid w:val="000535B3"/>
    <w:rsid w:val="0005485C"/>
    <w:rsid w:val="000550A9"/>
    <w:rsid w:val="000569C2"/>
    <w:rsid w:val="00056A4B"/>
    <w:rsid w:val="0005733E"/>
    <w:rsid w:val="0006033D"/>
    <w:rsid w:val="00060486"/>
    <w:rsid w:val="000619FF"/>
    <w:rsid w:val="000637EC"/>
    <w:rsid w:val="00064F15"/>
    <w:rsid w:val="000653BB"/>
    <w:rsid w:val="00065A7F"/>
    <w:rsid w:val="00065ABF"/>
    <w:rsid w:val="0006646B"/>
    <w:rsid w:val="00066657"/>
    <w:rsid w:val="00067577"/>
    <w:rsid w:val="000677D8"/>
    <w:rsid w:val="00072243"/>
    <w:rsid w:val="00072282"/>
    <w:rsid w:val="00072746"/>
    <w:rsid w:val="00072BD5"/>
    <w:rsid w:val="0007318F"/>
    <w:rsid w:val="0007370F"/>
    <w:rsid w:val="000769A0"/>
    <w:rsid w:val="000776BC"/>
    <w:rsid w:val="000777DD"/>
    <w:rsid w:val="00080AFC"/>
    <w:rsid w:val="00080B0E"/>
    <w:rsid w:val="00081622"/>
    <w:rsid w:val="00081E40"/>
    <w:rsid w:val="00081E73"/>
    <w:rsid w:val="00083FCD"/>
    <w:rsid w:val="00085169"/>
    <w:rsid w:val="00085364"/>
    <w:rsid w:val="00085468"/>
    <w:rsid w:val="000867B8"/>
    <w:rsid w:val="0008699F"/>
    <w:rsid w:val="000900E1"/>
    <w:rsid w:val="00090B24"/>
    <w:rsid w:val="0009152C"/>
    <w:rsid w:val="00092E80"/>
    <w:rsid w:val="0009341A"/>
    <w:rsid w:val="00093C38"/>
    <w:rsid w:val="000941A7"/>
    <w:rsid w:val="00095DCF"/>
    <w:rsid w:val="000962A2"/>
    <w:rsid w:val="00096A70"/>
    <w:rsid w:val="00096FD0"/>
    <w:rsid w:val="00097240"/>
    <w:rsid w:val="00097310"/>
    <w:rsid w:val="00097B5D"/>
    <w:rsid w:val="000A0799"/>
    <w:rsid w:val="000A1F35"/>
    <w:rsid w:val="000A337B"/>
    <w:rsid w:val="000A343E"/>
    <w:rsid w:val="000A454F"/>
    <w:rsid w:val="000A48CD"/>
    <w:rsid w:val="000A567D"/>
    <w:rsid w:val="000A6529"/>
    <w:rsid w:val="000A6D1C"/>
    <w:rsid w:val="000B379C"/>
    <w:rsid w:val="000B526F"/>
    <w:rsid w:val="000B63A7"/>
    <w:rsid w:val="000B6FE0"/>
    <w:rsid w:val="000B7974"/>
    <w:rsid w:val="000C13A7"/>
    <w:rsid w:val="000C1AAB"/>
    <w:rsid w:val="000C212F"/>
    <w:rsid w:val="000C2315"/>
    <w:rsid w:val="000C468A"/>
    <w:rsid w:val="000C5093"/>
    <w:rsid w:val="000C5F4A"/>
    <w:rsid w:val="000C692C"/>
    <w:rsid w:val="000C7B34"/>
    <w:rsid w:val="000D133A"/>
    <w:rsid w:val="000D1549"/>
    <w:rsid w:val="000D2DF4"/>
    <w:rsid w:val="000D2F43"/>
    <w:rsid w:val="000D3948"/>
    <w:rsid w:val="000D5405"/>
    <w:rsid w:val="000D5666"/>
    <w:rsid w:val="000D5AE4"/>
    <w:rsid w:val="000D60DE"/>
    <w:rsid w:val="000D7725"/>
    <w:rsid w:val="000D7D1D"/>
    <w:rsid w:val="000E2D9C"/>
    <w:rsid w:val="000E35C8"/>
    <w:rsid w:val="000E5F17"/>
    <w:rsid w:val="000E73F9"/>
    <w:rsid w:val="000F084A"/>
    <w:rsid w:val="000F3E8C"/>
    <w:rsid w:val="000F53E5"/>
    <w:rsid w:val="000F72AB"/>
    <w:rsid w:val="000F7919"/>
    <w:rsid w:val="00101B52"/>
    <w:rsid w:val="00102B27"/>
    <w:rsid w:val="00102C1E"/>
    <w:rsid w:val="0010347A"/>
    <w:rsid w:val="00106DBC"/>
    <w:rsid w:val="00107236"/>
    <w:rsid w:val="00107296"/>
    <w:rsid w:val="00111BF4"/>
    <w:rsid w:val="00111CCF"/>
    <w:rsid w:val="001135FF"/>
    <w:rsid w:val="00113E23"/>
    <w:rsid w:val="001151AD"/>
    <w:rsid w:val="00115235"/>
    <w:rsid w:val="00115660"/>
    <w:rsid w:val="00116CA0"/>
    <w:rsid w:val="00122218"/>
    <w:rsid w:val="001244C2"/>
    <w:rsid w:val="00132753"/>
    <w:rsid w:val="00132CB1"/>
    <w:rsid w:val="00132F34"/>
    <w:rsid w:val="00133032"/>
    <w:rsid w:val="00134F8A"/>
    <w:rsid w:val="0013523E"/>
    <w:rsid w:val="0013727D"/>
    <w:rsid w:val="00137500"/>
    <w:rsid w:val="00137AA9"/>
    <w:rsid w:val="001404FB"/>
    <w:rsid w:val="00140ECC"/>
    <w:rsid w:val="00141F10"/>
    <w:rsid w:val="0014214B"/>
    <w:rsid w:val="00142805"/>
    <w:rsid w:val="00143137"/>
    <w:rsid w:val="001432FD"/>
    <w:rsid w:val="001438FD"/>
    <w:rsid w:val="0014555C"/>
    <w:rsid w:val="00146208"/>
    <w:rsid w:val="00147F4E"/>
    <w:rsid w:val="00150934"/>
    <w:rsid w:val="001509BC"/>
    <w:rsid w:val="00151713"/>
    <w:rsid w:val="00151ADD"/>
    <w:rsid w:val="0015256B"/>
    <w:rsid w:val="00152C2B"/>
    <w:rsid w:val="00154ADD"/>
    <w:rsid w:val="00156C5A"/>
    <w:rsid w:val="00161EA7"/>
    <w:rsid w:val="001629B3"/>
    <w:rsid w:val="00162F12"/>
    <w:rsid w:val="0016365B"/>
    <w:rsid w:val="00165441"/>
    <w:rsid w:val="001659C6"/>
    <w:rsid w:val="00166989"/>
    <w:rsid w:val="00166BE1"/>
    <w:rsid w:val="00170EA9"/>
    <w:rsid w:val="00170F5E"/>
    <w:rsid w:val="00173DB1"/>
    <w:rsid w:val="00173E9C"/>
    <w:rsid w:val="001756C8"/>
    <w:rsid w:val="00175791"/>
    <w:rsid w:val="0017753A"/>
    <w:rsid w:val="00177F47"/>
    <w:rsid w:val="001810D5"/>
    <w:rsid w:val="00181A13"/>
    <w:rsid w:val="00182C7C"/>
    <w:rsid w:val="001840E9"/>
    <w:rsid w:val="001857A0"/>
    <w:rsid w:val="00187044"/>
    <w:rsid w:val="00187434"/>
    <w:rsid w:val="001909CC"/>
    <w:rsid w:val="00191200"/>
    <w:rsid w:val="00193BA2"/>
    <w:rsid w:val="00196F6A"/>
    <w:rsid w:val="0019702E"/>
    <w:rsid w:val="001A0CBC"/>
    <w:rsid w:val="001A18F9"/>
    <w:rsid w:val="001A1EB8"/>
    <w:rsid w:val="001A223F"/>
    <w:rsid w:val="001A367B"/>
    <w:rsid w:val="001A4F81"/>
    <w:rsid w:val="001A63CB"/>
    <w:rsid w:val="001A6428"/>
    <w:rsid w:val="001A68A8"/>
    <w:rsid w:val="001A6A4B"/>
    <w:rsid w:val="001B0E51"/>
    <w:rsid w:val="001B176C"/>
    <w:rsid w:val="001B3395"/>
    <w:rsid w:val="001B3D36"/>
    <w:rsid w:val="001B4CA8"/>
    <w:rsid w:val="001B60F5"/>
    <w:rsid w:val="001B6AEC"/>
    <w:rsid w:val="001C01D6"/>
    <w:rsid w:val="001C0F1A"/>
    <w:rsid w:val="001C1E87"/>
    <w:rsid w:val="001C2329"/>
    <w:rsid w:val="001C386C"/>
    <w:rsid w:val="001C4618"/>
    <w:rsid w:val="001C68ED"/>
    <w:rsid w:val="001D0A2E"/>
    <w:rsid w:val="001D0C56"/>
    <w:rsid w:val="001D1E2F"/>
    <w:rsid w:val="001D22CB"/>
    <w:rsid w:val="001D35E5"/>
    <w:rsid w:val="001D583C"/>
    <w:rsid w:val="001D7787"/>
    <w:rsid w:val="001E0143"/>
    <w:rsid w:val="001E0CBF"/>
    <w:rsid w:val="001E1A73"/>
    <w:rsid w:val="001E2CEB"/>
    <w:rsid w:val="001E3320"/>
    <w:rsid w:val="001E4107"/>
    <w:rsid w:val="001E472A"/>
    <w:rsid w:val="001E4862"/>
    <w:rsid w:val="001E5264"/>
    <w:rsid w:val="001E612A"/>
    <w:rsid w:val="001E6956"/>
    <w:rsid w:val="001E69FC"/>
    <w:rsid w:val="001E7B2A"/>
    <w:rsid w:val="001F05B7"/>
    <w:rsid w:val="001F0BDC"/>
    <w:rsid w:val="001F125F"/>
    <w:rsid w:val="001F131B"/>
    <w:rsid w:val="001F1AE6"/>
    <w:rsid w:val="001F1AFF"/>
    <w:rsid w:val="001F4049"/>
    <w:rsid w:val="001F5A0A"/>
    <w:rsid w:val="001F7FA8"/>
    <w:rsid w:val="00201E0E"/>
    <w:rsid w:val="00202071"/>
    <w:rsid w:val="00203DBC"/>
    <w:rsid w:val="00204586"/>
    <w:rsid w:val="00204D91"/>
    <w:rsid w:val="00205B16"/>
    <w:rsid w:val="002076D2"/>
    <w:rsid w:val="00210D8F"/>
    <w:rsid w:val="00212A05"/>
    <w:rsid w:val="002177D8"/>
    <w:rsid w:val="002221F2"/>
    <w:rsid w:val="00222473"/>
    <w:rsid w:val="002238AE"/>
    <w:rsid w:val="00224E35"/>
    <w:rsid w:val="00227161"/>
    <w:rsid w:val="00227BC0"/>
    <w:rsid w:val="00230925"/>
    <w:rsid w:val="00231A42"/>
    <w:rsid w:val="002323E7"/>
    <w:rsid w:val="00233367"/>
    <w:rsid w:val="002342E0"/>
    <w:rsid w:val="00235CB9"/>
    <w:rsid w:val="002361F0"/>
    <w:rsid w:val="00236864"/>
    <w:rsid w:val="00236C6F"/>
    <w:rsid w:val="00237877"/>
    <w:rsid w:val="00237945"/>
    <w:rsid w:val="00237F21"/>
    <w:rsid w:val="00241351"/>
    <w:rsid w:val="002423F7"/>
    <w:rsid w:val="0024351C"/>
    <w:rsid w:val="00245B10"/>
    <w:rsid w:val="002466C5"/>
    <w:rsid w:val="00246BBC"/>
    <w:rsid w:val="00250970"/>
    <w:rsid w:val="002513F1"/>
    <w:rsid w:val="00251FEE"/>
    <w:rsid w:val="002524FE"/>
    <w:rsid w:val="00252C3B"/>
    <w:rsid w:val="00253640"/>
    <w:rsid w:val="002536E4"/>
    <w:rsid w:val="00253C7C"/>
    <w:rsid w:val="002542EC"/>
    <w:rsid w:val="00254A46"/>
    <w:rsid w:val="0025773D"/>
    <w:rsid w:val="00261B03"/>
    <w:rsid w:val="00262C2E"/>
    <w:rsid w:val="00263FA3"/>
    <w:rsid w:val="00265263"/>
    <w:rsid w:val="00265891"/>
    <w:rsid w:val="00266C15"/>
    <w:rsid w:val="00275928"/>
    <w:rsid w:val="00275DB2"/>
    <w:rsid w:val="0027682B"/>
    <w:rsid w:val="0027793A"/>
    <w:rsid w:val="00280627"/>
    <w:rsid w:val="00280861"/>
    <w:rsid w:val="00282A4F"/>
    <w:rsid w:val="00283D00"/>
    <w:rsid w:val="00283EAD"/>
    <w:rsid w:val="002868F8"/>
    <w:rsid w:val="00293FD3"/>
    <w:rsid w:val="0029447D"/>
    <w:rsid w:val="00295E71"/>
    <w:rsid w:val="0029623D"/>
    <w:rsid w:val="00296958"/>
    <w:rsid w:val="00296C39"/>
    <w:rsid w:val="002A1942"/>
    <w:rsid w:val="002A2F9B"/>
    <w:rsid w:val="002A3735"/>
    <w:rsid w:val="002A41AF"/>
    <w:rsid w:val="002A4785"/>
    <w:rsid w:val="002A521A"/>
    <w:rsid w:val="002A5375"/>
    <w:rsid w:val="002A5807"/>
    <w:rsid w:val="002A6AAD"/>
    <w:rsid w:val="002A6EBE"/>
    <w:rsid w:val="002A7FF8"/>
    <w:rsid w:val="002B2E5B"/>
    <w:rsid w:val="002B3DF8"/>
    <w:rsid w:val="002B7B5F"/>
    <w:rsid w:val="002B7F08"/>
    <w:rsid w:val="002B7F99"/>
    <w:rsid w:val="002C0D8A"/>
    <w:rsid w:val="002C2698"/>
    <w:rsid w:val="002C3037"/>
    <w:rsid w:val="002C3316"/>
    <w:rsid w:val="002C615A"/>
    <w:rsid w:val="002C6415"/>
    <w:rsid w:val="002D1D6D"/>
    <w:rsid w:val="002D1E92"/>
    <w:rsid w:val="002D4598"/>
    <w:rsid w:val="002D5F3D"/>
    <w:rsid w:val="002D6C81"/>
    <w:rsid w:val="002E1787"/>
    <w:rsid w:val="002E1DF7"/>
    <w:rsid w:val="002E2991"/>
    <w:rsid w:val="002E2F68"/>
    <w:rsid w:val="002E3054"/>
    <w:rsid w:val="002E5FFC"/>
    <w:rsid w:val="002E6EFF"/>
    <w:rsid w:val="002E785D"/>
    <w:rsid w:val="002F02F8"/>
    <w:rsid w:val="002F18BD"/>
    <w:rsid w:val="002F2742"/>
    <w:rsid w:val="002F2E2E"/>
    <w:rsid w:val="002F3460"/>
    <w:rsid w:val="002F493B"/>
    <w:rsid w:val="002F6F3E"/>
    <w:rsid w:val="002F72CB"/>
    <w:rsid w:val="003008AE"/>
    <w:rsid w:val="00300C24"/>
    <w:rsid w:val="0030240C"/>
    <w:rsid w:val="00303BC3"/>
    <w:rsid w:val="003040AE"/>
    <w:rsid w:val="00304F1C"/>
    <w:rsid w:val="00306424"/>
    <w:rsid w:val="0031381C"/>
    <w:rsid w:val="00314B67"/>
    <w:rsid w:val="003210D0"/>
    <w:rsid w:val="00323611"/>
    <w:rsid w:val="00323CD5"/>
    <w:rsid w:val="00325095"/>
    <w:rsid w:val="003267DA"/>
    <w:rsid w:val="0032727B"/>
    <w:rsid w:val="00327953"/>
    <w:rsid w:val="00327BB4"/>
    <w:rsid w:val="00327D82"/>
    <w:rsid w:val="00330A47"/>
    <w:rsid w:val="00331B28"/>
    <w:rsid w:val="00331BC4"/>
    <w:rsid w:val="00333952"/>
    <w:rsid w:val="0033486F"/>
    <w:rsid w:val="0033573D"/>
    <w:rsid w:val="00337670"/>
    <w:rsid w:val="00337A26"/>
    <w:rsid w:val="0034082F"/>
    <w:rsid w:val="00341919"/>
    <w:rsid w:val="003423C1"/>
    <w:rsid w:val="00343D96"/>
    <w:rsid w:val="00343FDF"/>
    <w:rsid w:val="00344001"/>
    <w:rsid w:val="00344281"/>
    <w:rsid w:val="0034565B"/>
    <w:rsid w:val="00352564"/>
    <w:rsid w:val="00353766"/>
    <w:rsid w:val="003538D4"/>
    <w:rsid w:val="003558D4"/>
    <w:rsid w:val="00355A7D"/>
    <w:rsid w:val="00360386"/>
    <w:rsid w:val="003617D0"/>
    <w:rsid w:val="00363B9E"/>
    <w:rsid w:val="00363DB8"/>
    <w:rsid w:val="0036581C"/>
    <w:rsid w:val="00366B1E"/>
    <w:rsid w:val="00367905"/>
    <w:rsid w:val="00371C1D"/>
    <w:rsid w:val="003733C6"/>
    <w:rsid w:val="00373AEA"/>
    <w:rsid w:val="00376A7B"/>
    <w:rsid w:val="0038178F"/>
    <w:rsid w:val="00381DA0"/>
    <w:rsid w:val="00382BC5"/>
    <w:rsid w:val="003841CF"/>
    <w:rsid w:val="00392B33"/>
    <w:rsid w:val="003932B5"/>
    <w:rsid w:val="0039380A"/>
    <w:rsid w:val="00394450"/>
    <w:rsid w:val="00394FFD"/>
    <w:rsid w:val="00395F7D"/>
    <w:rsid w:val="003965A8"/>
    <w:rsid w:val="003967B3"/>
    <w:rsid w:val="00396CDA"/>
    <w:rsid w:val="00396D26"/>
    <w:rsid w:val="0039764D"/>
    <w:rsid w:val="00397919"/>
    <w:rsid w:val="003A2D82"/>
    <w:rsid w:val="003A3C7C"/>
    <w:rsid w:val="003A4882"/>
    <w:rsid w:val="003A77AF"/>
    <w:rsid w:val="003A78DB"/>
    <w:rsid w:val="003B0A24"/>
    <w:rsid w:val="003B1BEC"/>
    <w:rsid w:val="003B1D0B"/>
    <w:rsid w:val="003B205B"/>
    <w:rsid w:val="003B2EF3"/>
    <w:rsid w:val="003B3CE9"/>
    <w:rsid w:val="003B5B94"/>
    <w:rsid w:val="003B641F"/>
    <w:rsid w:val="003B7477"/>
    <w:rsid w:val="003C005D"/>
    <w:rsid w:val="003C0741"/>
    <w:rsid w:val="003C2DA8"/>
    <w:rsid w:val="003C2F9E"/>
    <w:rsid w:val="003C3437"/>
    <w:rsid w:val="003C7ABF"/>
    <w:rsid w:val="003C7CA8"/>
    <w:rsid w:val="003D183C"/>
    <w:rsid w:val="003D18BA"/>
    <w:rsid w:val="003D4646"/>
    <w:rsid w:val="003D4CE9"/>
    <w:rsid w:val="003D53BB"/>
    <w:rsid w:val="003D6255"/>
    <w:rsid w:val="003D65AE"/>
    <w:rsid w:val="003D7277"/>
    <w:rsid w:val="003E0C56"/>
    <w:rsid w:val="003E1626"/>
    <w:rsid w:val="003E58CA"/>
    <w:rsid w:val="003F20F9"/>
    <w:rsid w:val="003F2580"/>
    <w:rsid w:val="003F4933"/>
    <w:rsid w:val="003F6877"/>
    <w:rsid w:val="003F6D23"/>
    <w:rsid w:val="00400F04"/>
    <w:rsid w:val="0040331A"/>
    <w:rsid w:val="004040C0"/>
    <w:rsid w:val="004059B7"/>
    <w:rsid w:val="004062F7"/>
    <w:rsid w:val="004110A7"/>
    <w:rsid w:val="00411F1F"/>
    <w:rsid w:val="004128AF"/>
    <w:rsid w:val="00412C36"/>
    <w:rsid w:val="00415728"/>
    <w:rsid w:val="00416BDA"/>
    <w:rsid w:val="0041716B"/>
    <w:rsid w:val="00422C4C"/>
    <w:rsid w:val="00422D4C"/>
    <w:rsid w:val="00423C9A"/>
    <w:rsid w:val="004245C8"/>
    <w:rsid w:val="00425DC1"/>
    <w:rsid w:val="004263E9"/>
    <w:rsid w:val="004268DD"/>
    <w:rsid w:val="00426F91"/>
    <w:rsid w:val="00427569"/>
    <w:rsid w:val="00430F1A"/>
    <w:rsid w:val="0043124F"/>
    <w:rsid w:val="00431EAA"/>
    <w:rsid w:val="004321AC"/>
    <w:rsid w:val="0043247B"/>
    <w:rsid w:val="00434C73"/>
    <w:rsid w:val="00435434"/>
    <w:rsid w:val="00435BF6"/>
    <w:rsid w:val="00436BB7"/>
    <w:rsid w:val="00437AF7"/>
    <w:rsid w:val="00440B17"/>
    <w:rsid w:val="0044337E"/>
    <w:rsid w:val="00444233"/>
    <w:rsid w:val="00445947"/>
    <w:rsid w:val="00445A62"/>
    <w:rsid w:val="0044611D"/>
    <w:rsid w:val="004469C9"/>
    <w:rsid w:val="00450B1D"/>
    <w:rsid w:val="004516DD"/>
    <w:rsid w:val="00453990"/>
    <w:rsid w:val="00453DED"/>
    <w:rsid w:val="004556DE"/>
    <w:rsid w:val="00455CFF"/>
    <w:rsid w:val="004570D2"/>
    <w:rsid w:val="00460F5A"/>
    <w:rsid w:val="00461022"/>
    <w:rsid w:val="004613E5"/>
    <w:rsid w:val="004627D9"/>
    <w:rsid w:val="004643DE"/>
    <w:rsid w:val="00464CCF"/>
    <w:rsid w:val="00465361"/>
    <w:rsid w:val="004670D9"/>
    <w:rsid w:val="004700D9"/>
    <w:rsid w:val="00470B54"/>
    <w:rsid w:val="00470BA2"/>
    <w:rsid w:val="0047158E"/>
    <w:rsid w:val="00472994"/>
    <w:rsid w:val="00472C77"/>
    <w:rsid w:val="00472E92"/>
    <w:rsid w:val="00472FC7"/>
    <w:rsid w:val="0047321E"/>
    <w:rsid w:val="004736B4"/>
    <w:rsid w:val="004766B8"/>
    <w:rsid w:val="00476755"/>
    <w:rsid w:val="0047796F"/>
    <w:rsid w:val="00480369"/>
    <w:rsid w:val="00481667"/>
    <w:rsid w:val="00481F61"/>
    <w:rsid w:val="00483C43"/>
    <w:rsid w:val="00484B2A"/>
    <w:rsid w:val="00485FEF"/>
    <w:rsid w:val="004901F0"/>
    <w:rsid w:val="0049073E"/>
    <w:rsid w:val="00491E6F"/>
    <w:rsid w:val="00492203"/>
    <w:rsid w:val="00492504"/>
    <w:rsid w:val="00494954"/>
    <w:rsid w:val="004959F9"/>
    <w:rsid w:val="0049691D"/>
    <w:rsid w:val="00497C26"/>
    <w:rsid w:val="004A1708"/>
    <w:rsid w:val="004A3F31"/>
    <w:rsid w:val="004A5A83"/>
    <w:rsid w:val="004A7896"/>
    <w:rsid w:val="004B0277"/>
    <w:rsid w:val="004B1B1F"/>
    <w:rsid w:val="004B2678"/>
    <w:rsid w:val="004B323B"/>
    <w:rsid w:val="004B511E"/>
    <w:rsid w:val="004B757E"/>
    <w:rsid w:val="004C067F"/>
    <w:rsid w:val="004C1680"/>
    <w:rsid w:val="004C2838"/>
    <w:rsid w:val="004C28EB"/>
    <w:rsid w:val="004C3720"/>
    <w:rsid w:val="004C55FD"/>
    <w:rsid w:val="004C6AFA"/>
    <w:rsid w:val="004C71D2"/>
    <w:rsid w:val="004C7501"/>
    <w:rsid w:val="004D2619"/>
    <w:rsid w:val="004D318C"/>
    <w:rsid w:val="004D5FC3"/>
    <w:rsid w:val="004D6231"/>
    <w:rsid w:val="004D6268"/>
    <w:rsid w:val="004D76EA"/>
    <w:rsid w:val="004D7B7F"/>
    <w:rsid w:val="004E08D8"/>
    <w:rsid w:val="004E3FAC"/>
    <w:rsid w:val="004E4F7A"/>
    <w:rsid w:val="004E60CC"/>
    <w:rsid w:val="004E6E1B"/>
    <w:rsid w:val="004F3AE2"/>
    <w:rsid w:val="004F4400"/>
    <w:rsid w:val="004F658E"/>
    <w:rsid w:val="004F7CD1"/>
    <w:rsid w:val="004F7ECC"/>
    <w:rsid w:val="00500570"/>
    <w:rsid w:val="0050223F"/>
    <w:rsid w:val="005025A9"/>
    <w:rsid w:val="00502A3D"/>
    <w:rsid w:val="00503F85"/>
    <w:rsid w:val="00505F41"/>
    <w:rsid w:val="00506E55"/>
    <w:rsid w:val="005073DA"/>
    <w:rsid w:val="00507427"/>
    <w:rsid w:val="005074B4"/>
    <w:rsid w:val="005120E1"/>
    <w:rsid w:val="0051270A"/>
    <w:rsid w:val="00513281"/>
    <w:rsid w:val="00513E5C"/>
    <w:rsid w:val="00515482"/>
    <w:rsid w:val="00516B16"/>
    <w:rsid w:val="00517FB6"/>
    <w:rsid w:val="005202D7"/>
    <w:rsid w:val="00520836"/>
    <w:rsid w:val="00522D18"/>
    <w:rsid w:val="00522E54"/>
    <w:rsid w:val="00524AF2"/>
    <w:rsid w:val="00524E88"/>
    <w:rsid w:val="00525855"/>
    <w:rsid w:val="00525B53"/>
    <w:rsid w:val="00527897"/>
    <w:rsid w:val="00532280"/>
    <w:rsid w:val="00532446"/>
    <w:rsid w:val="00533BCF"/>
    <w:rsid w:val="00535A0C"/>
    <w:rsid w:val="00536E07"/>
    <w:rsid w:val="0053762A"/>
    <w:rsid w:val="00537885"/>
    <w:rsid w:val="00542A70"/>
    <w:rsid w:val="00543110"/>
    <w:rsid w:val="00543507"/>
    <w:rsid w:val="00544DF0"/>
    <w:rsid w:val="0054520C"/>
    <w:rsid w:val="00546FB0"/>
    <w:rsid w:val="00547904"/>
    <w:rsid w:val="005502FF"/>
    <w:rsid w:val="00550705"/>
    <w:rsid w:val="00551C0D"/>
    <w:rsid w:val="005524AC"/>
    <w:rsid w:val="00552F05"/>
    <w:rsid w:val="00553202"/>
    <w:rsid w:val="0055330F"/>
    <w:rsid w:val="00553EF5"/>
    <w:rsid w:val="005549B7"/>
    <w:rsid w:val="00554B6F"/>
    <w:rsid w:val="00554E11"/>
    <w:rsid w:val="00555840"/>
    <w:rsid w:val="00555CC9"/>
    <w:rsid w:val="00555D33"/>
    <w:rsid w:val="00556845"/>
    <w:rsid w:val="00557863"/>
    <w:rsid w:val="005602E2"/>
    <w:rsid w:val="00560371"/>
    <w:rsid w:val="00561626"/>
    <w:rsid w:val="005633F3"/>
    <w:rsid w:val="00571A0E"/>
    <w:rsid w:val="005741D1"/>
    <w:rsid w:val="00574251"/>
    <w:rsid w:val="0057469C"/>
    <w:rsid w:val="00575E55"/>
    <w:rsid w:val="005802C5"/>
    <w:rsid w:val="00580BDA"/>
    <w:rsid w:val="00580F10"/>
    <w:rsid w:val="005811B8"/>
    <w:rsid w:val="00581731"/>
    <w:rsid w:val="0058226A"/>
    <w:rsid w:val="00582C31"/>
    <w:rsid w:val="00583AF1"/>
    <w:rsid w:val="00585137"/>
    <w:rsid w:val="005853F3"/>
    <w:rsid w:val="00586547"/>
    <w:rsid w:val="005909F6"/>
    <w:rsid w:val="00591E4C"/>
    <w:rsid w:val="00592171"/>
    <w:rsid w:val="0059472C"/>
    <w:rsid w:val="0059557B"/>
    <w:rsid w:val="005955E0"/>
    <w:rsid w:val="00595DB8"/>
    <w:rsid w:val="00596194"/>
    <w:rsid w:val="005962AE"/>
    <w:rsid w:val="00597BB5"/>
    <w:rsid w:val="005A04B0"/>
    <w:rsid w:val="005A0581"/>
    <w:rsid w:val="005A108D"/>
    <w:rsid w:val="005A1781"/>
    <w:rsid w:val="005A4394"/>
    <w:rsid w:val="005A6744"/>
    <w:rsid w:val="005A71D6"/>
    <w:rsid w:val="005A7837"/>
    <w:rsid w:val="005B2F10"/>
    <w:rsid w:val="005B419F"/>
    <w:rsid w:val="005B423A"/>
    <w:rsid w:val="005B5B2A"/>
    <w:rsid w:val="005B7420"/>
    <w:rsid w:val="005C1C3C"/>
    <w:rsid w:val="005C2255"/>
    <w:rsid w:val="005C373B"/>
    <w:rsid w:val="005C3A43"/>
    <w:rsid w:val="005C4A18"/>
    <w:rsid w:val="005C63A5"/>
    <w:rsid w:val="005C7746"/>
    <w:rsid w:val="005C78CB"/>
    <w:rsid w:val="005D110F"/>
    <w:rsid w:val="005D5CF2"/>
    <w:rsid w:val="005E0341"/>
    <w:rsid w:val="005E091C"/>
    <w:rsid w:val="005E0A26"/>
    <w:rsid w:val="005E0F15"/>
    <w:rsid w:val="005E16BB"/>
    <w:rsid w:val="005E17B7"/>
    <w:rsid w:val="005E1A94"/>
    <w:rsid w:val="005E1CC0"/>
    <w:rsid w:val="005E1FD0"/>
    <w:rsid w:val="005E2214"/>
    <w:rsid w:val="005E26CF"/>
    <w:rsid w:val="005E2C12"/>
    <w:rsid w:val="005E4424"/>
    <w:rsid w:val="005F0360"/>
    <w:rsid w:val="005F0583"/>
    <w:rsid w:val="005F05CF"/>
    <w:rsid w:val="005F0898"/>
    <w:rsid w:val="005F3A01"/>
    <w:rsid w:val="005F5907"/>
    <w:rsid w:val="005F651C"/>
    <w:rsid w:val="005F794C"/>
    <w:rsid w:val="00601273"/>
    <w:rsid w:val="00601DE4"/>
    <w:rsid w:val="0060216A"/>
    <w:rsid w:val="00603069"/>
    <w:rsid w:val="00603492"/>
    <w:rsid w:val="00604BEB"/>
    <w:rsid w:val="00606E7A"/>
    <w:rsid w:val="006071EA"/>
    <w:rsid w:val="00607763"/>
    <w:rsid w:val="00610703"/>
    <w:rsid w:val="00611062"/>
    <w:rsid w:val="00611301"/>
    <w:rsid w:val="00611448"/>
    <w:rsid w:val="00611F91"/>
    <w:rsid w:val="006122F9"/>
    <w:rsid w:val="00612C2D"/>
    <w:rsid w:val="00612D27"/>
    <w:rsid w:val="00612D9D"/>
    <w:rsid w:val="00615B8C"/>
    <w:rsid w:val="006179C3"/>
    <w:rsid w:val="0062066D"/>
    <w:rsid w:val="00621E6B"/>
    <w:rsid w:val="00624BA9"/>
    <w:rsid w:val="0062511C"/>
    <w:rsid w:val="006254C1"/>
    <w:rsid w:val="006259D5"/>
    <w:rsid w:val="006317AC"/>
    <w:rsid w:val="00631B7F"/>
    <w:rsid w:val="0063289A"/>
    <w:rsid w:val="00632F32"/>
    <w:rsid w:val="0063319E"/>
    <w:rsid w:val="00635241"/>
    <w:rsid w:val="00635FF2"/>
    <w:rsid w:val="006405E9"/>
    <w:rsid w:val="00644C4E"/>
    <w:rsid w:val="0064568C"/>
    <w:rsid w:val="00645999"/>
    <w:rsid w:val="0064701C"/>
    <w:rsid w:val="00650460"/>
    <w:rsid w:val="006507C7"/>
    <w:rsid w:val="00650B97"/>
    <w:rsid w:val="00651516"/>
    <w:rsid w:val="00651599"/>
    <w:rsid w:val="006519D2"/>
    <w:rsid w:val="00652BB1"/>
    <w:rsid w:val="00653485"/>
    <w:rsid w:val="00654A8C"/>
    <w:rsid w:val="00661464"/>
    <w:rsid w:val="006619DB"/>
    <w:rsid w:val="006653B3"/>
    <w:rsid w:val="00667329"/>
    <w:rsid w:val="00667D7B"/>
    <w:rsid w:val="00670A2A"/>
    <w:rsid w:val="00670AE4"/>
    <w:rsid w:val="00673234"/>
    <w:rsid w:val="00673AA3"/>
    <w:rsid w:val="00673D64"/>
    <w:rsid w:val="00673E30"/>
    <w:rsid w:val="00675038"/>
    <w:rsid w:val="00676438"/>
    <w:rsid w:val="00676DC2"/>
    <w:rsid w:val="00677748"/>
    <w:rsid w:val="00681F3E"/>
    <w:rsid w:val="00682316"/>
    <w:rsid w:val="006845A1"/>
    <w:rsid w:val="00687DDE"/>
    <w:rsid w:val="006901C5"/>
    <w:rsid w:val="00690E1C"/>
    <w:rsid w:val="0069240E"/>
    <w:rsid w:val="00692C3B"/>
    <w:rsid w:val="0069305D"/>
    <w:rsid w:val="00693326"/>
    <w:rsid w:val="00693334"/>
    <w:rsid w:val="0069380D"/>
    <w:rsid w:val="00693CAB"/>
    <w:rsid w:val="00694635"/>
    <w:rsid w:val="00694E19"/>
    <w:rsid w:val="006956D9"/>
    <w:rsid w:val="006957DB"/>
    <w:rsid w:val="00696AAF"/>
    <w:rsid w:val="006A11E8"/>
    <w:rsid w:val="006A4A20"/>
    <w:rsid w:val="006A4AEC"/>
    <w:rsid w:val="006A6726"/>
    <w:rsid w:val="006A6944"/>
    <w:rsid w:val="006B159F"/>
    <w:rsid w:val="006B1FDF"/>
    <w:rsid w:val="006B46FA"/>
    <w:rsid w:val="006B47F8"/>
    <w:rsid w:val="006B6234"/>
    <w:rsid w:val="006C13EF"/>
    <w:rsid w:val="006C32CE"/>
    <w:rsid w:val="006C788E"/>
    <w:rsid w:val="006D0573"/>
    <w:rsid w:val="006D0F09"/>
    <w:rsid w:val="006D5A41"/>
    <w:rsid w:val="006D7211"/>
    <w:rsid w:val="006D73E8"/>
    <w:rsid w:val="006E11D9"/>
    <w:rsid w:val="006E238F"/>
    <w:rsid w:val="006E34B7"/>
    <w:rsid w:val="006E44F3"/>
    <w:rsid w:val="006E5393"/>
    <w:rsid w:val="006E731E"/>
    <w:rsid w:val="006F2406"/>
    <w:rsid w:val="006F2EC8"/>
    <w:rsid w:val="006F3118"/>
    <w:rsid w:val="006F4A5B"/>
    <w:rsid w:val="006F5AFC"/>
    <w:rsid w:val="00701574"/>
    <w:rsid w:val="00702F79"/>
    <w:rsid w:val="00703DA9"/>
    <w:rsid w:val="00704B03"/>
    <w:rsid w:val="00706B9F"/>
    <w:rsid w:val="0070743C"/>
    <w:rsid w:val="00707D69"/>
    <w:rsid w:val="00710A62"/>
    <w:rsid w:val="00711ECA"/>
    <w:rsid w:val="00712FD5"/>
    <w:rsid w:val="00713CAF"/>
    <w:rsid w:val="00714709"/>
    <w:rsid w:val="0071518C"/>
    <w:rsid w:val="00715E00"/>
    <w:rsid w:val="00716129"/>
    <w:rsid w:val="007162B6"/>
    <w:rsid w:val="0071730C"/>
    <w:rsid w:val="00717792"/>
    <w:rsid w:val="007200A6"/>
    <w:rsid w:val="00720B89"/>
    <w:rsid w:val="00721485"/>
    <w:rsid w:val="00723122"/>
    <w:rsid w:val="00724C10"/>
    <w:rsid w:val="007265D5"/>
    <w:rsid w:val="0072720F"/>
    <w:rsid w:val="007274AF"/>
    <w:rsid w:val="00730508"/>
    <w:rsid w:val="0073062A"/>
    <w:rsid w:val="0073145F"/>
    <w:rsid w:val="007320ED"/>
    <w:rsid w:val="00733EA7"/>
    <w:rsid w:val="00735934"/>
    <w:rsid w:val="0073632B"/>
    <w:rsid w:val="00736612"/>
    <w:rsid w:val="007379D3"/>
    <w:rsid w:val="00737C45"/>
    <w:rsid w:val="0074073C"/>
    <w:rsid w:val="0074159A"/>
    <w:rsid w:val="00741B6F"/>
    <w:rsid w:val="0074454D"/>
    <w:rsid w:val="007445A0"/>
    <w:rsid w:val="00745713"/>
    <w:rsid w:val="00747583"/>
    <w:rsid w:val="0074790E"/>
    <w:rsid w:val="007479B0"/>
    <w:rsid w:val="00747D03"/>
    <w:rsid w:val="00752608"/>
    <w:rsid w:val="007555A4"/>
    <w:rsid w:val="00756027"/>
    <w:rsid w:val="0075764D"/>
    <w:rsid w:val="00757787"/>
    <w:rsid w:val="00760483"/>
    <w:rsid w:val="00760DF0"/>
    <w:rsid w:val="00760FE7"/>
    <w:rsid w:val="007610C0"/>
    <w:rsid w:val="007612AF"/>
    <w:rsid w:val="00763351"/>
    <w:rsid w:val="00764234"/>
    <w:rsid w:val="00766309"/>
    <w:rsid w:val="0076667D"/>
    <w:rsid w:val="007666DC"/>
    <w:rsid w:val="00766D8E"/>
    <w:rsid w:val="00767039"/>
    <w:rsid w:val="007673DD"/>
    <w:rsid w:val="007678B2"/>
    <w:rsid w:val="00767ADD"/>
    <w:rsid w:val="007705B8"/>
    <w:rsid w:val="007725E4"/>
    <w:rsid w:val="00773C78"/>
    <w:rsid w:val="00774C19"/>
    <w:rsid w:val="007762AE"/>
    <w:rsid w:val="00776F2E"/>
    <w:rsid w:val="00777272"/>
    <w:rsid w:val="007806BA"/>
    <w:rsid w:val="007813FE"/>
    <w:rsid w:val="00781EBD"/>
    <w:rsid w:val="007833BC"/>
    <w:rsid w:val="0078396C"/>
    <w:rsid w:val="00784589"/>
    <w:rsid w:val="007851A5"/>
    <w:rsid w:val="00785B2D"/>
    <w:rsid w:val="00786682"/>
    <w:rsid w:val="007875F9"/>
    <w:rsid w:val="00787B57"/>
    <w:rsid w:val="00787DBD"/>
    <w:rsid w:val="00790243"/>
    <w:rsid w:val="00791CDA"/>
    <w:rsid w:val="007932CD"/>
    <w:rsid w:val="00794548"/>
    <w:rsid w:val="00795C16"/>
    <w:rsid w:val="00797613"/>
    <w:rsid w:val="00797832"/>
    <w:rsid w:val="00797AAE"/>
    <w:rsid w:val="00797F0E"/>
    <w:rsid w:val="007A1AF0"/>
    <w:rsid w:val="007A28EA"/>
    <w:rsid w:val="007A36ED"/>
    <w:rsid w:val="007A54DE"/>
    <w:rsid w:val="007B0B68"/>
    <w:rsid w:val="007B12D5"/>
    <w:rsid w:val="007B160A"/>
    <w:rsid w:val="007B46D1"/>
    <w:rsid w:val="007B543E"/>
    <w:rsid w:val="007B5605"/>
    <w:rsid w:val="007B595E"/>
    <w:rsid w:val="007B66BE"/>
    <w:rsid w:val="007C061B"/>
    <w:rsid w:val="007C0C58"/>
    <w:rsid w:val="007C1BE5"/>
    <w:rsid w:val="007C2890"/>
    <w:rsid w:val="007C3AC1"/>
    <w:rsid w:val="007C5564"/>
    <w:rsid w:val="007C575B"/>
    <w:rsid w:val="007C57D3"/>
    <w:rsid w:val="007C7B4A"/>
    <w:rsid w:val="007D1249"/>
    <w:rsid w:val="007D2449"/>
    <w:rsid w:val="007D3196"/>
    <w:rsid w:val="007D31D7"/>
    <w:rsid w:val="007D4B45"/>
    <w:rsid w:val="007D50C1"/>
    <w:rsid w:val="007D5114"/>
    <w:rsid w:val="007D53DC"/>
    <w:rsid w:val="007D59A0"/>
    <w:rsid w:val="007E03D7"/>
    <w:rsid w:val="007E118B"/>
    <w:rsid w:val="007E26F7"/>
    <w:rsid w:val="007E396E"/>
    <w:rsid w:val="007E3A40"/>
    <w:rsid w:val="007E4E36"/>
    <w:rsid w:val="007E5E7A"/>
    <w:rsid w:val="007E6784"/>
    <w:rsid w:val="007E6E2D"/>
    <w:rsid w:val="007E72AE"/>
    <w:rsid w:val="007F08FB"/>
    <w:rsid w:val="007F0AEB"/>
    <w:rsid w:val="007F0D48"/>
    <w:rsid w:val="007F1711"/>
    <w:rsid w:val="007F2017"/>
    <w:rsid w:val="007F2F92"/>
    <w:rsid w:val="007F4B95"/>
    <w:rsid w:val="007F4C79"/>
    <w:rsid w:val="007F6071"/>
    <w:rsid w:val="007F7981"/>
    <w:rsid w:val="008009E6"/>
    <w:rsid w:val="00801EE9"/>
    <w:rsid w:val="008042C9"/>
    <w:rsid w:val="00805F8F"/>
    <w:rsid w:val="00807D19"/>
    <w:rsid w:val="00810814"/>
    <w:rsid w:val="008121BB"/>
    <w:rsid w:val="00812539"/>
    <w:rsid w:val="00812A73"/>
    <w:rsid w:val="00816573"/>
    <w:rsid w:val="008173A6"/>
    <w:rsid w:val="008203FE"/>
    <w:rsid w:val="00821C63"/>
    <w:rsid w:val="00821F9D"/>
    <w:rsid w:val="00826C81"/>
    <w:rsid w:val="00831331"/>
    <w:rsid w:val="00831A84"/>
    <w:rsid w:val="00831B86"/>
    <w:rsid w:val="00832DDA"/>
    <w:rsid w:val="00833669"/>
    <w:rsid w:val="00834536"/>
    <w:rsid w:val="00835B33"/>
    <w:rsid w:val="008379E5"/>
    <w:rsid w:val="00843523"/>
    <w:rsid w:val="0084374A"/>
    <w:rsid w:val="00844EC9"/>
    <w:rsid w:val="008454CE"/>
    <w:rsid w:val="00847D14"/>
    <w:rsid w:val="00847EC9"/>
    <w:rsid w:val="0085021C"/>
    <w:rsid w:val="00850799"/>
    <w:rsid w:val="00854C15"/>
    <w:rsid w:val="0085544A"/>
    <w:rsid w:val="0085560E"/>
    <w:rsid w:val="008560FC"/>
    <w:rsid w:val="008570C0"/>
    <w:rsid w:val="00857EE4"/>
    <w:rsid w:val="00857F22"/>
    <w:rsid w:val="00857FC8"/>
    <w:rsid w:val="00860AC8"/>
    <w:rsid w:val="00861472"/>
    <w:rsid w:val="0086193B"/>
    <w:rsid w:val="0086237E"/>
    <w:rsid w:val="00863367"/>
    <w:rsid w:val="00864186"/>
    <w:rsid w:val="0086545E"/>
    <w:rsid w:val="0086614C"/>
    <w:rsid w:val="0087071F"/>
    <w:rsid w:val="00871001"/>
    <w:rsid w:val="008716EC"/>
    <w:rsid w:val="00871BDA"/>
    <w:rsid w:val="0087276C"/>
    <w:rsid w:val="00872D9E"/>
    <w:rsid w:val="00875783"/>
    <w:rsid w:val="008759EE"/>
    <w:rsid w:val="00876A60"/>
    <w:rsid w:val="00877A13"/>
    <w:rsid w:val="00877A5B"/>
    <w:rsid w:val="00877A73"/>
    <w:rsid w:val="00877B1E"/>
    <w:rsid w:val="00880E2C"/>
    <w:rsid w:val="00880F3C"/>
    <w:rsid w:val="00882119"/>
    <w:rsid w:val="008838AB"/>
    <w:rsid w:val="008841A8"/>
    <w:rsid w:val="00884C84"/>
    <w:rsid w:val="00885214"/>
    <w:rsid w:val="00885565"/>
    <w:rsid w:val="00886F4E"/>
    <w:rsid w:val="00887000"/>
    <w:rsid w:val="00887B3D"/>
    <w:rsid w:val="0089058D"/>
    <w:rsid w:val="008907AC"/>
    <w:rsid w:val="00892ADF"/>
    <w:rsid w:val="00897F14"/>
    <w:rsid w:val="008A1C1F"/>
    <w:rsid w:val="008A46B5"/>
    <w:rsid w:val="008A5987"/>
    <w:rsid w:val="008A6064"/>
    <w:rsid w:val="008A685F"/>
    <w:rsid w:val="008A6EFC"/>
    <w:rsid w:val="008B2361"/>
    <w:rsid w:val="008B364E"/>
    <w:rsid w:val="008B4563"/>
    <w:rsid w:val="008B51A5"/>
    <w:rsid w:val="008B52F2"/>
    <w:rsid w:val="008B5C71"/>
    <w:rsid w:val="008B6ACB"/>
    <w:rsid w:val="008B7D4E"/>
    <w:rsid w:val="008C03D0"/>
    <w:rsid w:val="008C1B2F"/>
    <w:rsid w:val="008C20B2"/>
    <w:rsid w:val="008C2AE6"/>
    <w:rsid w:val="008C3D5D"/>
    <w:rsid w:val="008C48DA"/>
    <w:rsid w:val="008C48F7"/>
    <w:rsid w:val="008D130F"/>
    <w:rsid w:val="008D1A39"/>
    <w:rsid w:val="008D1CC9"/>
    <w:rsid w:val="008D21DE"/>
    <w:rsid w:val="008D2E25"/>
    <w:rsid w:val="008D5EC8"/>
    <w:rsid w:val="008D741E"/>
    <w:rsid w:val="008E248D"/>
    <w:rsid w:val="008E4C57"/>
    <w:rsid w:val="008E5B36"/>
    <w:rsid w:val="008E63D9"/>
    <w:rsid w:val="008E7282"/>
    <w:rsid w:val="008E7368"/>
    <w:rsid w:val="008F1ADE"/>
    <w:rsid w:val="008F73FD"/>
    <w:rsid w:val="00900BF9"/>
    <w:rsid w:val="0090119A"/>
    <w:rsid w:val="009045B6"/>
    <w:rsid w:val="00905054"/>
    <w:rsid w:val="00906053"/>
    <w:rsid w:val="0091040B"/>
    <w:rsid w:val="00910D44"/>
    <w:rsid w:val="00910E61"/>
    <w:rsid w:val="00911B90"/>
    <w:rsid w:val="00912172"/>
    <w:rsid w:val="00914221"/>
    <w:rsid w:val="00915763"/>
    <w:rsid w:val="00921E7E"/>
    <w:rsid w:val="009223F8"/>
    <w:rsid w:val="009226EA"/>
    <w:rsid w:val="009247C6"/>
    <w:rsid w:val="009252B3"/>
    <w:rsid w:val="00925FE7"/>
    <w:rsid w:val="009273E2"/>
    <w:rsid w:val="00933684"/>
    <w:rsid w:val="00935188"/>
    <w:rsid w:val="00936A95"/>
    <w:rsid w:val="00937227"/>
    <w:rsid w:val="0094005B"/>
    <w:rsid w:val="00942745"/>
    <w:rsid w:val="00942A13"/>
    <w:rsid w:val="00943C30"/>
    <w:rsid w:val="009445D2"/>
    <w:rsid w:val="00945032"/>
    <w:rsid w:val="0094571A"/>
    <w:rsid w:val="00946B21"/>
    <w:rsid w:val="00946D9B"/>
    <w:rsid w:val="00953C9B"/>
    <w:rsid w:val="00953E28"/>
    <w:rsid w:val="009542D9"/>
    <w:rsid w:val="0095539D"/>
    <w:rsid w:val="009561BB"/>
    <w:rsid w:val="00957BFD"/>
    <w:rsid w:val="00957CCA"/>
    <w:rsid w:val="009609BD"/>
    <w:rsid w:val="00961DE8"/>
    <w:rsid w:val="00963E55"/>
    <w:rsid w:val="00964315"/>
    <w:rsid w:val="00964F26"/>
    <w:rsid w:val="00965F49"/>
    <w:rsid w:val="0096629A"/>
    <w:rsid w:val="009707ED"/>
    <w:rsid w:val="00970BF0"/>
    <w:rsid w:val="00972224"/>
    <w:rsid w:val="0097445F"/>
    <w:rsid w:val="00974F89"/>
    <w:rsid w:val="0097533B"/>
    <w:rsid w:val="00976673"/>
    <w:rsid w:val="009773BE"/>
    <w:rsid w:val="00980FB5"/>
    <w:rsid w:val="00982F7B"/>
    <w:rsid w:val="00984184"/>
    <w:rsid w:val="00984997"/>
    <w:rsid w:val="009865DD"/>
    <w:rsid w:val="00986C39"/>
    <w:rsid w:val="0099266D"/>
    <w:rsid w:val="009927A7"/>
    <w:rsid w:val="00992F54"/>
    <w:rsid w:val="009949F2"/>
    <w:rsid w:val="00995D15"/>
    <w:rsid w:val="00996697"/>
    <w:rsid w:val="00997C2F"/>
    <w:rsid w:val="009A0115"/>
    <w:rsid w:val="009A036A"/>
    <w:rsid w:val="009A0D29"/>
    <w:rsid w:val="009A1263"/>
    <w:rsid w:val="009A148B"/>
    <w:rsid w:val="009A190F"/>
    <w:rsid w:val="009A2BCE"/>
    <w:rsid w:val="009A2FAA"/>
    <w:rsid w:val="009A326E"/>
    <w:rsid w:val="009A33E1"/>
    <w:rsid w:val="009A43D3"/>
    <w:rsid w:val="009A626B"/>
    <w:rsid w:val="009A6487"/>
    <w:rsid w:val="009A6B1D"/>
    <w:rsid w:val="009A7D0F"/>
    <w:rsid w:val="009B047F"/>
    <w:rsid w:val="009B209E"/>
    <w:rsid w:val="009B36E5"/>
    <w:rsid w:val="009B3B9D"/>
    <w:rsid w:val="009B49A7"/>
    <w:rsid w:val="009B55B6"/>
    <w:rsid w:val="009B5C40"/>
    <w:rsid w:val="009B760A"/>
    <w:rsid w:val="009B7D47"/>
    <w:rsid w:val="009C04A8"/>
    <w:rsid w:val="009C074A"/>
    <w:rsid w:val="009C1457"/>
    <w:rsid w:val="009C1D72"/>
    <w:rsid w:val="009C22DF"/>
    <w:rsid w:val="009C2E61"/>
    <w:rsid w:val="009C30D4"/>
    <w:rsid w:val="009C4F6F"/>
    <w:rsid w:val="009D1B36"/>
    <w:rsid w:val="009D29FB"/>
    <w:rsid w:val="009D2AC5"/>
    <w:rsid w:val="009D3A17"/>
    <w:rsid w:val="009D7632"/>
    <w:rsid w:val="009E0CB7"/>
    <w:rsid w:val="009E1D4C"/>
    <w:rsid w:val="009E23A7"/>
    <w:rsid w:val="009E28E9"/>
    <w:rsid w:val="009E4063"/>
    <w:rsid w:val="009E5A71"/>
    <w:rsid w:val="009E668D"/>
    <w:rsid w:val="009E7463"/>
    <w:rsid w:val="009F12A9"/>
    <w:rsid w:val="009F1497"/>
    <w:rsid w:val="009F1D26"/>
    <w:rsid w:val="009F2177"/>
    <w:rsid w:val="009F48AB"/>
    <w:rsid w:val="009F4E27"/>
    <w:rsid w:val="009F577C"/>
    <w:rsid w:val="009F6562"/>
    <w:rsid w:val="00A01196"/>
    <w:rsid w:val="00A02FCE"/>
    <w:rsid w:val="00A06FEE"/>
    <w:rsid w:val="00A070D9"/>
    <w:rsid w:val="00A07675"/>
    <w:rsid w:val="00A079CA"/>
    <w:rsid w:val="00A11850"/>
    <w:rsid w:val="00A14324"/>
    <w:rsid w:val="00A146A1"/>
    <w:rsid w:val="00A148A1"/>
    <w:rsid w:val="00A14E4A"/>
    <w:rsid w:val="00A15FA3"/>
    <w:rsid w:val="00A164B5"/>
    <w:rsid w:val="00A16E11"/>
    <w:rsid w:val="00A20521"/>
    <w:rsid w:val="00A2057E"/>
    <w:rsid w:val="00A21169"/>
    <w:rsid w:val="00A2177E"/>
    <w:rsid w:val="00A24838"/>
    <w:rsid w:val="00A24A72"/>
    <w:rsid w:val="00A2680D"/>
    <w:rsid w:val="00A2731C"/>
    <w:rsid w:val="00A2761A"/>
    <w:rsid w:val="00A277BC"/>
    <w:rsid w:val="00A3158E"/>
    <w:rsid w:val="00A31620"/>
    <w:rsid w:val="00A32434"/>
    <w:rsid w:val="00A3327B"/>
    <w:rsid w:val="00A3387B"/>
    <w:rsid w:val="00A34307"/>
    <w:rsid w:val="00A362C4"/>
    <w:rsid w:val="00A3630F"/>
    <w:rsid w:val="00A36F1F"/>
    <w:rsid w:val="00A40EB0"/>
    <w:rsid w:val="00A41E93"/>
    <w:rsid w:val="00A43AB0"/>
    <w:rsid w:val="00A43C36"/>
    <w:rsid w:val="00A44923"/>
    <w:rsid w:val="00A46ABE"/>
    <w:rsid w:val="00A47B81"/>
    <w:rsid w:val="00A52506"/>
    <w:rsid w:val="00A54DBE"/>
    <w:rsid w:val="00A54E65"/>
    <w:rsid w:val="00A5680F"/>
    <w:rsid w:val="00A56874"/>
    <w:rsid w:val="00A57194"/>
    <w:rsid w:val="00A5777B"/>
    <w:rsid w:val="00A60774"/>
    <w:rsid w:val="00A60887"/>
    <w:rsid w:val="00A62086"/>
    <w:rsid w:val="00A63116"/>
    <w:rsid w:val="00A634FA"/>
    <w:rsid w:val="00A649D3"/>
    <w:rsid w:val="00A64D5B"/>
    <w:rsid w:val="00A64DBA"/>
    <w:rsid w:val="00A66754"/>
    <w:rsid w:val="00A67238"/>
    <w:rsid w:val="00A71459"/>
    <w:rsid w:val="00A714F9"/>
    <w:rsid w:val="00A72245"/>
    <w:rsid w:val="00A72C58"/>
    <w:rsid w:val="00A75D11"/>
    <w:rsid w:val="00A76A2A"/>
    <w:rsid w:val="00A777EA"/>
    <w:rsid w:val="00A81E5D"/>
    <w:rsid w:val="00A81E82"/>
    <w:rsid w:val="00A82927"/>
    <w:rsid w:val="00A8620A"/>
    <w:rsid w:val="00A9022D"/>
    <w:rsid w:val="00A90660"/>
    <w:rsid w:val="00A92598"/>
    <w:rsid w:val="00A92742"/>
    <w:rsid w:val="00A92AB3"/>
    <w:rsid w:val="00A946C0"/>
    <w:rsid w:val="00A950E5"/>
    <w:rsid w:val="00A96786"/>
    <w:rsid w:val="00A975D0"/>
    <w:rsid w:val="00A977C4"/>
    <w:rsid w:val="00AA03BC"/>
    <w:rsid w:val="00AA1741"/>
    <w:rsid w:val="00AA3721"/>
    <w:rsid w:val="00AA40DF"/>
    <w:rsid w:val="00AA4577"/>
    <w:rsid w:val="00AA4DCC"/>
    <w:rsid w:val="00AA641C"/>
    <w:rsid w:val="00AA7373"/>
    <w:rsid w:val="00AB0B81"/>
    <w:rsid w:val="00AB0CA2"/>
    <w:rsid w:val="00AB1817"/>
    <w:rsid w:val="00AB1B74"/>
    <w:rsid w:val="00AB2C04"/>
    <w:rsid w:val="00AB62E3"/>
    <w:rsid w:val="00AB6D16"/>
    <w:rsid w:val="00AC0D3D"/>
    <w:rsid w:val="00AC19D7"/>
    <w:rsid w:val="00AC25B3"/>
    <w:rsid w:val="00AC4159"/>
    <w:rsid w:val="00AC6661"/>
    <w:rsid w:val="00AC7A2E"/>
    <w:rsid w:val="00AD0F70"/>
    <w:rsid w:val="00AD12F3"/>
    <w:rsid w:val="00AD37C3"/>
    <w:rsid w:val="00AD7004"/>
    <w:rsid w:val="00AD7229"/>
    <w:rsid w:val="00AE0AEA"/>
    <w:rsid w:val="00AE0EA1"/>
    <w:rsid w:val="00AE37D6"/>
    <w:rsid w:val="00AE390C"/>
    <w:rsid w:val="00AE4CA4"/>
    <w:rsid w:val="00AE5D5C"/>
    <w:rsid w:val="00AE6A9D"/>
    <w:rsid w:val="00AF0E0B"/>
    <w:rsid w:val="00AF22E1"/>
    <w:rsid w:val="00AF246B"/>
    <w:rsid w:val="00AF3B70"/>
    <w:rsid w:val="00AF3DD6"/>
    <w:rsid w:val="00AF3E2D"/>
    <w:rsid w:val="00AF47A5"/>
    <w:rsid w:val="00AF5108"/>
    <w:rsid w:val="00AF731A"/>
    <w:rsid w:val="00AF774F"/>
    <w:rsid w:val="00B0046A"/>
    <w:rsid w:val="00B0296F"/>
    <w:rsid w:val="00B03F92"/>
    <w:rsid w:val="00B0658A"/>
    <w:rsid w:val="00B1158E"/>
    <w:rsid w:val="00B12645"/>
    <w:rsid w:val="00B16D14"/>
    <w:rsid w:val="00B178FF"/>
    <w:rsid w:val="00B21AF8"/>
    <w:rsid w:val="00B21BA3"/>
    <w:rsid w:val="00B22D3A"/>
    <w:rsid w:val="00B234DE"/>
    <w:rsid w:val="00B234EF"/>
    <w:rsid w:val="00B24293"/>
    <w:rsid w:val="00B24C59"/>
    <w:rsid w:val="00B252FD"/>
    <w:rsid w:val="00B300BC"/>
    <w:rsid w:val="00B30FAF"/>
    <w:rsid w:val="00B32025"/>
    <w:rsid w:val="00B36707"/>
    <w:rsid w:val="00B37798"/>
    <w:rsid w:val="00B37B4F"/>
    <w:rsid w:val="00B40129"/>
    <w:rsid w:val="00B408BF"/>
    <w:rsid w:val="00B40D14"/>
    <w:rsid w:val="00B44AD5"/>
    <w:rsid w:val="00B453D0"/>
    <w:rsid w:val="00B455A2"/>
    <w:rsid w:val="00B46687"/>
    <w:rsid w:val="00B468FC"/>
    <w:rsid w:val="00B503E4"/>
    <w:rsid w:val="00B50938"/>
    <w:rsid w:val="00B5102D"/>
    <w:rsid w:val="00B52657"/>
    <w:rsid w:val="00B532DF"/>
    <w:rsid w:val="00B5365B"/>
    <w:rsid w:val="00B53C31"/>
    <w:rsid w:val="00B54D6F"/>
    <w:rsid w:val="00B550C8"/>
    <w:rsid w:val="00B5517D"/>
    <w:rsid w:val="00B563AE"/>
    <w:rsid w:val="00B57221"/>
    <w:rsid w:val="00B57436"/>
    <w:rsid w:val="00B57CB6"/>
    <w:rsid w:val="00B61931"/>
    <w:rsid w:val="00B62CC7"/>
    <w:rsid w:val="00B633F0"/>
    <w:rsid w:val="00B63657"/>
    <w:rsid w:val="00B640B2"/>
    <w:rsid w:val="00B65625"/>
    <w:rsid w:val="00B67CFA"/>
    <w:rsid w:val="00B71102"/>
    <w:rsid w:val="00B71187"/>
    <w:rsid w:val="00B71960"/>
    <w:rsid w:val="00B7521C"/>
    <w:rsid w:val="00B75609"/>
    <w:rsid w:val="00B75A33"/>
    <w:rsid w:val="00B77EDA"/>
    <w:rsid w:val="00B852B5"/>
    <w:rsid w:val="00B85D13"/>
    <w:rsid w:val="00B86EF4"/>
    <w:rsid w:val="00B90090"/>
    <w:rsid w:val="00B906A8"/>
    <w:rsid w:val="00B91741"/>
    <w:rsid w:val="00B934F9"/>
    <w:rsid w:val="00B9612D"/>
    <w:rsid w:val="00B97FDF"/>
    <w:rsid w:val="00BA065E"/>
    <w:rsid w:val="00BA08AA"/>
    <w:rsid w:val="00BA0D16"/>
    <w:rsid w:val="00BA1837"/>
    <w:rsid w:val="00BA20A0"/>
    <w:rsid w:val="00BA5113"/>
    <w:rsid w:val="00BA5585"/>
    <w:rsid w:val="00BA56D7"/>
    <w:rsid w:val="00BA622C"/>
    <w:rsid w:val="00BB0E19"/>
    <w:rsid w:val="00BB2EAF"/>
    <w:rsid w:val="00BB368E"/>
    <w:rsid w:val="00BB4519"/>
    <w:rsid w:val="00BB5136"/>
    <w:rsid w:val="00BB5180"/>
    <w:rsid w:val="00BB52C8"/>
    <w:rsid w:val="00BB6531"/>
    <w:rsid w:val="00BB6AFE"/>
    <w:rsid w:val="00BB6F62"/>
    <w:rsid w:val="00BC0B3E"/>
    <w:rsid w:val="00BC4366"/>
    <w:rsid w:val="00BC611C"/>
    <w:rsid w:val="00BC688E"/>
    <w:rsid w:val="00BD3421"/>
    <w:rsid w:val="00BD3CFC"/>
    <w:rsid w:val="00BD3F7A"/>
    <w:rsid w:val="00BD5DB1"/>
    <w:rsid w:val="00BD5FE6"/>
    <w:rsid w:val="00BD72DA"/>
    <w:rsid w:val="00BD7BB6"/>
    <w:rsid w:val="00BE0077"/>
    <w:rsid w:val="00BE036A"/>
    <w:rsid w:val="00BE22F8"/>
    <w:rsid w:val="00BE2F73"/>
    <w:rsid w:val="00BE34BE"/>
    <w:rsid w:val="00BE47CE"/>
    <w:rsid w:val="00BE4DB1"/>
    <w:rsid w:val="00BE574B"/>
    <w:rsid w:val="00BE7B00"/>
    <w:rsid w:val="00BF0BEF"/>
    <w:rsid w:val="00BF2962"/>
    <w:rsid w:val="00BF4583"/>
    <w:rsid w:val="00BF551A"/>
    <w:rsid w:val="00BF5E6E"/>
    <w:rsid w:val="00BF5F43"/>
    <w:rsid w:val="00BF7772"/>
    <w:rsid w:val="00C001B5"/>
    <w:rsid w:val="00C00BC5"/>
    <w:rsid w:val="00C00D40"/>
    <w:rsid w:val="00C017E9"/>
    <w:rsid w:val="00C0217B"/>
    <w:rsid w:val="00C028C7"/>
    <w:rsid w:val="00C037AC"/>
    <w:rsid w:val="00C04DD3"/>
    <w:rsid w:val="00C0526B"/>
    <w:rsid w:val="00C065DC"/>
    <w:rsid w:val="00C069B1"/>
    <w:rsid w:val="00C106FA"/>
    <w:rsid w:val="00C10961"/>
    <w:rsid w:val="00C12436"/>
    <w:rsid w:val="00C12940"/>
    <w:rsid w:val="00C12FD1"/>
    <w:rsid w:val="00C136C5"/>
    <w:rsid w:val="00C175A0"/>
    <w:rsid w:val="00C20172"/>
    <w:rsid w:val="00C20212"/>
    <w:rsid w:val="00C2220A"/>
    <w:rsid w:val="00C22403"/>
    <w:rsid w:val="00C22A66"/>
    <w:rsid w:val="00C2575B"/>
    <w:rsid w:val="00C273D5"/>
    <w:rsid w:val="00C301B4"/>
    <w:rsid w:val="00C318F7"/>
    <w:rsid w:val="00C320A8"/>
    <w:rsid w:val="00C32330"/>
    <w:rsid w:val="00C347FA"/>
    <w:rsid w:val="00C37DA6"/>
    <w:rsid w:val="00C41BD5"/>
    <w:rsid w:val="00C41FC0"/>
    <w:rsid w:val="00C45627"/>
    <w:rsid w:val="00C52EEF"/>
    <w:rsid w:val="00C558B1"/>
    <w:rsid w:val="00C56AAC"/>
    <w:rsid w:val="00C60090"/>
    <w:rsid w:val="00C60883"/>
    <w:rsid w:val="00C61559"/>
    <w:rsid w:val="00C6162F"/>
    <w:rsid w:val="00C62C49"/>
    <w:rsid w:val="00C63971"/>
    <w:rsid w:val="00C64BB8"/>
    <w:rsid w:val="00C6584D"/>
    <w:rsid w:val="00C71048"/>
    <w:rsid w:val="00C7131D"/>
    <w:rsid w:val="00C72DA2"/>
    <w:rsid w:val="00C80B31"/>
    <w:rsid w:val="00C83924"/>
    <w:rsid w:val="00C83DCC"/>
    <w:rsid w:val="00C83FE6"/>
    <w:rsid w:val="00C84353"/>
    <w:rsid w:val="00C85187"/>
    <w:rsid w:val="00C8733D"/>
    <w:rsid w:val="00C90BF2"/>
    <w:rsid w:val="00C91B07"/>
    <w:rsid w:val="00C922FC"/>
    <w:rsid w:val="00C929AD"/>
    <w:rsid w:val="00C931EB"/>
    <w:rsid w:val="00C93247"/>
    <w:rsid w:val="00C96700"/>
    <w:rsid w:val="00CA12B8"/>
    <w:rsid w:val="00CA2D40"/>
    <w:rsid w:val="00CA4837"/>
    <w:rsid w:val="00CA79FA"/>
    <w:rsid w:val="00CB1C8A"/>
    <w:rsid w:val="00CB1EEB"/>
    <w:rsid w:val="00CB24BE"/>
    <w:rsid w:val="00CB2CA3"/>
    <w:rsid w:val="00CB3B36"/>
    <w:rsid w:val="00CB4D22"/>
    <w:rsid w:val="00CB5047"/>
    <w:rsid w:val="00CB6D71"/>
    <w:rsid w:val="00CC0983"/>
    <w:rsid w:val="00CC0F57"/>
    <w:rsid w:val="00CC0FA1"/>
    <w:rsid w:val="00CC2E89"/>
    <w:rsid w:val="00CC59E3"/>
    <w:rsid w:val="00CC630B"/>
    <w:rsid w:val="00CC6405"/>
    <w:rsid w:val="00CD0406"/>
    <w:rsid w:val="00CD0420"/>
    <w:rsid w:val="00CD04C1"/>
    <w:rsid w:val="00CD06E6"/>
    <w:rsid w:val="00CD10B8"/>
    <w:rsid w:val="00CD342E"/>
    <w:rsid w:val="00CD4590"/>
    <w:rsid w:val="00CD77DF"/>
    <w:rsid w:val="00CE1698"/>
    <w:rsid w:val="00CE2037"/>
    <w:rsid w:val="00CE287E"/>
    <w:rsid w:val="00CE2995"/>
    <w:rsid w:val="00CE2DBF"/>
    <w:rsid w:val="00CE40FE"/>
    <w:rsid w:val="00CE5BA4"/>
    <w:rsid w:val="00CE71A7"/>
    <w:rsid w:val="00CE71FE"/>
    <w:rsid w:val="00CE79F1"/>
    <w:rsid w:val="00CF0FDD"/>
    <w:rsid w:val="00CF1D00"/>
    <w:rsid w:val="00CF316D"/>
    <w:rsid w:val="00CF472F"/>
    <w:rsid w:val="00CF6751"/>
    <w:rsid w:val="00CF7F4B"/>
    <w:rsid w:val="00D0341B"/>
    <w:rsid w:val="00D04A30"/>
    <w:rsid w:val="00D06869"/>
    <w:rsid w:val="00D069C6"/>
    <w:rsid w:val="00D06D7E"/>
    <w:rsid w:val="00D077C5"/>
    <w:rsid w:val="00D07A02"/>
    <w:rsid w:val="00D11222"/>
    <w:rsid w:val="00D11E50"/>
    <w:rsid w:val="00D12202"/>
    <w:rsid w:val="00D1280B"/>
    <w:rsid w:val="00D12D24"/>
    <w:rsid w:val="00D130D7"/>
    <w:rsid w:val="00D13417"/>
    <w:rsid w:val="00D14EA7"/>
    <w:rsid w:val="00D1537F"/>
    <w:rsid w:val="00D165D4"/>
    <w:rsid w:val="00D172CD"/>
    <w:rsid w:val="00D2168C"/>
    <w:rsid w:val="00D21710"/>
    <w:rsid w:val="00D22EB0"/>
    <w:rsid w:val="00D24094"/>
    <w:rsid w:val="00D251EB"/>
    <w:rsid w:val="00D2604C"/>
    <w:rsid w:val="00D2640D"/>
    <w:rsid w:val="00D26872"/>
    <w:rsid w:val="00D26946"/>
    <w:rsid w:val="00D272BB"/>
    <w:rsid w:val="00D30A2B"/>
    <w:rsid w:val="00D3189B"/>
    <w:rsid w:val="00D31CE1"/>
    <w:rsid w:val="00D34548"/>
    <w:rsid w:val="00D346FC"/>
    <w:rsid w:val="00D3492A"/>
    <w:rsid w:val="00D34EA1"/>
    <w:rsid w:val="00D36A2A"/>
    <w:rsid w:val="00D4261A"/>
    <w:rsid w:val="00D4284A"/>
    <w:rsid w:val="00D42B06"/>
    <w:rsid w:val="00D43033"/>
    <w:rsid w:val="00D43420"/>
    <w:rsid w:val="00D4471A"/>
    <w:rsid w:val="00D44A75"/>
    <w:rsid w:val="00D4546A"/>
    <w:rsid w:val="00D45ED3"/>
    <w:rsid w:val="00D4615C"/>
    <w:rsid w:val="00D46BAA"/>
    <w:rsid w:val="00D46DCC"/>
    <w:rsid w:val="00D47D88"/>
    <w:rsid w:val="00D5157B"/>
    <w:rsid w:val="00D5424C"/>
    <w:rsid w:val="00D54467"/>
    <w:rsid w:val="00D551AB"/>
    <w:rsid w:val="00D6471E"/>
    <w:rsid w:val="00D651DD"/>
    <w:rsid w:val="00D65F53"/>
    <w:rsid w:val="00D664CA"/>
    <w:rsid w:val="00D66B1B"/>
    <w:rsid w:val="00D67AF2"/>
    <w:rsid w:val="00D67B66"/>
    <w:rsid w:val="00D67F95"/>
    <w:rsid w:val="00D70F16"/>
    <w:rsid w:val="00D71D6F"/>
    <w:rsid w:val="00D73F24"/>
    <w:rsid w:val="00D74842"/>
    <w:rsid w:val="00D75558"/>
    <w:rsid w:val="00D75994"/>
    <w:rsid w:val="00D75CB2"/>
    <w:rsid w:val="00D75F39"/>
    <w:rsid w:val="00D80E7B"/>
    <w:rsid w:val="00D81786"/>
    <w:rsid w:val="00D820DD"/>
    <w:rsid w:val="00D82511"/>
    <w:rsid w:val="00D85FBB"/>
    <w:rsid w:val="00D86891"/>
    <w:rsid w:val="00D86A26"/>
    <w:rsid w:val="00D875B4"/>
    <w:rsid w:val="00D8767A"/>
    <w:rsid w:val="00D9105B"/>
    <w:rsid w:val="00D91643"/>
    <w:rsid w:val="00D931D3"/>
    <w:rsid w:val="00D939F1"/>
    <w:rsid w:val="00D94A3C"/>
    <w:rsid w:val="00D95770"/>
    <w:rsid w:val="00D95AFD"/>
    <w:rsid w:val="00D9771D"/>
    <w:rsid w:val="00DA03D7"/>
    <w:rsid w:val="00DA0AF7"/>
    <w:rsid w:val="00DA0D5B"/>
    <w:rsid w:val="00DA2565"/>
    <w:rsid w:val="00DA2864"/>
    <w:rsid w:val="00DA32C2"/>
    <w:rsid w:val="00DA3DFC"/>
    <w:rsid w:val="00DA4A82"/>
    <w:rsid w:val="00DA5B23"/>
    <w:rsid w:val="00DA5EC4"/>
    <w:rsid w:val="00DA69CC"/>
    <w:rsid w:val="00DA7C7C"/>
    <w:rsid w:val="00DB0C3A"/>
    <w:rsid w:val="00DB243B"/>
    <w:rsid w:val="00DB2B5A"/>
    <w:rsid w:val="00DB52EB"/>
    <w:rsid w:val="00DB6209"/>
    <w:rsid w:val="00DC041C"/>
    <w:rsid w:val="00DC3B8D"/>
    <w:rsid w:val="00DC46D8"/>
    <w:rsid w:val="00DC6644"/>
    <w:rsid w:val="00DC7280"/>
    <w:rsid w:val="00DD03B8"/>
    <w:rsid w:val="00DD174F"/>
    <w:rsid w:val="00DD4F3F"/>
    <w:rsid w:val="00DD4F85"/>
    <w:rsid w:val="00DD517C"/>
    <w:rsid w:val="00DD58F0"/>
    <w:rsid w:val="00DD7E92"/>
    <w:rsid w:val="00DE0551"/>
    <w:rsid w:val="00DE0C33"/>
    <w:rsid w:val="00DE21DC"/>
    <w:rsid w:val="00DE46AF"/>
    <w:rsid w:val="00DE5DDF"/>
    <w:rsid w:val="00DE6A18"/>
    <w:rsid w:val="00DF0E85"/>
    <w:rsid w:val="00DF157F"/>
    <w:rsid w:val="00DF3614"/>
    <w:rsid w:val="00DF3734"/>
    <w:rsid w:val="00DF3F06"/>
    <w:rsid w:val="00DF50E2"/>
    <w:rsid w:val="00E01D9A"/>
    <w:rsid w:val="00E01EC0"/>
    <w:rsid w:val="00E04D20"/>
    <w:rsid w:val="00E05F3D"/>
    <w:rsid w:val="00E062D7"/>
    <w:rsid w:val="00E06363"/>
    <w:rsid w:val="00E07409"/>
    <w:rsid w:val="00E07DA1"/>
    <w:rsid w:val="00E07F29"/>
    <w:rsid w:val="00E10D06"/>
    <w:rsid w:val="00E10E10"/>
    <w:rsid w:val="00E13168"/>
    <w:rsid w:val="00E15829"/>
    <w:rsid w:val="00E15AAA"/>
    <w:rsid w:val="00E21395"/>
    <w:rsid w:val="00E2295C"/>
    <w:rsid w:val="00E238B0"/>
    <w:rsid w:val="00E23A3B"/>
    <w:rsid w:val="00E23BFE"/>
    <w:rsid w:val="00E257B8"/>
    <w:rsid w:val="00E2586C"/>
    <w:rsid w:val="00E3007D"/>
    <w:rsid w:val="00E30DA0"/>
    <w:rsid w:val="00E31721"/>
    <w:rsid w:val="00E3377C"/>
    <w:rsid w:val="00E3383E"/>
    <w:rsid w:val="00E33B41"/>
    <w:rsid w:val="00E34264"/>
    <w:rsid w:val="00E34CE1"/>
    <w:rsid w:val="00E35CD7"/>
    <w:rsid w:val="00E364F0"/>
    <w:rsid w:val="00E40026"/>
    <w:rsid w:val="00E40A97"/>
    <w:rsid w:val="00E41CFF"/>
    <w:rsid w:val="00E42346"/>
    <w:rsid w:val="00E428C5"/>
    <w:rsid w:val="00E42FCA"/>
    <w:rsid w:val="00E43C10"/>
    <w:rsid w:val="00E43CC7"/>
    <w:rsid w:val="00E46D0E"/>
    <w:rsid w:val="00E46FFA"/>
    <w:rsid w:val="00E507D4"/>
    <w:rsid w:val="00E5111C"/>
    <w:rsid w:val="00E51136"/>
    <w:rsid w:val="00E5124C"/>
    <w:rsid w:val="00E52A74"/>
    <w:rsid w:val="00E53845"/>
    <w:rsid w:val="00E538D0"/>
    <w:rsid w:val="00E5396D"/>
    <w:rsid w:val="00E54D96"/>
    <w:rsid w:val="00E60A20"/>
    <w:rsid w:val="00E61734"/>
    <w:rsid w:val="00E62D15"/>
    <w:rsid w:val="00E6467C"/>
    <w:rsid w:val="00E66837"/>
    <w:rsid w:val="00E66B1F"/>
    <w:rsid w:val="00E6755E"/>
    <w:rsid w:val="00E70644"/>
    <w:rsid w:val="00E71E35"/>
    <w:rsid w:val="00E71E4F"/>
    <w:rsid w:val="00E71EFB"/>
    <w:rsid w:val="00E745C7"/>
    <w:rsid w:val="00E76A83"/>
    <w:rsid w:val="00E76AE4"/>
    <w:rsid w:val="00E77166"/>
    <w:rsid w:val="00E774A6"/>
    <w:rsid w:val="00E82229"/>
    <w:rsid w:val="00E831B3"/>
    <w:rsid w:val="00E83AB3"/>
    <w:rsid w:val="00E84CC8"/>
    <w:rsid w:val="00E84F22"/>
    <w:rsid w:val="00E858B7"/>
    <w:rsid w:val="00E85B68"/>
    <w:rsid w:val="00E86998"/>
    <w:rsid w:val="00E86BCB"/>
    <w:rsid w:val="00E87B67"/>
    <w:rsid w:val="00E901AC"/>
    <w:rsid w:val="00E91FB2"/>
    <w:rsid w:val="00E9345A"/>
    <w:rsid w:val="00E975B6"/>
    <w:rsid w:val="00E97F8B"/>
    <w:rsid w:val="00EA0F05"/>
    <w:rsid w:val="00EA3AC3"/>
    <w:rsid w:val="00EA709F"/>
    <w:rsid w:val="00EA7E86"/>
    <w:rsid w:val="00EB39F3"/>
    <w:rsid w:val="00EB42F1"/>
    <w:rsid w:val="00EB48BF"/>
    <w:rsid w:val="00EB4EB4"/>
    <w:rsid w:val="00EB5437"/>
    <w:rsid w:val="00EB6B5D"/>
    <w:rsid w:val="00EB6E06"/>
    <w:rsid w:val="00EB6F53"/>
    <w:rsid w:val="00EB78FB"/>
    <w:rsid w:val="00EB7B82"/>
    <w:rsid w:val="00EB7B9E"/>
    <w:rsid w:val="00EC005E"/>
    <w:rsid w:val="00EC133E"/>
    <w:rsid w:val="00EC2188"/>
    <w:rsid w:val="00EC3B86"/>
    <w:rsid w:val="00EC46EC"/>
    <w:rsid w:val="00EC5749"/>
    <w:rsid w:val="00EC5DF5"/>
    <w:rsid w:val="00ED2977"/>
    <w:rsid w:val="00ED3C8B"/>
    <w:rsid w:val="00ED44C8"/>
    <w:rsid w:val="00ED4869"/>
    <w:rsid w:val="00ED5516"/>
    <w:rsid w:val="00ED703D"/>
    <w:rsid w:val="00EE0A1A"/>
    <w:rsid w:val="00EE0BC5"/>
    <w:rsid w:val="00EE2B86"/>
    <w:rsid w:val="00EE50BC"/>
    <w:rsid w:val="00EE5B7D"/>
    <w:rsid w:val="00EE628F"/>
    <w:rsid w:val="00EE65D3"/>
    <w:rsid w:val="00EF3DB6"/>
    <w:rsid w:val="00EF7C82"/>
    <w:rsid w:val="00F00BC5"/>
    <w:rsid w:val="00F0187A"/>
    <w:rsid w:val="00F02A9B"/>
    <w:rsid w:val="00F02E5A"/>
    <w:rsid w:val="00F04140"/>
    <w:rsid w:val="00F05F5B"/>
    <w:rsid w:val="00F06736"/>
    <w:rsid w:val="00F07377"/>
    <w:rsid w:val="00F107A4"/>
    <w:rsid w:val="00F10972"/>
    <w:rsid w:val="00F10F80"/>
    <w:rsid w:val="00F1257A"/>
    <w:rsid w:val="00F12625"/>
    <w:rsid w:val="00F1270D"/>
    <w:rsid w:val="00F140F6"/>
    <w:rsid w:val="00F14265"/>
    <w:rsid w:val="00F14447"/>
    <w:rsid w:val="00F14C57"/>
    <w:rsid w:val="00F21FB0"/>
    <w:rsid w:val="00F23506"/>
    <w:rsid w:val="00F24B51"/>
    <w:rsid w:val="00F25AF5"/>
    <w:rsid w:val="00F269B0"/>
    <w:rsid w:val="00F26B03"/>
    <w:rsid w:val="00F26C7B"/>
    <w:rsid w:val="00F26EDD"/>
    <w:rsid w:val="00F279DA"/>
    <w:rsid w:val="00F30335"/>
    <w:rsid w:val="00F32953"/>
    <w:rsid w:val="00F33310"/>
    <w:rsid w:val="00F370DE"/>
    <w:rsid w:val="00F4092B"/>
    <w:rsid w:val="00F40EB1"/>
    <w:rsid w:val="00F4125F"/>
    <w:rsid w:val="00F42001"/>
    <w:rsid w:val="00F4660B"/>
    <w:rsid w:val="00F46C14"/>
    <w:rsid w:val="00F52C1C"/>
    <w:rsid w:val="00F53A07"/>
    <w:rsid w:val="00F54B0E"/>
    <w:rsid w:val="00F54E5F"/>
    <w:rsid w:val="00F55034"/>
    <w:rsid w:val="00F55949"/>
    <w:rsid w:val="00F55FD7"/>
    <w:rsid w:val="00F560E1"/>
    <w:rsid w:val="00F56745"/>
    <w:rsid w:val="00F56E38"/>
    <w:rsid w:val="00F575A5"/>
    <w:rsid w:val="00F576C7"/>
    <w:rsid w:val="00F57DA8"/>
    <w:rsid w:val="00F602DB"/>
    <w:rsid w:val="00F60C8F"/>
    <w:rsid w:val="00F60DE3"/>
    <w:rsid w:val="00F613B2"/>
    <w:rsid w:val="00F6157C"/>
    <w:rsid w:val="00F6384A"/>
    <w:rsid w:val="00F63924"/>
    <w:rsid w:val="00F64F8B"/>
    <w:rsid w:val="00F65343"/>
    <w:rsid w:val="00F65617"/>
    <w:rsid w:val="00F66D5A"/>
    <w:rsid w:val="00F70155"/>
    <w:rsid w:val="00F717E3"/>
    <w:rsid w:val="00F737A0"/>
    <w:rsid w:val="00F74C83"/>
    <w:rsid w:val="00F74CE6"/>
    <w:rsid w:val="00F7568A"/>
    <w:rsid w:val="00F75CE0"/>
    <w:rsid w:val="00F76045"/>
    <w:rsid w:val="00F76EB6"/>
    <w:rsid w:val="00F77350"/>
    <w:rsid w:val="00F777B8"/>
    <w:rsid w:val="00F803BE"/>
    <w:rsid w:val="00F8481D"/>
    <w:rsid w:val="00F8721E"/>
    <w:rsid w:val="00F87665"/>
    <w:rsid w:val="00F87883"/>
    <w:rsid w:val="00F9003A"/>
    <w:rsid w:val="00F90F35"/>
    <w:rsid w:val="00F9267F"/>
    <w:rsid w:val="00F92C85"/>
    <w:rsid w:val="00F931B9"/>
    <w:rsid w:val="00F93939"/>
    <w:rsid w:val="00F94C02"/>
    <w:rsid w:val="00F9584B"/>
    <w:rsid w:val="00F96871"/>
    <w:rsid w:val="00F97A58"/>
    <w:rsid w:val="00F97E45"/>
    <w:rsid w:val="00FA05F0"/>
    <w:rsid w:val="00FA389F"/>
    <w:rsid w:val="00FA41DB"/>
    <w:rsid w:val="00FA49EF"/>
    <w:rsid w:val="00FA5AAB"/>
    <w:rsid w:val="00FB1D72"/>
    <w:rsid w:val="00FB3788"/>
    <w:rsid w:val="00FB5CCF"/>
    <w:rsid w:val="00FB72C5"/>
    <w:rsid w:val="00FC02EA"/>
    <w:rsid w:val="00FC03F4"/>
    <w:rsid w:val="00FC2035"/>
    <w:rsid w:val="00FC37C8"/>
    <w:rsid w:val="00FC4A31"/>
    <w:rsid w:val="00FC4BF3"/>
    <w:rsid w:val="00FC4D2D"/>
    <w:rsid w:val="00FC5237"/>
    <w:rsid w:val="00FC5B08"/>
    <w:rsid w:val="00FC5CF9"/>
    <w:rsid w:val="00FC7101"/>
    <w:rsid w:val="00FD0884"/>
    <w:rsid w:val="00FD09DB"/>
    <w:rsid w:val="00FD3B8D"/>
    <w:rsid w:val="00FD4787"/>
    <w:rsid w:val="00FD4822"/>
    <w:rsid w:val="00FD6412"/>
    <w:rsid w:val="00FE14C1"/>
    <w:rsid w:val="00FE53B4"/>
    <w:rsid w:val="00FE5868"/>
    <w:rsid w:val="00FE59F7"/>
    <w:rsid w:val="00FE6401"/>
    <w:rsid w:val="00FF2BEE"/>
    <w:rsid w:val="00FF33F4"/>
    <w:rsid w:val="00FF5335"/>
    <w:rsid w:val="00FF6217"/>
    <w:rsid w:val="00FF6341"/>
    <w:rsid w:val="00FF66C6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DC4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095"/>
    <w:pPr>
      <w:spacing w:before="120" w:after="120" w:line="36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72AB"/>
    <w:pPr>
      <w:keepNext/>
      <w:keepLines/>
      <w:numPr>
        <w:numId w:val="45"/>
      </w:numPr>
      <w:spacing w:before="72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B209E"/>
    <w:pPr>
      <w:keepNext/>
      <w:keepLines/>
      <w:numPr>
        <w:ilvl w:val="1"/>
        <w:numId w:val="45"/>
      </w:numPr>
      <w:spacing w:before="480" w:after="240" w:line="240" w:lineRule="auto"/>
      <w:outlineLvl w:val="1"/>
    </w:pPr>
    <w:rPr>
      <w:rFonts w:asciiTheme="majorHAnsi" w:eastAsiaTheme="minorHAnsi" w:hAnsiTheme="majorHAnsi"/>
      <w:b/>
      <w:bCs/>
      <w:color w:val="76923C" w:themeColor="accent3" w:themeShade="BF"/>
      <w:sz w:val="26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0D06"/>
    <w:pPr>
      <w:keepNext/>
      <w:keepLines/>
      <w:numPr>
        <w:ilvl w:val="2"/>
        <w:numId w:val="45"/>
      </w:numPr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F32"/>
    <w:pPr>
      <w:keepNext/>
      <w:keepLines/>
      <w:numPr>
        <w:ilvl w:val="3"/>
        <w:numId w:val="4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F32"/>
    <w:pPr>
      <w:keepNext/>
      <w:keepLines/>
      <w:numPr>
        <w:ilvl w:val="4"/>
        <w:numId w:val="4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F32"/>
    <w:pPr>
      <w:keepNext/>
      <w:keepLines/>
      <w:numPr>
        <w:ilvl w:val="5"/>
        <w:numId w:val="4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F32"/>
    <w:pPr>
      <w:keepNext/>
      <w:keepLines/>
      <w:numPr>
        <w:ilvl w:val="6"/>
        <w:numId w:val="4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F32"/>
    <w:pPr>
      <w:keepNext/>
      <w:keepLines/>
      <w:numPr>
        <w:ilvl w:val="7"/>
        <w:numId w:val="4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F32"/>
    <w:pPr>
      <w:keepNext/>
      <w:keepLines/>
      <w:numPr>
        <w:ilvl w:val="8"/>
        <w:numId w:val="4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32434"/>
    <w:rPr>
      <w:color w:val="0000FF"/>
      <w:u w:val="single"/>
    </w:rPr>
  </w:style>
  <w:style w:type="paragraph" w:styleId="Odstavecseseznamem">
    <w:name w:val="List Paragraph"/>
    <w:aliases w:val="a"/>
    <w:basedOn w:val="Normln"/>
    <w:link w:val="OdstavecseseznamemChar"/>
    <w:uiPriority w:val="34"/>
    <w:qFormat/>
    <w:rsid w:val="00427569"/>
    <w:pPr>
      <w:numPr>
        <w:numId w:val="11"/>
      </w:numPr>
      <w:ind w:right="45"/>
    </w:pPr>
    <w:rPr>
      <w:szCs w:val="24"/>
    </w:rPr>
  </w:style>
  <w:style w:type="character" w:customStyle="1" w:styleId="OdstavecseseznamemChar">
    <w:name w:val="Odstavec se seznamem Char"/>
    <w:aliases w:val="a Char"/>
    <w:link w:val="Odstavecseseznamem"/>
    <w:uiPriority w:val="34"/>
    <w:locked/>
    <w:rsid w:val="00427569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69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965A8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965A8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aliases w:val="BVI fnr,Footnote symbol,Footnote Refernece,callout,Footnotes refss,Footnote Reference Superscript,Footnote Reference Number,Footnote Refernece + (Latein) Arial,10 pt,Blau,Fußnotenzeichen_Raxen,Footnote Refe,FR,...,Légende,note TES"/>
    <w:basedOn w:val="Standardnpsmoodstavce"/>
    <w:unhideWhenUsed/>
    <w:rsid w:val="00AC7A2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0F72AB"/>
    <w:rPr>
      <w:rFonts w:asciiTheme="majorHAnsi" w:eastAsiaTheme="majorEastAsia" w:hAnsiTheme="majorHAnsi" w:cstheme="majorBidi"/>
      <w:b/>
      <w:bCs/>
      <w:color w:val="244061" w:themeColor="accent1" w:themeShade="80"/>
      <w:sz w:val="32"/>
      <w:szCs w:val="28"/>
      <w:lang w:eastAsia="cs-CZ"/>
    </w:rPr>
  </w:style>
  <w:style w:type="paragraph" w:customStyle="1" w:styleId="Default">
    <w:name w:val="Default"/>
    <w:rsid w:val="00714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B209E"/>
    <w:rPr>
      <w:rFonts w:asciiTheme="majorHAnsi" w:hAnsiTheme="majorHAnsi" w:cs="Arial"/>
      <w:b/>
      <w:bCs/>
      <w:color w:val="76923C" w:themeColor="accent3" w:themeShade="BF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2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37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7A0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7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7A0"/>
    <w:rPr>
      <w:rFonts w:ascii="Times New Roman" w:eastAsia="Times New Roman" w:hAnsi="Times New Roman" w:cs="Times New Roman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C320A8"/>
    <w:pPr>
      <w:keepNext/>
      <w:spacing w:before="240" w:line="240" w:lineRule="auto"/>
    </w:pPr>
    <w:rPr>
      <w:b/>
      <w:bCs/>
      <w:i/>
      <w:color w:val="000000" w:themeColor="text1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D95AFD"/>
  </w:style>
  <w:style w:type="paragraph" w:styleId="Nadpisobsahu">
    <w:name w:val="TOC Heading"/>
    <w:basedOn w:val="Nadpis1"/>
    <w:next w:val="Normln"/>
    <w:uiPriority w:val="39"/>
    <w:unhideWhenUsed/>
    <w:qFormat/>
    <w:rsid w:val="00D95AFD"/>
    <w:pPr>
      <w:spacing w:line="276" w:lineRule="auto"/>
      <w:outlineLvl w:val="9"/>
    </w:pPr>
    <w:rPr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E01D9A"/>
    <w:pPr>
      <w:tabs>
        <w:tab w:val="left" w:pos="440"/>
        <w:tab w:val="right" w:leader="dot" w:pos="9062"/>
      </w:tabs>
      <w:spacing w:after="100" w:line="240" w:lineRule="auto"/>
    </w:pPr>
    <w:rPr>
      <w:rFonts w:asciiTheme="minorHAnsi" w:hAnsiTheme="minorHAnsi"/>
      <w:b/>
    </w:rPr>
  </w:style>
  <w:style w:type="paragraph" w:styleId="Obsah2">
    <w:name w:val="toc 2"/>
    <w:basedOn w:val="Normln"/>
    <w:next w:val="Normln"/>
    <w:autoRedefine/>
    <w:uiPriority w:val="39"/>
    <w:unhideWhenUsed/>
    <w:rsid w:val="001D0C56"/>
    <w:pPr>
      <w:spacing w:after="100"/>
    </w:pPr>
    <w:rPr>
      <w:rFonts w:asciiTheme="minorHAnsi" w:hAnsiTheme="minorHAnsi"/>
    </w:rPr>
  </w:style>
  <w:style w:type="character" w:customStyle="1" w:styleId="Nadpis3Char">
    <w:name w:val="Nadpis 3 Char"/>
    <w:basedOn w:val="Standardnpsmoodstavce"/>
    <w:link w:val="Nadpis3"/>
    <w:uiPriority w:val="9"/>
    <w:rsid w:val="00E10D06"/>
    <w:rPr>
      <w:rFonts w:asciiTheme="majorHAnsi" w:eastAsiaTheme="majorEastAsia" w:hAnsiTheme="majorHAnsi" w:cstheme="majorBidi"/>
      <w:b/>
      <w:bCs/>
      <w:color w:val="244061" w:themeColor="accent1" w:themeShade="80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41716B"/>
    <w:pPr>
      <w:spacing w:after="100"/>
      <w:ind w:left="440"/>
    </w:pPr>
    <w:rPr>
      <w:rFonts w:asciiTheme="minorHAnsi" w:hAnsiTheme="minorHAnsi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4307"/>
    <w:pPr>
      <w:numPr>
        <w:ilvl w:val="1"/>
      </w:numPr>
      <w:spacing w:before="240" w:line="240" w:lineRule="auto"/>
    </w:pPr>
    <w:rPr>
      <w:rFonts w:asciiTheme="majorHAnsi" w:eastAsiaTheme="majorEastAsia" w:hAnsiTheme="majorHAnsi" w:cstheme="majorBidi"/>
      <w:i/>
      <w:iCs/>
      <w:color w:val="244061" w:themeColor="accent1" w:themeShade="8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4307"/>
    <w:rPr>
      <w:rFonts w:asciiTheme="majorHAnsi" w:eastAsiaTheme="majorEastAsia" w:hAnsiTheme="majorHAnsi" w:cstheme="majorBidi"/>
      <w:i/>
      <w:iCs/>
      <w:color w:val="244061" w:themeColor="accent1" w:themeShade="80"/>
      <w:spacing w:val="15"/>
      <w:sz w:val="24"/>
      <w:szCs w:val="24"/>
      <w:lang w:eastAsia="cs-CZ"/>
    </w:rPr>
  </w:style>
  <w:style w:type="paragraph" w:customStyle="1" w:styleId="l51">
    <w:name w:val="l51"/>
    <w:basedOn w:val="Normln"/>
    <w:rsid w:val="00D75CB2"/>
    <w:pPr>
      <w:spacing w:before="144" w:after="144"/>
    </w:pPr>
    <w:rPr>
      <w:sz w:val="24"/>
      <w:szCs w:val="24"/>
    </w:rPr>
  </w:style>
  <w:style w:type="paragraph" w:customStyle="1" w:styleId="l61">
    <w:name w:val="l61"/>
    <w:basedOn w:val="Normln"/>
    <w:rsid w:val="00D75CB2"/>
    <w:pPr>
      <w:spacing w:before="144" w:after="144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51516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F32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F32"/>
    <w:rPr>
      <w:rFonts w:asciiTheme="majorHAnsi" w:eastAsiaTheme="majorEastAsia" w:hAnsiTheme="majorHAnsi" w:cstheme="majorBidi"/>
      <w:color w:val="365F91" w:themeColor="accent1" w:themeShade="BF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F32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F32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F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F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6254C1"/>
    <w:rPr>
      <w:b/>
      <w:bCs/>
    </w:rPr>
  </w:style>
  <w:style w:type="character" w:customStyle="1" w:styleId="h1a5">
    <w:name w:val="h1a5"/>
    <w:basedOn w:val="Standardnpsmoodstavce"/>
    <w:rsid w:val="006259D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Nzev">
    <w:name w:val="Title"/>
    <w:basedOn w:val="Normln"/>
    <w:next w:val="Normln"/>
    <w:link w:val="NzevChar"/>
    <w:uiPriority w:val="10"/>
    <w:qFormat/>
    <w:rsid w:val="00E428C5"/>
    <w:pPr>
      <w:spacing w:before="3120" w:after="300" w:line="276" w:lineRule="auto"/>
      <w:contextualSpacing/>
      <w:jc w:val="center"/>
    </w:pPr>
    <w:rPr>
      <w:rFonts w:asciiTheme="majorHAnsi" w:eastAsiaTheme="majorEastAsia" w:hAnsiTheme="majorHAnsi" w:cstheme="majorBidi"/>
      <w:b/>
      <w:bCs/>
      <w:color w:val="244061" w:themeColor="accent1" w:themeShade="8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428C5"/>
    <w:rPr>
      <w:rFonts w:asciiTheme="majorHAnsi" w:eastAsiaTheme="majorEastAsia" w:hAnsiTheme="majorHAnsi" w:cstheme="majorBidi"/>
      <w:b/>
      <w:bCs/>
      <w:color w:val="244061" w:themeColor="accent1" w:themeShade="80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325095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1D22CB"/>
    <w:rPr>
      <w:i/>
      <w:iCs/>
    </w:rPr>
  </w:style>
  <w:style w:type="character" w:styleId="Zdraznnintenzivn">
    <w:name w:val="Intense Emphasis"/>
    <w:basedOn w:val="Zvraznn"/>
    <w:uiPriority w:val="21"/>
    <w:qFormat/>
    <w:rsid w:val="001D22CB"/>
    <w:rPr>
      <w:rFonts w:eastAsia="Calibri"/>
      <w:i/>
      <w:iCs/>
    </w:rPr>
  </w:style>
  <w:style w:type="character" w:styleId="Zdraznnjemn">
    <w:name w:val="Subtle Emphasis"/>
    <w:basedOn w:val="Standardnpsmoodstavce"/>
    <w:uiPriority w:val="19"/>
    <w:qFormat/>
    <w:rsid w:val="001D22CB"/>
    <w:rPr>
      <w:i/>
      <w:iCs/>
      <w:color w:val="404040" w:themeColor="text1" w:themeTint="B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965A8"/>
    <w:pPr>
      <w:spacing w:before="0"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965A8"/>
    <w:rPr>
      <w:rFonts w:ascii="Arial" w:eastAsia="Times New Roman" w:hAnsi="Arial" w:cs="Arial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965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095"/>
    <w:pPr>
      <w:spacing w:before="120" w:after="120" w:line="36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72AB"/>
    <w:pPr>
      <w:keepNext/>
      <w:keepLines/>
      <w:numPr>
        <w:numId w:val="45"/>
      </w:numPr>
      <w:spacing w:before="72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B209E"/>
    <w:pPr>
      <w:keepNext/>
      <w:keepLines/>
      <w:numPr>
        <w:ilvl w:val="1"/>
        <w:numId w:val="45"/>
      </w:numPr>
      <w:spacing w:before="480" w:after="240" w:line="240" w:lineRule="auto"/>
      <w:outlineLvl w:val="1"/>
    </w:pPr>
    <w:rPr>
      <w:rFonts w:asciiTheme="majorHAnsi" w:eastAsiaTheme="minorHAnsi" w:hAnsiTheme="majorHAnsi"/>
      <w:b/>
      <w:bCs/>
      <w:color w:val="76923C" w:themeColor="accent3" w:themeShade="BF"/>
      <w:sz w:val="26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0D06"/>
    <w:pPr>
      <w:keepNext/>
      <w:keepLines/>
      <w:numPr>
        <w:ilvl w:val="2"/>
        <w:numId w:val="45"/>
      </w:numPr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F32"/>
    <w:pPr>
      <w:keepNext/>
      <w:keepLines/>
      <w:numPr>
        <w:ilvl w:val="3"/>
        <w:numId w:val="4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F32"/>
    <w:pPr>
      <w:keepNext/>
      <w:keepLines/>
      <w:numPr>
        <w:ilvl w:val="4"/>
        <w:numId w:val="4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F32"/>
    <w:pPr>
      <w:keepNext/>
      <w:keepLines/>
      <w:numPr>
        <w:ilvl w:val="5"/>
        <w:numId w:val="4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F32"/>
    <w:pPr>
      <w:keepNext/>
      <w:keepLines/>
      <w:numPr>
        <w:ilvl w:val="6"/>
        <w:numId w:val="4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F32"/>
    <w:pPr>
      <w:keepNext/>
      <w:keepLines/>
      <w:numPr>
        <w:ilvl w:val="7"/>
        <w:numId w:val="4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F32"/>
    <w:pPr>
      <w:keepNext/>
      <w:keepLines/>
      <w:numPr>
        <w:ilvl w:val="8"/>
        <w:numId w:val="4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32434"/>
    <w:rPr>
      <w:color w:val="0000FF"/>
      <w:u w:val="single"/>
    </w:rPr>
  </w:style>
  <w:style w:type="paragraph" w:styleId="Odstavecseseznamem">
    <w:name w:val="List Paragraph"/>
    <w:aliases w:val="a"/>
    <w:basedOn w:val="Normln"/>
    <w:link w:val="OdstavecseseznamemChar"/>
    <w:uiPriority w:val="34"/>
    <w:qFormat/>
    <w:rsid w:val="00427569"/>
    <w:pPr>
      <w:numPr>
        <w:numId w:val="11"/>
      </w:numPr>
      <w:ind w:right="45"/>
    </w:pPr>
    <w:rPr>
      <w:szCs w:val="24"/>
    </w:rPr>
  </w:style>
  <w:style w:type="character" w:customStyle="1" w:styleId="OdstavecseseznamemChar">
    <w:name w:val="Odstavec se seznamem Char"/>
    <w:aliases w:val="a Char"/>
    <w:link w:val="Odstavecseseznamem"/>
    <w:uiPriority w:val="34"/>
    <w:locked/>
    <w:rsid w:val="00427569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69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965A8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965A8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aliases w:val="BVI fnr,Footnote symbol,Footnote Refernece,callout,Footnotes refss,Footnote Reference Superscript,Footnote Reference Number,Footnote Refernece + (Latein) Arial,10 pt,Blau,Fußnotenzeichen_Raxen,Footnote Refe,FR,...,Légende,note TES"/>
    <w:basedOn w:val="Standardnpsmoodstavce"/>
    <w:unhideWhenUsed/>
    <w:rsid w:val="00AC7A2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0F72AB"/>
    <w:rPr>
      <w:rFonts w:asciiTheme="majorHAnsi" w:eastAsiaTheme="majorEastAsia" w:hAnsiTheme="majorHAnsi" w:cstheme="majorBidi"/>
      <w:b/>
      <w:bCs/>
      <w:color w:val="244061" w:themeColor="accent1" w:themeShade="80"/>
      <w:sz w:val="32"/>
      <w:szCs w:val="28"/>
      <w:lang w:eastAsia="cs-CZ"/>
    </w:rPr>
  </w:style>
  <w:style w:type="paragraph" w:customStyle="1" w:styleId="Default">
    <w:name w:val="Default"/>
    <w:rsid w:val="00714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B209E"/>
    <w:rPr>
      <w:rFonts w:asciiTheme="majorHAnsi" w:hAnsiTheme="majorHAnsi" w:cs="Arial"/>
      <w:b/>
      <w:bCs/>
      <w:color w:val="76923C" w:themeColor="accent3" w:themeShade="BF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2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37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7A0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7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7A0"/>
    <w:rPr>
      <w:rFonts w:ascii="Times New Roman" w:eastAsia="Times New Roman" w:hAnsi="Times New Roman" w:cs="Times New Roman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C320A8"/>
    <w:pPr>
      <w:keepNext/>
      <w:spacing w:before="240" w:line="240" w:lineRule="auto"/>
    </w:pPr>
    <w:rPr>
      <w:b/>
      <w:bCs/>
      <w:i/>
      <w:color w:val="000000" w:themeColor="text1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D95AFD"/>
  </w:style>
  <w:style w:type="paragraph" w:styleId="Nadpisobsahu">
    <w:name w:val="TOC Heading"/>
    <w:basedOn w:val="Nadpis1"/>
    <w:next w:val="Normln"/>
    <w:uiPriority w:val="39"/>
    <w:unhideWhenUsed/>
    <w:qFormat/>
    <w:rsid w:val="00D95AFD"/>
    <w:pPr>
      <w:spacing w:line="276" w:lineRule="auto"/>
      <w:outlineLvl w:val="9"/>
    </w:pPr>
    <w:rPr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E01D9A"/>
    <w:pPr>
      <w:tabs>
        <w:tab w:val="left" w:pos="440"/>
        <w:tab w:val="right" w:leader="dot" w:pos="9062"/>
      </w:tabs>
      <w:spacing w:after="100" w:line="240" w:lineRule="auto"/>
    </w:pPr>
    <w:rPr>
      <w:rFonts w:asciiTheme="minorHAnsi" w:hAnsiTheme="minorHAnsi"/>
      <w:b/>
    </w:rPr>
  </w:style>
  <w:style w:type="paragraph" w:styleId="Obsah2">
    <w:name w:val="toc 2"/>
    <w:basedOn w:val="Normln"/>
    <w:next w:val="Normln"/>
    <w:autoRedefine/>
    <w:uiPriority w:val="39"/>
    <w:unhideWhenUsed/>
    <w:rsid w:val="001D0C56"/>
    <w:pPr>
      <w:spacing w:after="100"/>
    </w:pPr>
    <w:rPr>
      <w:rFonts w:asciiTheme="minorHAnsi" w:hAnsiTheme="minorHAnsi"/>
    </w:rPr>
  </w:style>
  <w:style w:type="character" w:customStyle="1" w:styleId="Nadpis3Char">
    <w:name w:val="Nadpis 3 Char"/>
    <w:basedOn w:val="Standardnpsmoodstavce"/>
    <w:link w:val="Nadpis3"/>
    <w:uiPriority w:val="9"/>
    <w:rsid w:val="00E10D06"/>
    <w:rPr>
      <w:rFonts w:asciiTheme="majorHAnsi" w:eastAsiaTheme="majorEastAsia" w:hAnsiTheme="majorHAnsi" w:cstheme="majorBidi"/>
      <w:b/>
      <w:bCs/>
      <w:color w:val="244061" w:themeColor="accent1" w:themeShade="80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41716B"/>
    <w:pPr>
      <w:spacing w:after="100"/>
      <w:ind w:left="440"/>
    </w:pPr>
    <w:rPr>
      <w:rFonts w:asciiTheme="minorHAnsi" w:hAnsiTheme="minorHAnsi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4307"/>
    <w:pPr>
      <w:numPr>
        <w:ilvl w:val="1"/>
      </w:numPr>
      <w:spacing w:before="240" w:line="240" w:lineRule="auto"/>
    </w:pPr>
    <w:rPr>
      <w:rFonts w:asciiTheme="majorHAnsi" w:eastAsiaTheme="majorEastAsia" w:hAnsiTheme="majorHAnsi" w:cstheme="majorBidi"/>
      <w:i/>
      <w:iCs/>
      <w:color w:val="244061" w:themeColor="accent1" w:themeShade="8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4307"/>
    <w:rPr>
      <w:rFonts w:asciiTheme="majorHAnsi" w:eastAsiaTheme="majorEastAsia" w:hAnsiTheme="majorHAnsi" w:cstheme="majorBidi"/>
      <w:i/>
      <w:iCs/>
      <w:color w:val="244061" w:themeColor="accent1" w:themeShade="80"/>
      <w:spacing w:val="15"/>
      <w:sz w:val="24"/>
      <w:szCs w:val="24"/>
      <w:lang w:eastAsia="cs-CZ"/>
    </w:rPr>
  </w:style>
  <w:style w:type="paragraph" w:customStyle="1" w:styleId="l51">
    <w:name w:val="l51"/>
    <w:basedOn w:val="Normln"/>
    <w:rsid w:val="00D75CB2"/>
    <w:pPr>
      <w:spacing w:before="144" w:after="144"/>
    </w:pPr>
    <w:rPr>
      <w:sz w:val="24"/>
      <w:szCs w:val="24"/>
    </w:rPr>
  </w:style>
  <w:style w:type="paragraph" w:customStyle="1" w:styleId="l61">
    <w:name w:val="l61"/>
    <w:basedOn w:val="Normln"/>
    <w:rsid w:val="00D75CB2"/>
    <w:pPr>
      <w:spacing w:before="144" w:after="144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51516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F32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F32"/>
    <w:rPr>
      <w:rFonts w:asciiTheme="majorHAnsi" w:eastAsiaTheme="majorEastAsia" w:hAnsiTheme="majorHAnsi" w:cstheme="majorBidi"/>
      <w:color w:val="365F91" w:themeColor="accent1" w:themeShade="BF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F32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F32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F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F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6254C1"/>
    <w:rPr>
      <w:b/>
      <w:bCs/>
    </w:rPr>
  </w:style>
  <w:style w:type="character" w:customStyle="1" w:styleId="h1a5">
    <w:name w:val="h1a5"/>
    <w:basedOn w:val="Standardnpsmoodstavce"/>
    <w:rsid w:val="006259D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Nzev">
    <w:name w:val="Title"/>
    <w:basedOn w:val="Normln"/>
    <w:next w:val="Normln"/>
    <w:link w:val="NzevChar"/>
    <w:uiPriority w:val="10"/>
    <w:qFormat/>
    <w:rsid w:val="00E428C5"/>
    <w:pPr>
      <w:spacing w:before="3120" w:after="300" w:line="276" w:lineRule="auto"/>
      <w:contextualSpacing/>
      <w:jc w:val="center"/>
    </w:pPr>
    <w:rPr>
      <w:rFonts w:asciiTheme="majorHAnsi" w:eastAsiaTheme="majorEastAsia" w:hAnsiTheme="majorHAnsi" w:cstheme="majorBidi"/>
      <w:b/>
      <w:bCs/>
      <w:color w:val="244061" w:themeColor="accent1" w:themeShade="8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428C5"/>
    <w:rPr>
      <w:rFonts w:asciiTheme="majorHAnsi" w:eastAsiaTheme="majorEastAsia" w:hAnsiTheme="majorHAnsi" w:cstheme="majorBidi"/>
      <w:b/>
      <w:bCs/>
      <w:color w:val="244061" w:themeColor="accent1" w:themeShade="80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325095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1D22CB"/>
    <w:rPr>
      <w:i/>
      <w:iCs/>
    </w:rPr>
  </w:style>
  <w:style w:type="character" w:styleId="Zdraznnintenzivn">
    <w:name w:val="Intense Emphasis"/>
    <w:basedOn w:val="Zvraznn"/>
    <w:uiPriority w:val="21"/>
    <w:qFormat/>
    <w:rsid w:val="001D22CB"/>
    <w:rPr>
      <w:rFonts w:eastAsia="Calibri"/>
      <w:i/>
      <w:iCs/>
    </w:rPr>
  </w:style>
  <w:style w:type="character" w:styleId="Zdraznnjemn">
    <w:name w:val="Subtle Emphasis"/>
    <w:basedOn w:val="Standardnpsmoodstavce"/>
    <w:uiPriority w:val="19"/>
    <w:qFormat/>
    <w:rsid w:val="001D22CB"/>
    <w:rPr>
      <w:i/>
      <w:iCs/>
      <w:color w:val="404040" w:themeColor="text1" w:themeTint="B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965A8"/>
    <w:pPr>
      <w:spacing w:before="0"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965A8"/>
    <w:rPr>
      <w:rFonts w:ascii="Arial" w:eastAsia="Times New Roman" w:hAnsi="Arial" w:cs="Arial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96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62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63" Type="http://schemas.openxmlformats.org/officeDocument/2006/relationships/chart" Target="charts/chart55.xm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66" Type="http://schemas.openxmlformats.org/officeDocument/2006/relationships/chart" Target="charts/chart58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61" Type="http://schemas.openxmlformats.org/officeDocument/2006/relationships/chart" Target="charts/chart53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65" Type="http://schemas.openxmlformats.org/officeDocument/2006/relationships/chart" Target="charts/chart57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chart" Target="charts/chart48.xml"/><Relationship Id="rId64" Type="http://schemas.openxmlformats.org/officeDocument/2006/relationships/chart" Target="charts/chart56.xml"/><Relationship Id="rId69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chart" Target="charts/chart51.xml"/><Relationship Id="rId67" Type="http://schemas.openxmlformats.org/officeDocument/2006/relationships/footer" Target="footer1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62" Type="http://schemas.openxmlformats.org/officeDocument/2006/relationships/chart" Target="charts/chart54.xm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espinoza\AppData\Local\Temp\notesEE57C3\graf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C:\Users\Blanka\Desktop\grafy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lanka\Desktop\grafy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lanka\Desktop\grafy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dotazn&#237;k%20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dotazn&#237;k%20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dotazn&#237;k%20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dotazn&#237;k%20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dotazn&#237;k%20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dotazn&#237;k%20.xlsx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dotazn&#237;k%20.xlsx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!!!!!!!!!!!!!!!!%20Pr&#367;zkum\v&#253;stupy\grafy%20k%20v&#253;zkumu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\espinoza\Blanka%20Espinoza\04_ostatn&#237;\zam&#283;stn&#225;v&#225;n&#237;%20ZP\metodika\Pr&#367;zkum\v&#253;stupy\grafy%20k%20v&#253;zkum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974166477527344E-2"/>
          <c:y val="9.3531173617625835E-2"/>
          <c:w val="0.54875732551169465"/>
          <c:h val="0.8389473414485194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5DB-47EB-9B28-E24119766AB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5DB-47EB-9B28-E24119766AB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5DB-47EB-9B28-E24119766AB3}"/>
              </c:ext>
            </c:extLst>
          </c:dPt>
          <c:dLbls>
            <c:dLbl>
              <c:idx val="0"/>
              <c:layout>
                <c:manualLayout>
                  <c:x val="-5.4360129437032612E-2"/>
                  <c:y val="-0.208695652173913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DB-47EB-9B28-E24119766A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List1!$A$1:$A$3</c:f>
              <c:strCache>
                <c:ptCount val="3"/>
                <c:pt idx="0">
                  <c:v>intaktní populace</c:v>
                </c:pt>
                <c:pt idx="1">
                  <c:v>OZP - ženy</c:v>
                </c:pt>
                <c:pt idx="2">
                  <c:v>OZP - muži</c:v>
                </c:pt>
              </c:strCache>
            </c:strRef>
          </c:cat>
          <c:val>
            <c:numRef>
              <c:f>List1!$B$1:$B$3</c:f>
              <c:numCache>
                <c:formatCode>General</c:formatCode>
                <c:ptCount val="3"/>
                <c:pt idx="0">
                  <c:v>86.8</c:v>
                </c:pt>
                <c:pt idx="1">
                  <c:v>7.35</c:v>
                </c:pt>
                <c:pt idx="2">
                  <c:v>5.85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5DB-47EB-9B28-E24119766AB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775948910341"/>
          <c:y val="0.11826290637973043"/>
          <c:w val="0.6466442259689289"/>
          <c:h val="0.739197122272066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List7!$M$1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List7!$L$2:$L$4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DPP/DPČ</c:v>
                </c:pt>
              </c:strCache>
            </c:strRef>
          </c:cat>
          <c:val>
            <c:numRef>
              <c:f>List7!$M$2:$M$4</c:f>
              <c:numCache>
                <c:formatCode>General</c:formatCode>
                <c:ptCount val="3"/>
                <c:pt idx="0">
                  <c:v>1127</c:v>
                </c:pt>
                <c:pt idx="1">
                  <c:v>501</c:v>
                </c:pt>
                <c:pt idx="2">
                  <c:v>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F3-4E34-A14D-33A298D1817D}"/>
            </c:ext>
          </c:extLst>
        </c:ser>
        <c:ser>
          <c:idx val="1"/>
          <c:order val="1"/>
          <c:tx>
            <c:strRef>
              <c:f>List7!$N$1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List7!$L$2:$L$4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DPP/DPČ</c:v>
                </c:pt>
              </c:strCache>
            </c:strRef>
          </c:cat>
          <c:val>
            <c:numRef>
              <c:f>List7!$N$2:$N$4</c:f>
              <c:numCache>
                <c:formatCode>General</c:formatCode>
                <c:ptCount val="3"/>
                <c:pt idx="0">
                  <c:v>965</c:v>
                </c:pt>
                <c:pt idx="1">
                  <c:v>392</c:v>
                </c:pt>
                <c:pt idx="2">
                  <c:v>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F3-4E34-A14D-33A298D181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745024"/>
        <c:axId val="101746560"/>
      </c:barChart>
      <c:catAx>
        <c:axId val="101745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746560"/>
        <c:crosses val="autoZero"/>
        <c:auto val="1"/>
        <c:lblAlgn val="ctr"/>
        <c:lblOffset val="100"/>
        <c:noMultiLvlLbl val="0"/>
      </c:catAx>
      <c:valAx>
        <c:axId val="101746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74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480561023622049"/>
          <c:y val="0.38387540099154271"/>
          <c:w val="9.6131889763779524E-2"/>
          <c:h val="0.19984179060950716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50746811297544"/>
          <c:y val="8.400181247702343E-2"/>
          <c:w val="0.5374009273508743"/>
          <c:h val="0.778778971846760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List8!$A$2</c:f>
              <c:strCache>
                <c:ptCount val="1"/>
                <c:pt idx="0">
                  <c:v>ministerstva</c:v>
                </c:pt>
              </c:strCache>
            </c:strRef>
          </c:tx>
          <c:invertIfNegative val="0"/>
          <c:cat>
            <c:strRef>
              <c:f>List8!$B$1:$D$1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dohody</c:v>
                </c:pt>
              </c:strCache>
            </c:strRef>
          </c:cat>
          <c:val>
            <c:numRef>
              <c:f>List8!$B$2:$D$2</c:f>
              <c:numCache>
                <c:formatCode>General</c:formatCode>
                <c:ptCount val="3"/>
                <c:pt idx="0">
                  <c:v>10982</c:v>
                </c:pt>
                <c:pt idx="1">
                  <c:v>9316</c:v>
                </c:pt>
                <c:pt idx="2">
                  <c:v>2191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07-46A8-8375-C8DF95566120}"/>
            </c:ext>
          </c:extLst>
        </c:ser>
        <c:ser>
          <c:idx val="1"/>
          <c:order val="1"/>
          <c:tx>
            <c:strRef>
              <c:f>List8!$A$3</c:f>
              <c:strCache>
                <c:ptCount val="1"/>
                <c:pt idx="0">
                  <c:v>organizační složky ministerstev</c:v>
                </c:pt>
              </c:strCache>
            </c:strRef>
          </c:tx>
          <c:invertIfNegative val="0"/>
          <c:cat>
            <c:strRef>
              <c:f>List8!$B$1:$D$1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dohody</c:v>
                </c:pt>
              </c:strCache>
            </c:strRef>
          </c:cat>
          <c:val>
            <c:numRef>
              <c:f>List8!$B$3:$D$3</c:f>
              <c:numCache>
                <c:formatCode>General</c:formatCode>
                <c:ptCount val="3"/>
                <c:pt idx="0">
                  <c:v>44170</c:v>
                </c:pt>
                <c:pt idx="1">
                  <c:v>7146</c:v>
                </c:pt>
                <c:pt idx="2">
                  <c:v>1055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07-46A8-8375-C8DF95566120}"/>
            </c:ext>
          </c:extLst>
        </c:ser>
        <c:ser>
          <c:idx val="2"/>
          <c:order val="2"/>
          <c:tx>
            <c:strRef>
              <c:f>List8!$A$4</c:f>
              <c:strCache>
                <c:ptCount val="1"/>
                <c:pt idx="0">
                  <c:v>ústřední orgány státní správy</c:v>
                </c:pt>
              </c:strCache>
            </c:strRef>
          </c:tx>
          <c:invertIfNegative val="0"/>
          <c:cat>
            <c:strRef>
              <c:f>List8!$B$1:$D$1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dohody</c:v>
                </c:pt>
              </c:strCache>
            </c:strRef>
          </c:cat>
          <c:val>
            <c:numRef>
              <c:f>List8!$B$4:$D$4</c:f>
              <c:numCache>
                <c:formatCode>General</c:formatCode>
                <c:ptCount val="3"/>
                <c:pt idx="0">
                  <c:v>2092</c:v>
                </c:pt>
                <c:pt idx="1">
                  <c:v>893</c:v>
                </c:pt>
                <c:pt idx="2">
                  <c:v>473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007-46A8-8375-C8DF955661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773696"/>
        <c:axId val="101775232"/>
      </c:barChart>
      <c:catAx>
        <c:axId val="101773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775232"/>
        <c:crosses val="autoZero"/>
        <c:auto val="1"/>
        <c:lblAlgn val="ctr"/>
        <c:lblOffset val="100"/>
        <c:noMultiLvlLbl val="0"/>
      </c:catAx>
      <c:valAx>
        <c:axId val="101775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77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72882927721555"/>
          <c:y val="0.31476468667223051"/>
          <c:w val="0.32501902509733638"/>
          <c:h val="0.43866552395236308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04288294761633"/>
          <c:y val="9.9181259059035548E-2"/>
          <c:w val="0.53313812959691831"/>
          <c:h val="0.8128424816463159"/>
        </c:manualLayout>
      </c:layout>
      <c:doughnutChart>
        <c:varyColors val="1"/>
        <c:ser>
          <c:idx val="0"/>
          <c:order val="0"/>
          <c:dPt>
            <c:idx val="1"/>
            <c:bubble3D val="0"/>
            <c:explosion val="5"/>
            <c:spPr>
              <a:solidFill>
                <a:schemeClr val="accent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C40-4F58-88CD-E574DB590CBD}"/>
              </c:ext>
            </c:extLst>
          </c:dPt>
          <c:dLbls>
            <c:dLbl>
              <c:idx val="0"/>
              <c:layout>
                <c:manualLayout>
                  <c:x val="-5.5555555555555552E-2"/>
                  <c:y val="-1.38888888888889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40-4F58-88CD-E574DB590CBD}"/>
                </c:ext>
              </c:extLst>
            </c:dLbl>
            <c:dLbl>
              <c:idx val="1"/>
              <c:layout>
                <c:manualLayout>
                  <c:x val="-7.7777777777777779E-2"/>
                  <c:y val="-9.2592957130358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40-4F58-88CD-E574DB590CB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List3!$A$3:$A$4</c:f>
              <c:strCache>
                <c:ptCount val="2"/>
                <c:pt idx="0">
                  <c:v>Celkem zaměstnanců</c:v>
                </c:pt>
                <c:pt idx="1">
                  <c:v>OZP</c:v>
                </c:pt>
              </c:strCache>
            </c:strRef>
          </c:cat>
          <c:val>
            <c:numRef>
              <c:f>List3!$B$3:$B$4</c:f>
              <c:numCache>
                <c:formatCode>0.00%</c:formatCode>
                <c:ptCount val="2"/>
                <c:pt idx="0">
                  <c:v>0.97719999999999996</c:v>
                </c:pt>
                <c:pt idx="1">
                  <c:v>2.2800000000000001E-2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C40-4F58-88CD-E574DB590CB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5026735726475258"/>
          <c:y val="0.36161972290777084"/>
          <c:w val="0.20518247956648006"/>
          <c:h val="0.26117287577858733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5544843966747"/>
          <c:y val="0.13388875705605294"/>
          <c:w val="0.52626548107342097"/>
          <c:h val="0.75839902204005316"/>
        </c:manualLayout>
      </c:layout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4.3665463692038498E-2"/>
                  <c:y val="-0.2114337270341207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56-4AC6-8D43-9629A75B4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List9!$A$6:$A$8</c:f>
              <c:strCache>
                <c:ptCount val="3"/>
                <c:pt idx="0">
                  <c:v>ministerstva</c:v>
                </c:pt>
                <c:pt idx="1">
                  <c:v>organizační složky ministerstev</c:v>
                </c:pt>
                <c:pt idx="2">
                  <c:v>ústřední orgány státní správy</c:v>
                </c:pt>
              </c:strCache>
            </c:strRef>
          </c:cat>
          <c:val>
            <c:numRef>
              <c:f>List9!$B$6:$B$8</c:f>
              <c:numCache>
                <c:formatCode>General</c:formatCode>
                <c:ptCount val="3"/>
                <c:pt idx="0">
                  <c:v>286</c:v>
                </c:pt>
                <c:pt idx="1">
                  <c:v>1377</c:v>
                </c:pt>
                <c:pt idx="2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56-4AC6-8D43-9629A75B471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856681161123521"/>
          <c:y val="0.29222224530640795"/>
          <c:w val="0.30133377077865264"/>
          <c:h val="0.41896981627296587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1349655511811"/>
          <c:y val="0.13659685206724295"/>
          <c:w val="0.59610735710736218"/>
          <c:h val="0.6679735915051001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List10!$B$1</c:f>
              <c:strCache>
                <c:ptCount val="1"/>
                <c:pt idx="0">
                  <c:v>plný úvazek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List10!$A$2:$A$4</c:f>
              <c:strCache>
                <c:ptCount val="3"/>
                <c:pt idx="0">
                  <c:v>ministerstva</c:v>
                </c:pt>
                <c:pt idx="1">
                  <c:v>organizační složky</c:v>
                </c:pt>
                <c:pt idx="2">
                  <c:v>ústřední orgány státní správy</c:v>
                </c:pt>
              </c:strCache>
            </c:strRef>
          </c:cat>
          <c:val>
            <c:numRef>
              <c:f>List10!$B$2:$B$4</c:f>
              <c:numCache>
                <c:formatCode>General</c:formatCode>
                <c:ptCount val="3"/>
                <c:pt idx="0">
                  <c:v>113</c:v>
                </c:pt>
                <c:pt idx="1">
                  <c:v>1034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46-472C-A9B2-572C06B2F683}"/>
            </c:ext>
          </c:extLst>
        </c:ser>
        <c:ser>
          <c:idx val="1"/>
          <c:order val="1"/>
          <c:tx>
            <c:strRef>
              <c:f>List10!$C$1</c:f>
              <c:strCache>
                <c:ptCount val="1"/>
                <c:pt idx="0">
                  <c:v>zkrácený úvazek</c:v>
                </c:pt>
              </c:strCache>
            </c:strRef>
          </c:tx>
          <c:invertIfNegative val="0"/>
          <c:cat>
            <c:strRef>
              <c:f>List10!$A$2:$A$4</c:f>
              <c:strCache>
                <c:ptCount val="3"/>
                <c:pt idx="0">
                  <c:v>ministerstva</c:v>
                </c:pt>
                <c:pt idx="1">
                  <c:v>organizační složky</c:v>
                </c:pt>
                <c:pt idx="2">
                  <c:v>ústřední orgány státní správy</c:v>
                </c:pt>
              </c:strCache>
            </c:strRef>
          </c:cat>
          <c:val>
            <c:numRef>
              <c:f>List10!$C$2:$C$4</c:f>
              <c:numCache>
                <c:formatCode>General</c:formatCode>
                <c:ptCount val="3"/>
                <c:pt idx="0">
                  <c:v>11</c:v>
                </c:pt>
                <c:pt idx="1">
                  <c:v>180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46-472C-A9B2-572C06B2F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870208"/>
        <c:axId val="101876096"/>
      </c:barChart>
      <c:catAx>
        <c:axId val="101870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876096"/>
        <c:crosses val="autoZero"/>
        <c:auto val="1"/>
        <c:lblAlgn val="ctr"/>
        <c:lblOffset val="100"/>
        <c:noMultiLvlLbl val="0"/>
      </c:catAx>
      <c:valAx>
        <c:axId val="1018760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870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120281179363625"/>
          <c:y val="0.39013567819737732"/>
          <c:w val="0.22365523237040166"/>
          <c:h val="0.18979458869758023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73840769903763"/>
          <c:y val="0.10232648002333042"/>
          <c:w val="0.58151181102362204"/>
          <c:h val="0.75854549431321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List9!$B$1</c:f>
              <c:strCache>
                <c:ptCount val="1"/>
                <c:pt idx="0">
                  <c:v>plný úvazek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22-4AAF-BBDA-576E434EB905}"/>
              </c:ext>
            </c:extLst>
          </c:dPt>
          <c:cat>
            <c:strRef>
              <c:f>List9!$A$2:$A$4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dohody</c:v>
                </c:pt>
              </c:strCache>
            </c:strRef>
          </c:cat>
          <c:val>
            <c:numRef>
              <c:f>List9!$B$2:$B$4</c:f>
              <c:numCache>
                <c:formatCode>General</c:formatCode>
                <c:ptCount val="3"/>
                <c:pt idx="0">
                  <c:v>161</c:v>
                </c:pt>
                <c:pt idx="1">
                  <c:v>109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22-4AAF-BBDA-576E434EB905}"/>
            </c:ext>
          </c:extLst>
        </c:ser>
        <c:ser>
          <c:idx val="1"/>
          <c:order val="1"/>
          <c:tx>
            <c:strRef>
              <c:f>List9!$C$1</c:f>
              <c:strCache>
                <c:ptCount val="1"/>
                <c:pt idx="0">
                  <c:v>zkrácený úvazek</c:v>
                </c:pt>
              </c:strCache>
            </c:strRef>
          </c:tx>
          <c:invertIfNegative val="0"/>
          <c:cat>
            <c:strRef>
              <c:f>List9!$A$2:$A$4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dohody</c:v>
                </c:pt>
              </c:strCache>
            </c:strRef>
          </c:cat>
          <c:val>
            <c:numRef>
              <c:f>List9!$C$2:$C$4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022-4AAF-BBDA-576E434EB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902592"/>
        <c:axId val="101912576"/>
      </c:barChart>
      <c:catAx>
        <c:axId val="101902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912576"/>
        <c:crosses val="autoZero"/>
        <c:auto val="1"/>
        <c:lblAlgn val="ctr"/>
        <c:lblOffset val="100"/>
        <c:noMultiLvlLbl val="0"/>
      </c:catAx>
      <c:valAx>
        <c:axId val="101912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90259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48840769903761"/>
          <c:y val="0.13936351706036745"/>
          <c:w val="0.59242847769028872"/>
          <c:h val="0.675212160979877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List9!$G$1</c:f>
              <c:strCache>
                <c:ptCount val="1"/>
                <c:pt idx="0">
                  <c:v>plný úvazek</c:v>
                </c:pt>
              </c:strCache>
            </c:strRef>
          </c:tx>
          <c:invertIfNegative val="0"/>
          <c:cat>
            <c:strRef>
              <c:f>List9!$F$2:$F$4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dohody</c:v>
                </c:pt>
              </c:strCache>
            </c:strRef>
          </c:cat>
          <c:val>
            <c:numRef>
              <c:f>List9!$G$2:$G$4</c:f>
              <c:numCache>
                <c:formatCode>General</c:formatCode>
                <c:ptCount val="3"/>
                <c:pt idx="0">
                  <c:v>1077</c:v>
                </c:pt>
                <c:pt idx="1">
                  <c:v>284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55-44BC-ABF6-CB09114D1627}"/>
            </c:ext>
          </c:extLst>
        </c:ser>
        <c:ser>
          <c:idx val="1"/>
          <c:order val="1"/>
          <c:tx>
            <c:strRef>
              <c:f>List9!$H$1</c:f>
              <c:strCache>
                <c:ptCount val="1"/>
                <c:pt idx="0">
                  <c:v>zkrácený úvazek</c:v>
                </c:pt>
              </c:strCache>
            </c:strRef>
          </c:tx>
          <c:invertIfNegative val="0"/>
          <c:cat>
            <c:strRef>
              <c:f>List9!$F$2:$F$4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dohody</c:v>
                </c:pt>
              </c:strCache>
            </c:strRef>
          </c:cat>
          <c:val>
            <c:numRef>
              <c:f>List9!$H$2:$H$4</c:f>
              <c:numCache>
                <c:formatCode>General</c:formatCode>
                <c:ptCount val="3"/>
                <c:pt idx="0">
                  <c:v>180</c:v>
                </c:pt>
                <c:pt idx="1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55-44BC-ABF6-CB09114D16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938304"/>
        <c:axId val="101939840"/>
      </c:barChart>
      <c:catAx>
        <c:axId val="101938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939840"/>
        <c:crosses val="autoZero"/>
        <c:auto val="1"/>
        <c:lblAlgn val="ctr"/>
        <c:lblOffset val="100"/>
        <c:noMultiLvlLbl val="0"/>
      </c:catAx>
      <c:valAx>
        <c:axId val="101939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93830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65507436570428"/>
          <c:y val="0.14399314668999708"/>
          <c:w val="0.60670625546806645"/>
          <c:h val="0.7215084572761738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List9!$G$26</c:f>
              <c:strCache>
                <c:ptCount val="1"/>
                <c:pt idx="0">
                  <c:v>plný úvazek</c:v>
                </c:pt>
              </c:strCache>
            </c:strRef>
          </c:tx>
          <c:invertIfNegative val="0"/>
          <c:cat>
            <c:strRef>
              <c:f>List9!$F$27:$F$29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dohody</c:v>
                </c:pt>
              </c:strCache>
            </c:strRef>
          </c:cat>
          <c:val>
            <c:numRef>
              <c:f>List9!$G$27:$G$29</c:f>
              <c:numCache>
                <c:formatCode>General</c:formatCode>
                <c:ptCount val="3"/>
                <c:pt idx="0">
                  <c:v>31</c:v>
                </c:pt>
                <c:pt idx="1">
                  <c:v>42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D5-4032-A4EC-3197879F27D7}"/>
            </c:ext>
          </c:extLst>
        </c:ser>
        <c:ser>
          <c:idx val="1"/>
          <c:order val="1"/>
          <c:tx>
            <c:strRef>
              <c:f>List9!$H$26</c:f>
              <c:strCache>
                <c:ptCount val="1"/>
                <c:pt idx="0">
                  <c:v>zkrácený úvazek</c:v>
                </c:pt>
              </c:strCache>
            </c:strRef>
          </c:tx>
          <c:invertIfNegative val="0"/>
          <c:cat>
            <c:strRef>
              <c:f>List9!$F$27:$F$29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dohody</c:v>
                </c:pt>
              </c:strCache>
            </c:strRef>
          </c:cat>
          <c:val>
            <c:numRef>
              <c:f>List9!$H$27:$H$29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D5-4032-A4EC-3197879F2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969920"/>
        <c:axId val="101971456"/>
      </c:barChart>
      <c:catAx>
        <c:axId val="101969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971456"/>
        <c:crosses val="autoZero"/>
        <c:auto val="1"/>
        <c:lblAlgn val="ctr"/>
        <c:lblOffset val="100"/>
        <c:noMultiLvlLbl val="0"/>
      </c:catAx>
      <c:valAx>
        <c:axId val="101971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96992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866934550629583E-2"/>
          <c:y val="7.5972222222222219E-2"/>
          <c:w val="0.73735750198204597"/>
          <c:h val="0.74436752697579467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List4!$C$1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List4!$A$3:$A$6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List4!$C$3:$C$6</c:f>
              <c:numCache>
                <c:formatCode>General</c:formatCode>
                <c:ptCount val="4"/>
                <c:pt idx="0">
                  <c:v>143</c:v>
                </c:pt>
                <c:pt idx="1">
                  <c:v>829</c:v>
                </c:pt>
                <c:pt idx="2">
                  <c:v>231</c:v>
                </c:pt>
                <c:pt idx="3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3E-4EBE-A9CC-FB59FA4A9080}"/>
            </c:ext>
          </c:extLst>
        </c:ser>
        <c:ser>
          <c:idx val="0"/>
          <c:order val="1"/>
          <c:tx>
            <c:strRef>
              <c:f>List4!$B$1</c:f>
              <c:strCache>
                <c:ptCount val="1"/>
                <c:pt idx="0">
                  <c:v>muži</c:v>
                </c:pt>
              </c:strCache>
            </c:strRef>
          </c:tx>
          <c:invertIfNegative val="0"/>
          <c:cat>
            <c:strRef>
              <c:f>List4!$A$3:$A$6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List4!$B$3:$B$6</c:f>
              <c:numCache>
                <c:formatCode>General</c:formatCode>
                <c:ptCount val="4"/>
                <c:pt idx="0">
                  <c:v>69</c:v>
                </c:pt>
                <c:pt idx="1">
                  <c:v>241</c:v>
                </c:pt>
                <c:pt idx="2">
                  <c:v>71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3E-4EBE-A9CC-FB59FA4A90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399552"/>
        <c:axId val="101413632"/>
      </c:barChart>
      <c:catAx>
        <c:axId val="101399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sz="1050" b="1"/>
            </a:pPr>
            <a:endParaRPr lang="cs-CZ"/>
          </a:p>
        </c:txPr>
        <c:crossAx val="101413632"/>
        <c:crosses val="autoZero"/>
        <c:auto val="1"/>
        <c:lblAlgn val="ctr"/>
        <c:lblOffset val="100"/>
        <c:noMultiLvlLbl val="0"/>
      </c:catAx>
      <c:valAx>
        <c:axId val="101413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39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375101564462043"/>
          <c:y val="0.35790864683581225"/>
          <c:w val="9.6230222629300796E-2"/>
          <c:h val="0.22862715077282006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3328627746233"/>
          <c:y val="7.988326633995925E-2"/>
          <c:w val="0.4729447564074411"/>
          <c:h val="0.83013380320466934"/>
        </c:manualLayout>
      </c:layout>
      <c:pieChart>
        <c:varyColors val="1"/>
        <c:ser>
          <c:idx val="0"/>
          <c:order val="0"/>
          <c:tx>
            <c:strRef>
              <c:f>List5!$B$1</c:f>
              <c:strCache>
                <c:ptCount val="1"/>
                <c:pt idx="0">
                  <c:v>podíl žen</c:v>
                </c:pt>
              </c:strCache>
            </c:strRef>
          </c:tx>
          <c:dLbls>
            <c:dLbl>
              <c:idx val="1"/>
              <c:layout>
                <c:manualLayout>
                  <c:x val="-5.2813005071520515E-2"/>
                  <c:y val="-0.2100881071442840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73-41FA-AD61-AC77077E33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List5!$A$2:$A$5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stupěň</c:v>
                </c:pt>
              </c:strCache>
            </c:strRef>
          </c:cat>
          <c:val>
            <c:numRef>
              <c:f>List5!$B$2:$B$5</c:f>
              <c:numCache>
                <c:formatCode>General</c:formatCode>
                <c:ptCount val="4"/>
                <c:pt idx="0">
                  <c:v>143</c:v>
                </c:pt>
                <c:pt idx="1">
                  <c:v>829</c:v>
                </c:pt>
                <c:pt idx="2">
                  <c:v>231</c:v>
                </c:pt>
                <c:pt idx="3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73-41FA-AD61-AC77077E33F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098069061069965"/>
          <c:y val="0.20440470990980159"/>
          <c:w val="0.28443559699685439"/>
          <c:h val="0.59160116775207727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List3!$B$1</c:f>
              <c:strCache>
                <c:ptCount val="1"/>
                <c:pt idx="0">
                  <c:v>muži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List3!$A$2:$A$6</c:f>
              <c:strCache>
                <c:ptCount val="5"/>
                <c:pt idx="0">
                  <c:v>15-34 let</c:v>
                </c:pt>
                <c:pt idx="1">
                  <c:v>35-49 let</c:v>
                </c:pt>
                <c:pt idx="2">
                  <c:v>50-64 let</c:v>
                </c:pt>
                <c:pt idx="3">
                  <c:v>65-79 let</c:v>
                </c:pt>
                <c:pt idx="4">
                  <c:v>80 a více let</c:v>
                </c:pt>
              </c:strCache>
            </c:strRef>
          </c:cat>
          <c:val>
            <c:numRef>
              <c:f>List3!$B$2:$B$6</c:f>
              <c:numCache>
                <c:formatCode>0%</c:formatCode>
                <c:ptCount val="5"/>
                <c:pt idx="0">
                  <c:v>0.03</c:v>
                </c:pt>
                <c:pt idx="1">
                  <c:v>5.3999999999999999E-2</c:v>
                </c:pt>
                <c:pt idx="2">
                  <c:v>0.156</c:v>
                </c:pt>
                <c:pt idx="3">
                  <c:v>0.25800000000000001</c:v>
                </c:pt>
                <c:pt idx="4">
                  <c:v>0.441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51-476F-B663-6E017F9D83BD}"/>
            </c:ext>
          </c:extLst>
        </c:ser>
        <c:ser>
          <c:idx val="1"/>
          <c:order val="1"/>
          <c:tx>
            <c:strRef>
              <c:f>List3!$C$1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List3!$A$2:$A$6</c:f>
              <c:strCache>
                <c:ptCount val="5"/>
                <c:pt idx="0">
                  <c:v>15-34 let</c:v>
                </c:pt>
                <c:pt idx="1">
                  <c:v>35-49 let</c:v>
                </c:pt>
                <c:pt idx="2">
                  <c:v>50-64 let</c:v>
                </c:pt>
                <c:pt idx="3">
                  <c:v>65-79 let</c:v>
                </c:pt>
                <c:pt idx="4">
                  <c:v>80 a více let</c:v>
                </c:pt>
              </c:strCache>
            </c:strRef>
          </c:cat>
          <c:val>
            <c:numRef>
              <c:f>List3!$C$2:$C$6</c:f>
              <c:numCache>
                <c:formatCode>0%</c:formatCode>
                <c:ptCount val="5"/>
                <c:pt idx="0">
                  <c:v>2.5999999999999999E-2</c:v>
                </c:pt>
                <c:pt idx="1">
                  <c:v>5.8999999999999997E-2</c:v>
                </c:pt>
                <c:pt idx="2">
                  <c:v>0.16</c:v>
                </c:pt>
                <c:pt idx="3">
                  <c:v>0.255</c:v>
                </c:pt>
                <c:pt idx="4">
                  <c:v>0.63800000000000001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051-476F-B663-6E017F9D8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808000"/>
        <c:axId val="13809536"/>
      </c:barChart>
      <c:catAx>
        <c:axId val="1380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809536"/>
        <c:crossesAt val="0"/>
        <c:auto val="1"/>
        <c:lblAlgn val="ctr"/>
        <c:lblOffset val="100"/>
        <c:noMultiLvlLbl val="0"/>
      </c:catAx>
      <c:valAx>
        <c:axId val="1380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380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43673395965691"/>
          <c:y val="9.9936814482987427E-2"/>
          <c:w val="0.46927948258804097"/>
          <c:h val="0.76547303278811507"/>
        </c:manualLayout>
      </c:layout>
      <c:pieChart>
        <c:varyColors val="1"/>
        <c:ser>
          <c:idx val="0"/>
          <c:order val="0"/>
          <c:tx>
            <c:strRef>
              <c:f>List5!$L$1</c:f>
              <c:strCache>
                <c:ptCount val="1"/>
                <c:pt idx="0">
                  <c:v>Podíl mužů dle stupně invalidity</c:v>
                </c:pt>
              </c:strCache>
            </c:strRef>
          </c:tx>
          <c:dLbls>
            <c:dLbl>
              <c:idx val="1"/>
              <c:layout>
                <c:manualLayout>
                  <c:x val="-5.3920857868167506E-2"/>
                  <c:y val="-0.2194052013680766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67-4FA1-84F9-990051C300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List5!$K$2:$K$5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stupěň</c:v>
                </c:pt>
              </c:strCache>
            </c:strRef>
          </c:cat>
          <c:val>
            <c:numRef>
              <c:f>List5!$L$2:$L$5</c:f>
              <c:numCache>
                <c:formatCode>General</c:formatCode>
                <c:ptCount val="4"/>
                <c:pt idx="0">
                  <c:v>69</c:v>
                </c:pt>
                <c:pt idx="1">
                  <c:v>241</c:v>
                </c:pt>
                <c:pt idx="2">
                  <c:v>71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67-4FA1-84F9-990051C300C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194289403634181"/>
          <c:y val="0.28939079031385723"/>
          <c:w val="0.27318860230408648"/>
          <c:h val="0.55898601923553493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821504870030794E-2"/>
          <c:y val="0.10395754878466279"/>
          <c:w val="0.61861895170080472"/>
          <c:h val="0.80958393244322713"/>
        </c:manualLayout>
      </c:layout>
      <c:doughnutChart>
        <c:varyColors val="1"/>
        <c:ser>
          <c:idx val="0"/>
          <c:order val="0"/>
          <c:tx>
            <c:strRef>
              <c:f>List5!$B$1</c:f>
              <c:strCache>
                <c:ptCount val="1"/>
                <c:pt idx="0">
                  <c:v>podíl žen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List5!$A$2:$A$5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stupěň</c:v>
                </c:pt>
              </c:strCache>
            </c:strRef>
          </c:cat>
          <c:val>
            <c:numRef>
              <c:f>List5!$B$2:$B$5</c:f>
              <c:numCache>
                <c:formatCode>General</c:formatCode>
                <c:ptCount val="4"/>
                <c:pt idx="0">
                  <c:v>143</c:v>
                </c:pt>
                <c:pt idx="1">
                  <c:v>829</c:v>
                </c:pt>
                <c:pt idx="2">
                  <c:v>231</c:v>
                </c:pt>
                <c:pt idx="3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B3-4E74-A3FB-E7140963E575}"/>
            </c:ext>
          </c:extLst>
        </c:ser>
        <c:ser>
          <c:idx val="1"/>
          <c:order val="1"/>
          <c:tx>
            <c:strRef>
              <c:f>List5!$C$1</c:f>
              <c:strCache>
                <c:ptCount val="1"/>
                <c:pt idx="0">
                  <c:v>Podíl mužů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List5!$A$2:$A$5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stupěň</c:v>
                </c:pt>
              </c:strCache>
            </c:strRef>
          </c:cat>
          <c:val>
            <c:numRef>
              <c:f>List5!$C$2:$C$5</c:f>
              <c:numCache>
                <c:formatCode>General</c:formatCode>
                <c:ptCount val="4"/>
                <c:pt idx="0">
                  <c:v>69</c:v>
                </c:pt>
                <c:pt idx="1">
                  <c:v>241</c:v>
                </c:pt>
                <c:pt idx="2">
                  <c:v>71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B3-4E74-A3FB-E7140963E57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2543734358786549"/>
          <c:y val="0.21437681159420288"/>
          <c:w val="0.26056522004516874"/>
          <c:h val="0.50639370078740154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List11!$P$2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List11!$O$3:$O$6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List11!$P$3:$P$6</c:f>
              <c:numCache>
                <c:formatCode>General</c:formatCode>
                <c:ptCount val="4"/>
                <c:pt idx="0">
                  <c:v>151</c:v>
                </c:pt>
                <c:pt idx="1">
                  <c:v>792</c:v>
                </c:pt>
                <c:pt idx="2">
                  <c:v>223</c:v>
                </c:pt>
                <c:pt idx="3">
                  <c:v>103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38-418B-81B1-AE1CCDCB3EED}"/>
            </c:ext>
          </c:extLst>
        </c:ser>
        <c:ser>
          <c:idx val="1"/>
          <c:order val="1"/>
          <c:tx>
            <c:strRef>
              <c:f>List11!$Q$2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List11!$O$3:$O$6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List11!$Q$3:$Q$6</c:f>
              <c:numCache>
                <c:formatCode>General</c:formatCode>
                <c:ptCount val="4"/>
                <c:pt idx="0">
                  <c:v>54</c:v>
                </c:pt>
                <c:pt idx="1">
                  <c:v>259</c:v>
                </c:pt>
                <c:pt idx="2">
                  <c:v>76</c:v>
                </c:pt>
                <c:pt idx="3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38-418B-81B1-AE1CCDCB3EED}"/>
            </c:ext>
          </c:extLst>
        </c:ser>
        <c:ser>
          <c:idx val="2"/>
          <c:order val="2"/>
          <c:tx>
            <c:strRef>
              <c:f>List11!$R$2</c:f>
              <c:strCache>
                <c:ptCount val="1"/>
                <c:pt idx="0">
                  <c:v>dohody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List11!$O$3:$O$6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List11!$R$3:$R$6</c:f>
              <c:numCache>
                <c:formatCode>General</c:formatCode>
                <c:ptCount val="4"/>
                <c:pt idx="0">
                  <c:v>7</c:v>
                </c:pt>
                <c:pt idx="1">
                  <c:v>19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38-418B-81B1-AE1CCDCB3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462016"/>
        <c:axId val="101463552"/>
      </c:barChart>
      <c:catAx>
        <c:axId val="10146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463552"/>
        <c:crosses val="autoZero"/>
        <c:auto val="1"/>
        <c:lblAlgn val="ctr"/>
        <c:lblOffset val="100"/>
        <c:noMultiLvlLbl val="0"/>
      </c:catAx>
      <c:valAx>
        <c:axId val="10146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46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98329141441593"/>
          <c:y val="0.3218302039168181"/>
          <c:w val="0.18517561709280722"/>
          <c:h val="0.30933104515781679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List15!$C$30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List15!$B$31:$B$34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List15!$C$31:$C$34</c:f>
              <c:numCache>
                <c:formatCode>0%</c:formatCode>
                <c:ptCount val="4"/>
                <c:pt idx="0">
                  <c:v>0.11</c:v>
                </c:pt>
                <c:pt idx="1">
                  <c:v>0.13</c:v>
                </c:pt>
                <c:pt idx="2">
                  <c:v>0.27</c:v>
                </c:pt>
                <c:pt idx="3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BC-4913-B106-869C7BD00A56}"/>
            </c:ext>
          </c:extLst>
        </c:ser>
        <c:ser>
          <c:idx val="1"/>
          <c:order val="1"/>
          <c:tx>
            <c:strRef>
              <c:f>List15!$D$30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List15!$B$31:$B$34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List15!$D$31:$D$34</c:f>
              <c:numCache>
                <c:formatCode>0%</c:formatCode>
                <c:ptCount val="4"/>
                <c:pt idx="0">
                  <c:v>0.18</c:v>
                </c:pt>
                <c:pt idx="1">
                  <c:v>0.19</c:v>
                </c:pt>
                <c:pt idx="2">
                  <c:v>0.49</c:v>
                </c:pt>
                <c:pt idx="3">
                  <c:v>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BC-4913-B106-869C7BD00A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497472"/>
        <c:axId val="101511552"/>
      </c:barChart>
      <c:catAx>
        <c:axId val="101497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511552"/>
        <c:crosses val="autoZero"/>
        <c:auto val="1"/>
        <c:lblAlgn val="ctr"/>
        <c:lblOffset val="100"/>
        <c:noMultiLvlLbl val="0"/>
      </c:catAx>
      <c:valAx>
        <c:axId val="101511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49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2465559030002"/>
          <c:y val="0.30250071966810599"/>
          <c:w val="0.18399427344309235"/>
          <c:h val="0.26615561764456863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917983656298279E-2"/>
          <c:y val="0.10897263954765299"/>
          <c:w val="0.6840674117066482"/>
          <c:h val="0.742188126227152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List12!$B$30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List12!$A$31:$A$34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List12!$B$31:$B$34</c:f>
              <c:numCache>
                <c:formatCode>General</c:formatCode>
                <c:ptCount val="4"/>
                <c:pt idx="0">
                  <c:v>57</c:v>
                </c:pt>
                <c:pt idx="1">
                  <c:v>51</c:v>
                </c:pt>
                <c:pt idx="2">
                  <c:v>32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F1-41C8-99A8-2B2DEE3AE962}"/>
            </c:ext>
          </c:extLst>
        </c:ser>
        <c:ser>
          <c:idx val="1"/>
          <c:order val="1"/>
          <c:tx>
            <c:strRef>
              <c:f>List12!$C$30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List12!$A$31:$A$34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List12!$C$31:$C$34</c:f>
              <c:numCache>
                <c:formatCode>General</c:formatCode>
                <c:ptCount val="4"/>
                <c:pt idx="0">
                  <c:v>8</c:v>
                </c:pt>
                <c:pt idx="1">
                  <c:v>59</c:v>
                </c:pt>
                <c:pt idx="2">
                  <c:v>31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F1-41C8-99A8-2B2DEE3AE962}"/>
            </c:ext>
          </c:extLst>
        </c:ser>
        <c:ser>
          <c:idx val="2"/>
          <c:order val="2"/>
          <c:tx>
            <c:strRef>
              <c:f>List12!$D$30</c:f>
              <c:strCache>
                <c:ptCount val="1"/>
                <c:pt idx="0">
                  <c:v>dohody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List12!$A$31:$A$34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List12!$D$31:$D$34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F1-41C8-99A8-2B2DEE3AE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617024"/>
        <c:axId val="101622912"/>
      </c:barChart>
      <c:catAx>
        <c:axId val="101617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622912"/>
        <c:crosses val="autoZero"/>
        <c:auto val="1"/>
        <c:lblAlgn val="ctr"/>
        <c:lblOffset val="100"/>
        <c:noMultiLvlLbl val="0"/>
      </c:catAx>
      <c:valAx>
        <c:axId val="101622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61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77734963980571"/>
          <c:y val="0.31222692118974749"/>
          <c:w val="0.22664913447705087"/>
          <c:h val="0.37940314016017923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List11!$B$40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List11!$A$41:$A$44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List11!$B$41:$B$44</c:f>
              <c:numCache>
                <c:formatCode>0%</c:formatCode>
                <c:ptCount val="4"/>
                <c:pt idx="0">
                  <c:v>3.5000000000000003E-2</c:v>
                </c:pt>
                <c:pt idx="1">
                  <c:v>0.11799999999999999</c:v>
                </c:pt>
                <c:pt idx="2">
                  <c:v>3.1E-2</c:v>
                </c:pt>
                <c:pt idx="3">
                  <c:v>9.5000000000000001E-2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BF-454C-A94C-99F66BD6A820}"/>
            </c:ext>
          </c:extLst>
        </c:ser>
        <c:ser>
          <c:idx val="1"/>
          <c:order val="1"/>
          <c:tx>
            <c:strRef>
              <c:f>List11!$C$40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List11!$A$41:$A$44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List11!$C$41:$C$44</c:f>
              <c:numCache>
                <c:formatCode>0%</c:formatCode>
                <c:ptCount val="4"/>
                <c:pt idx="0">
                  <c:v>0.125</c:v>
                </c:pt>
                <c:pt idx="1">
                  <c:v>8.5000000000000006E-2</c:v>
                </c:pt>
                <c:pt idx="2">
                  <c:v>6.5000000000000002E-2</c:v>
                </c:pt>
                <c:pt idx="3">
                  <c:v>0.182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BF-454C-A94C-99F66BD6A8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16288"/>
        <c:axId val="102318080"/>
      </c:barChart>
      <c:catAx>
        <c:axId val="102316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318080"/>
        <c:crosses val="autoZero"/>
        <c:auto val="1"/>
        <c:lblAlgn val="ctr"/>
        <c:lblOffset val="100"/>
        <c:noMultiLvlLbl val="0"/>
      </c:catAx>
      <c:valAx>
        <c:axId val="1023180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31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68066491688535"/>
          <c:y val="0.40928040244969377"/>
          <c:w val="0.22965266841644794"/>
          <c:h val="0.24613808690580344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List12!$O$1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List12!$N$2:$N$5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List12!$O$2:$O$5</c:f>
              <c:numCache>
                <c:formatCode>0</c:formatCode>
                <c:ptCount val="4"/>
                <c:pt idx="0">
                  <c:v>88</c:v>
                </c:pt>
                <c:pt idx="1">
                  <c:v>725</c:v>
                </c:pt>
                <c:pt idx="2">
                  <c:v>187</c:v>
                </c:pt>
                <c:pt idx="3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EB-44A2-BDC2-1667623EB2D1}"/>
            </c:ext>
          </c:extLst>
        </c:ser>
        <c:ser>
          <c:idx val="1"/>
          <c:order val="1"/>
          <c:tx>
            <c:strRef>
              <c:f>List12!$P$1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List12!$N$2:$N$5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List12!$P$2:$P$5</c:f>
              <c:numCache>
                <c:formatCode>0</c:formatCode>
                <c:ptCount val="4"/>
                <c:pt idx="0">
                  <c:v>38</c:v>
                </c:pt>
                <c:pt idx="1">
                  <c:v>181</c:v>
                </c:pt>
                <c:pt idx="2">
                  <c:v>39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EB-44A2-BDC2-1667623EB2D1}"/>
            </c:ext>
          </c:extLst>
        </c:ser>
        <c:ser>
          <c:idx val="2"/>
          <c:order val="2"/>
          <c:tx>
            <c:strRef>
              <c:f>List12!$Q$1</c:f>
              <c:strCache>
                <c:ptCount val="1"/>
                <c:pt idx="0">
                  <c:v>dohody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List12!$N$2:$N$5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List12!$Q$2:$Q$5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EB-44A2-BDC2-1667623EB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58400"/>
        <c:axId val="102364288"/>
      </c:barChart>
      <c:catAx>
        <c:axId val="10235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364288"/>
        <c:crosses val="autoZero"/>
        <c:auto val="1"/>
        <c:lblAlgn val="ctr"/>
        <c:lblOffset val="100"/>
        <c:noMultiLvlLbl val="0"/>
      </c:catAx>
      <c:valAx>
        <c:axId val="10236428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35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1417322834648"/>
          <c:y val="0.32060066262209025"/>
          <c:w val="0.19487231325814003"/>
          <c:h val="0.30196807366292322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List15!$C$30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List15!$B$31:$B$34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List15!$C$31:$C$34</c:f>
              <c:numCache>
                <c:formatCode>0%</c:formatCode>
                <c:ptCount val="4"/>
                <c:pt idx="0">
                  <c:v>0.11</c:v>
                </c:pt>
                <c:pt idx="1">
                  <c:v>0.13</c:v>
                </c:pt>
                <c:pt idx="2">
                  <c:v>0.27</c:v>
                </c:pt>
                <c:pt idx="3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8C-41D3-A1B9-3B11577A5F62}"/>
            </c:ext>
          </c:extLst>
        </c:ser>
        <c:ser>
          <c:idx val="1"/>
          <c:order val="1"/>
          <c:tx>
            <c:strRef>
              <c:f>List15!$D$30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List15!$B$31:$B$34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List15!$D$31:$D$34</c:f>
              <c:numCache>
                <c:formatCode>0%</c:formatCode>
                <c:ptCount val="4"/>
                <c:pt idx="0">
                  <c:v>0.18</c:v>
                </c:pt>
                <c:pt idx="1">
                  <c:v>0.19</c:v>
                </c:pt>
                <c:pt idx="2">
                  <c:v>0.49</c:v>
                </c:pt>
                <c:pt idx="3">
                  <c:v>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8C-41D3-A1B9-3B11577A5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98208"/>
        <c:axId val="102404096"/>
      </c:barChart>
      <c:catAx>
        <c:axId val="102398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404096"/>
        <c:crosses val="autoZero"/>
        <c:auto val="1"/>
        <c:lblAlgn val="ctr"/>
        <c:lblOffset val="100"/>
        <c:noMultiLvlLbl val="0"/>
      </c:catAx>
      <c:valAx>
        <c:axId val="102404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39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46692468526181"/>
          <c:y val="0.41379185429297377"/>
          <c:w val="0.18399427344309235"/>
          <c:h val="0.22302212223472065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294625128380694E-2"/>
          <c:y val="0.11784832451499117"/>
          <c:w val="0.66050640191715171"/>
          <c:h val="0.73468566429196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List12!$B$1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List12!$A$2:$A$5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List12!$B$2:$B$5</c:f>
              <c:numCache>
                <c:formatCode>General</c:formatCode>
                <c:ptCount val="4"/>
                <c:pt idx="0">
                  <c:v>6</c:v>
                </c:pt>
                <c:pt idx="1">
                  <c:v>16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98-49F3-A7C1-139B0F00B934}"/>
            </c:ext>
          </c:extLst>
        </c:ser>
        <c:ser>
          <c:idx val="1"/>
          <c:order val="1"/>
          <c:tx>
            <c:strRef>
              <c:f>List12!$C$1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List12!$A$2:$A$5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List12!$C$2:$C$5</c:f>
              <c:numCache>
                <c:formatCode>General</c:formatCode>
                <c:ptCount val="4"/>
                <c:pt idx="0">
                  <c:v>8</c:v>
                </c:pt>
                <c:pt idx="1">
                  <c:v>19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98-49F3-A7C1-139B0F00B934}"/>
            </c:ext>
          </c:extLst>
        </c:ser>
        <c:ser>
          <c:idx val="2"/>
          <c:order val="2"/>
          <c:tx>
            <c:strRef>
              <c:f>List12!$D$1</c:f>
              <c:strCache>
                <c:ptCount val="1"/>
                <c:pt idx="0">
                  <c:v>dohody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List12!$A$2:$A$5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E98-49F3-A7C1-139B0F00B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428032"/>
        <c:axId val="102429824"/>
      </c:barChart>
      <c:catAx>
        <c:axId val="102428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429824"/>
        <c:crosses val="autoZero"/>
        <c:auto val="1"/>
        <c:lblAlgn val="ctr"/>
        <c:lblOffset val="100"/>
        <c:noMultiLvlLbl val="0"/>
      </c:catAx>
      <c:valAx>
        <c:axId val="102429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42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2990813648294"/>
          <c:y val="0.36942465525142693"/>
          <c:w val="0.22532111220472442"/>
          <c:h val="0.32454943132108488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918344476603351E-2"/>
          <c:y val="0.11214437367303609"/>
          <c:w val="0.68954167245948184"/>
          <c:h val="0.7230717020245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List12!$J$1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List12!$I$2:$I$5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List12!$J$2:$J$5</c:f>
              <c:numCache>
                <c:formatCode>0.00%</c:formatCode>
                <c:ptCount val="4"/>
                <c:pt idx="0">
                  <c:v>0</c:v>
                </c:pt>
                <c:pt idx="1">
                  <c:v>0.125</c:v>
                </c:pt>
                <c:pt idx="2">
                  <c:v>0.5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ED-4AF2-A3FD-9B38D4D1C255}"/>
            </c:ext>
          </c:extLst>
        </c:ser>
        <c:ser>
          <c:idx val="1"/>
          <c:order val="1"/>
          <c:tx>
            <c:strRef>
              <c:f>List12!$K$1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List12!$I$2:$I$5</c:f>
              <c:strCache>
                <c:ptCount val="4"/>
                <c:pt idx="0">
                  <c:v>Se zdravotním znevýhodněním</c:v>
                </c:pt>
                <c:pt idx="1">
                  <c:v>1. stupeň</c:v>
                </c:pt>
                <c:pt idx="2">
                  <c:v>2. stupeň</c:v>
                </c:pt>
                <c:pt idx="3">
                  <c:v>3. stupeň</c:v>
                </c:pt>
              </c:strCache>
            </c:strRef>
          </c:cat>
          <c:val>
            <c:numRef>
              <c:f>List12!$K$2:$K$5</c:f>
              <c:numCache>
                <c:formatCode>0.00%</c:formatCode>
                <c:ptCount val="4"/>
                <c:pt idx="0">
                  <c:v>0.125</c:v>
                </c:pt>
                <c:pt idx="1">
                  <c:v>0</c:v>
                </c:pt>
                <c:pt idx="2">
                  <c:v>0.33300000000000002</c:v>
                </c:pt>
                <c:pt idx="3">
                  <c:v>0.222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ED-4AF2-A3FD-9B38D4D1C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459648"/>
        <c:axId val="102473728"/>
      </c:barChart>
      <c:catAx>
        <c:axId val="102459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473728"/>
        <c:crosses val="autoZero"/>
        <c:auto val="1"/>
        <c:lblAlgn val="ctr"/>
        <c:lblOffset val="100"/>
        <c:noMultiLvlLbl val="0"/>
      </c:catAx>
      <c:valAx>
        <c:axId val="102473728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459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97685516583157"/>
          <c:y val="0.33636109122723296"/>
          <c:w val="0.24034251968503936"/>
          <c:h val="0.26531019609809919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List4!$B$1</c:f>
              <c:strCache>
                <c:ptCount val="1"/>
                <c:pt idx="0">
                  <c:v>osoby se zdravotním postižením</c:v>
                </c:pt>
              </c:strCache>
            </c:strRef>
          </c:tx>
          <c:invertIfNegative val="0"/>
          <c:cat>
            <c:strRef>
              <c:f>List4!$A$2:$A$5</c:f>
              <c:strCache>
                <c:ptCount val="4"/>
                <c:pt idx="0">
                  <c:v>základní včetně bez vzdělání</c:v>
                </c:pt>
                <c:pt idx="1">
                  <c:v>střední bez maturity</c:v>
                </c:pt>
                <c:pt idx="2">
                  <c:v>střední s maturitou</c:v>
                </c:pt>
                <c:pt idx="3">
                  <c:v>vyšší odborné a vysokoškolské</c:v>
                </c:pt>
              </c:strCache>
            </c:strRef>
          </c:cat>
          <c:val>
            <c:numRef>
              <c:f>List4!$B$2:$B$5</c:f>
              <c:numCache>
                <c:formatCode>0%</c:formatCode>
                <c:ptCount val="4"/>
                <c:pt idx="0">
                  <c:v>0.21</c:v>
                </c:pt>
                <c:pt idx="1">
                  <c:v>0.47</c:v>
                </c:pt>
                <c:pt idx="2">
                  <c:v>0.25</c:v>
                </c:pt>
                <c:pt idx="3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1C-4C8F-88C4-EE91794F9A9E}"/>
            </c:ext>
          </c:extLst>
        </c:ser>
        <c:ser>
          <c:idx val="1"/>
          <c:order val="1"/>
          <c:tx>
            <c:strRef>
              <c:f>List4!$C$1</c:f>
              <c:strCache>
                <c:ptCount val="1"/>
                <c:pt idx="0">
                  <c:v>obyvatelstvo celkem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List4!$A$2:$A$5</c:f>
              <c:strCache>
                <c:ptCount val="4"/>
                <c:pt idx="0">
                  <c:v>základní včetně bez vzdělání</c:v>
                </c:pt>
                <c:pt idx="1">
                  <c:v>střední bez maturity</c:v>
                </c:pt>
                <c:pt idx="2">
                  <c:v>střední s maturitou</c:v>
                </c:pt>
                <c:pt idx="3">
                  <c:v>vyšší odborné a vysokoškolské</c:v>
                </c:pt>
              </c:strCache>
            </c:strRef>
          </c:cat>
          <c:val>
            <c:numRef>
              <c:f>List4!$C$2:$C$5</c:f>
              <c:numCache>
                <c:formatCode>0%</c:formatCode>
                <c:ptCount val="4"/>
                <c:pt idx="0">
                  <c:v>0.05</c:v>
                </c:pt>
                <c:pt idx="1">
                  <c:v>0.36</c:v>
                </c:pt>
                <c:pt idx="2">
                  <c:v>0.36</c:v>
                </c:pt>
                <c:pt idx="3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1C-4C8F-88C4-EE91794F9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8717056"/>
        <c:axId val="98718848"/>
      </c:barChart>
      <c:catAx>
        <c:axId val="98717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050" b="1"/>
            </a:pPr>
            <a:endParaRPr lang="cs-CZ"/>
          </a:p>
        </c:txPr>
        <c:crossAx val="98718848"/>
        <c:crosses val="autoZero"/>
        <c:auto val="1"/>
        <c:lblAlgn val="ctr"/>
        <c:lblOffset val="100"/>
        <c:noMultiLvlLbl val="0"/>
      </c:catAx>
      <c:valAx>
        <c:axId val="9871884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050" b="1"/>
            </a:pPr>
            <a:endParaRPr lang="cs-CZ"/>
          </a:p>
        </c:txPr>
        <c:crossAx val="98717056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24801419596562"/>
          <c:y val="9.4664555032603931E-2"/>
          <c:w val="0.55934442977236543"/>
          <c:h val="0.84566994860200073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List13!$B$3:$G$3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List13!$B$4:$G$4</c:f>
              <c:numCache>
                <c:formatCode>General</c:formatCode>
                <c:ptCount val="6"/>
                <c:pt idx="0">
                  <c:v>97</c:v>
                </c:pt>
                <c:pt idx="1">
                  <c:v>251</c:v>
                </c:pt>
                <c:pt idx="2">
                  <c:v>923</c:v>
                </c:pt>
                <c:pt idx="3">
                  <c:v>248</c:v>
                </c:pt>
                <c:pt idx="4">
                  <c:v>175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75-45B5-A278-C562F82E85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589904522804224"/>
          <c:y val="0.29723439310366129"/>
          <c:w val="0.23956679328127461"/>
          <c:h val="0.4680245186212843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42430062095897"/>
          <c:y val="8.7653954287742503E-2"/>
          <c:w val="0.68813106616832376"/>
          <c:h val="0.7842956819009723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List15!$A$3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List15!$B$2:$G$2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List15!$B$3:$G$3</c:f>
              <c:numCache>
                <c:formatCode>General</c:formatCode>
                <c:ptCount val="6"/>
                <c:pt idx="0">
                  <c:v>30</c:v>
                </c:pt>
                <c:pt idx="1">
                  <c:v>186</c:v>
                </c:pt>
                <c:pt idx="2">
                  <c:v>776</c:v>
                </c:pt>
                <c:pt idx="3">
                  <c:v>167</c:v>
                </c:pt>
                <c:pt idx="4">
                  <c:v>107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F1-492D-B67F-E2CEA0FAA896}"/>
            </c:ext>
          </c:extLst>
        </c:ser>
        <c:ser>
          <c:idx val="1"/>
          <c:order val="1"/>
          <c:tx>
            <c:strRef>
              <c:f>List15!$A$4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List15!$B$2:$G$2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List15!$B$4:$G$4</c:f>
              <c:numCache>
                <c:formatCode>General</c:formatCode>
                <c:ptCount val="6"/>
                <c:pt idx="0">
                  <c:v>67</c:v>
                </c:pt>
                <c:pt idx="1">
                  <c:v>65</c:v>
                </c:pt>
                <c:pt idx="2">
                  <c:v>137</c:v>
                </c:pt>
                <c:pt idx="3">
                  <c:v>81</c:v>
                </c:pt>
                <c:pt idx="4">
                  <c:v>68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2F1-492D-B67F-E2CEA0FAA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2531072"/>
        <c:axId val="102532608"/>
      </c:barChart>
      <c:catAx>
        <c:axId val="102531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532608"/>
        <c:crosses val="autoZero"/>
        <c:auto val="1"/>
        <c:lblAlgn val="ctr"/>
        <c:lblOffset val="100"/>
        <c:noMultiLvlLbl val="0"/>
      </c:catAx>
      <c:valAx>
        <c:axId val="10253260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531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53524559430073"/>
          <c:y val="0.41980424028765839"/>
          <c:w val="9.9855867162714718E-2"/>
          <c:h val="0.22667201452365371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List15!$B$45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List15!$C$44:$H$44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List15!$C$45:$H$45</c:f>
              <c:numCache>
                <c:formatCode>0</c:formatCode>
                <c:ptCount val="6"/>
                <c:pt idx="0">
                  <c:v>0</c:v>
                </c:pt>
                <c:pt idx="1">
                  <c:v>112</c:v>
                </c:pt>
                <c:pt idx="2">
                  <c:v>772</c:v>
                </c:pt>
                <c:pt idx="3">
                  <c:v>216</c:v>
                </c:pt>
                <c:pt idx="4">
                  <c:v>160</c:v>
                </c:pt>
                <c:pt idx="5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55-469A-ABCB-00BD918F1B9E}"/>
            </c:ext>
          </c:extLst>
        </c:ser>
        <c:ser>
          <c:idx val="1"/>
          <c:order val="1"/>
          <c:tx>
            <c:strRef>
              <c:f>List15!$B$46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List15!$C$44:$H$44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List15!$C$46:$H$46</c:f>
              <c:numCache>
                <c:formatCode>0</c:formatCode>
                <c:ptCount val="6"/>
                <c:pt idx="0">
                  <c:v>97</c:v>
                </c:pt>
                <c:pt idx="1">
                  <c:v>139</c:v>
                </c:pt>
                <c:pt idx="2">
                  <c:v>151</c:v>
                </c:pt>
                <c:pt idx="3">
                  <c:v>32</c:v>
                </c:pt>
                <c:pt idx="4">
                  <c:v>15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55-469A-ABCB-00BD918F1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644736"/>
        <c:axId val="102650624"/>
      </c:barChart>
      <c:catAx>
        <c:axId val="102644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650624"/>
        <c:crosses val="autoZero"/>
        <c:auto val="1"/>
        <c:lblAlgn val="ctr"/>
        <c:lblOffset val="100"/>
        <c:noMultiLvlLbl val="0"/>
      </c:catAx>
      <c:valAx>
        <c:axId val="10265062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64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96963893026893"/>
          <c:y val="0.33567969458363162"/>
          <c:w val="0.21324290101445267"/>
          <c:h val="0.27138840372226197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List14!$A$30</c:f>
              <c:strCache>
                <c:ptCount val="1"/>
                <c:pt idx="0">
                  <c:v>zkrácený úvazek</c:v>
                </c:pt>
              </c:strCache>
            </c:strRef>
          </c:tx>
          <c:invertIfNegative val="0"/>
          <c:cat>
            <c:strRef>
              <c:f>List14!$B$29:$G$29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List14!$B$30:$G$30</c:f>
              <c:numCache>
                <c:formatCode>0%</c:formatCode>
                <c:ptCount val="6"/>
                <c:pt idx="0">
                  <c:v>0.247</c:v>
                </c:pt>
                <c:pt idx="1">
                  <c:v>0.183</c:v>
                </c:pt>
                <c:pt idx="2">
                  <c:v>0.13800000000000001</c:v>
                </c:pt>
                <c:pt idx="3">
                  <c:v>0.125</c:v>
                </c:pt>
                <c:pt idx="4">
                  <c:v>0.29699999999999999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43-45DC-B5CD-3BBEB27E9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2658816"/>
        <c:axId val="102660352"/>
      </c:barChart>
      <c:catAx>
        <c:axId val="10265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660352"/>
        <c:crosses val="autoZero"/>
        <c:auto val="1"/>
        <c:lblAlgn val="ctr"/>
        <c:lblOffset val="100"/>
        <c:noMultiLvlLbl val="0"/>
      </c:catAx>
      <c:valAx>
        <c:axId val="102660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658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List14!$I$33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List14!$J$32:$O$32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List14!$J$33:$O$33</c:f>
              <c:numCache>
                <c:formatCode>0%</c:formatCode>
                <c:ptCount val="6"/>
                <c:pt idx="0">
                  <c:v>0</c:v>
                </c:pt>
                <c:pt idx="1">
                  <c:v>0.20499999999999999</c:v>
                </c:pt>
                <c:pt idx="2">
                  <c:v>0.14000000000000001</c:v>
                </c:pt>
                <c:pt idx="3">
                  <c:v>7.9000000000000001E-2</c:v>
                </c:pt>
                <c:pt idx="4">
                  <c:v>0.30599999999999999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07-4C7F-8A9C-79E13AD7DBD5}"/>
            </c:ext>
          </c:extLst>
        </c:ser>
        <c:ser>
          <c:idx val="1"/>
          <c:order val="1"/>
          <c:tx>
            <c:strRef>
              <c:f>List14!$I$34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List14!$J$32:$O$32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List14!$J$34:$O$34</c:f>
              <c:numCache>
                <c:formatCode>0%</c:formatCode>
                <c:ptCount val="6"/>
                <c:pt idx="0">
                  <c:v>0.247</c:v>
                </c:pt>
                <c:pt idx="1">
                  <c:v>0.16500000000000001</c:v>
                </c:pt>
                <c:pt idx="2">
                  <c:v>0.13900000000000001</c:v>
                </c:pt>
                <c:pt idx="3">
                  <c:v>0.438</c:v>
                </c:pt>
                <c:pt idx="4">
                  <c:v>0.2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07-4C7F-8A9C-79E13AD7DB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685696"/>
        <c:axId val="102687488"/>
      </c:barChart>
      <c:catAx>
        <c:axId val="102685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102687488"/>
        <c:crosses val="autoZero"/>
        <c:auto val="1"/>
        <c:lblAlgn val="ctr"/>
        <c:lblOffset val="100"/>
        <c:noMultiLvlLbl val="0"/>
      </c:catAx>
      <c:valAx>
        <c:axId val="1026874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685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11592300962381"/>
          <c:y val="0.3852496619740714"/>
          <c:w val="0.24021741032370952"/>
          <c:h val="0.27298751292452084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List16!$A$2</c:f>
              <c:strCache>
                <c:ptCount val="1"/>
                <c:pt idx="0">
                  <c:v>Se zdravotním znevýhodněním</c:v>
                </c:pt>
              </c:strCache>
            </c:strRef>
          </c:tx>
          <c:marker>
            <c:symbol val="none"/>
          </c:marker>
          <c:cat>
            <c:strRef>
              <c:f>List16!$B$1:$G$1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List16!$B$2:$G$2</c:f>
              <c:numCache>
                <c:formatCode>General</c:formatCode>
                <c:ptCount val="6"/>
                <c:pt idx="0">
                  <c:v>8</c:v>
                </c:pt>
                <c:pt idx="1">
                  <c:v>10</c:v>
                </c:pt>
                <c:pt idx="2">
                  <c:v>95</c:v>
                </c:pt>
                <c:pt idx="3">
                  <c:v>56</c:v>
                </c:pt>
                <c:pt idx="4">
                  <c:v>33</c:v>
                </c:pt>
                <c:pt idx="5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6EF-4C1E-A018-F79C185E2B86}"/>
            </c:ext>
          </c:extLst>
        </c:ser>
        <c:ser>
          <c:idx val="1"/>
          <c:order val="1"/>
          <c:tx>
            <c:strRef>
              <c:f>List16!$A$3</c:f>
              <c:strCache>
                <c:ptCount val="1"/>
                <c:pt idx="0">
                  <c:v>1. stupeň</c:v>
                </c:pt>
              </c:strCache>
            </c:strRef>
          </c:tx>
          <c:marker>
            <c:symbol val="none"/>
          </c:marker>
          <c:cat>
            <c:strRef>
              <c:f>List16!$B$1:$G$1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List16!$B$3:$G$3</c:f>
              <c:numCache>
                <c:formatCode>General</c:formatCode>
                <c:ptCount val="6"/>
                <c:pt idx="0">
                  <c:v>56</c:v>
                </c:pt>
                <c:pt idx="1">
                  <c:v>166</c:v>
                </c:pt>
                <c:pt idx="2">
                  <c:v>623</c:v>
                </c:pt>
                <c:pt idx="3">
                  <c:v>138</c:v>
                </c:pt>
                <c:pt idx="4">
                  <c:v>64</c:v>
                </c:pt>
                <c:pt idx="5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6EF-4C1E-A018-F79C185E2B86}"/>
            </c:ext>
          </c:extLst>
        </c:ser>
        <c:ser>
          <c:idx val="2"/>
          <c:order val="2"/>
          <c:tx>
            <c:strRef>
              <c:f>List16!$A$4</c:f>
              <c:strCache>
                <c:ptCount val="1"/>
                <c:pt idx="0">
                  <c:v>2. stupeň</c:v>
                </c:pt>
              </c:strCache>
            </c:strRef>
          </c:tx>
          <c:marker>
            <c:symbol val="none"/>
          </c:marker>
          <c:cat>
            <c:strRef>
              <c:f>List16!$B$1:$G$1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List16!$B$4:$G$4</c:f>
              <c:numCache>
                <c:formatCode>General</c:formatCode>
                <c:ptCount val="6"/>
                <c:pt idx="0">
                  <c:v>21</c:v>
                </c:pt>
                <c:pt idx="1">
                  <c:v>60</c:v>
                </c:pt>
                <c:pt idx="2">
                  <c:v>139</c:v>
                </c:pt>
                <c:pt idx="3">
                  <c:v>27</c:v>
                </c:pt>
                <c:pt idx="4">
                  <c:v>52</c:v>
                </c:pt>
                <c:pt idx="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6EF-4C1E-A018-F79C185E2B86}"/>
            </c:ext>
          </c:extLst>
        </c:ser>
        <c:ser>
          <c:idx val="3"/>
          <c:order val="3"/>
          <c:tx>
            <c:strRef>
              <c:f>List16!$A$5</c:f>
              <c:strCache>
                <c:ptCount val="1"/>
                <c:pt idx="0">
                  <c:v>3. stupeň</c:v>
                </c:pt>
              </c:strCache>
            </c:strRef>
          </c:tx>
          <c:marker>
            <c:symbol val="none"/>
          </c:marker>
          <c:cat>
            <c:strRef>
              <c:f>List16!$B$1:$G$1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List16!$B$5:$G$5</c:f>
              <c:numCache>
                <c:formatCode>General</c:formatCode>
                <c:ptCount val="6"/>
                <c:pt idx="0">
                  <c:v>12</c:v>
                </c:pt>
                <c:pt idx="1">
                  <c:v>15</c:v>
                </c:pt>
                <c:pt idx="2">
                  <c:v>66</c:v>
                </c:pt>
                <c:pt idx="3">
                  <c:v>27</c:v>
                </c:pt>
                <c:pt idx="4">
                  <c:v>26</c:v>
                </c:pt>
                <c:pt idx="5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46EF-4C1E-A018-F79C185E2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134528"/>
        <c:axId val="102136064"/>
      </c:lineChart>
      <c:catAx>
        <c:axId val="102134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2136064"/>
        <c:crosses val="autoZero"/>
        <c:auto val="1"/>
        <c:lblAlgn val="ctr"/>
        <c:lblOffset val="100"/>
        <c:noMultiLvlLbl val="0"/>
      </c:catAx>
      <c:valAx>
        <c:axId val="102136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cs-CZ"/>
          </a:p>
        </c:txPr>
        <c:crossAx val="1021345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cs-CZ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48875545233106E-2"/>
          <c:y val="8.4971836385620336E-2"/>
          <c:w val="0.54314790687135328"/>
          <c:h val="0.77433393902685244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List16!$M$39:$R$39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List16!$M$40:$R$40</c:f>
              <c:numCache>
                <c:formatCode>General</c:formatCode>
                <c:ptCount val="6"/>
                <c:pt idx="0">
                  <c:v>15</c:v>
                </c:pt>
                <c:pt idx="1">
                  <c:v>42</c:v>
                </c:pt>
                <c:pt idx="2">
                  <c:v>72</c:v>
                </c:pt>
                <c:pt idx="3">
                  <c:v>49</c:v>
                </c:pt>
                <c:pt idx="4">
                  <c:v>86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F3-4C4B-B202-5C74F79ABB6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87014482901868"/>
          <c:y val="0.27952405949256343"/>
          <c:w val="0.21345691163604552"/>
          <c:h val="0.50230314960629918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87778245276592"/>
          <c:y val="7.9117443652876721E-2"/>
          <c:w val="0.69173548917072392"/>
          <c:h val="0.8015864683581218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List16!$M$15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List16!$N$14:$S$14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List16!$N$15:$S$15</c:f>
              <c:numCache>
                <c:formatCode>0</c:formatCode>
                <c:ptCount val="6"/>
                <c:pt idx="0">
                  <c:v>9</c:v>
                </c:pt>
                <c:pt idx="1">
                  <c:v>23</c:v>
                </c:pt>
                <c:pt idx="2">
                  <c:v>52</c:v>
                </c:pt>
                <c:pt idx="3">
                  <c:v>35</c:v>
                </c:pt>
                <c:pt idx="4">
                  <c:v>51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1C-4CFF-A5A9-0E28AAE41188}"/>
            </c:ext>
          </c:extLst>
        </c:ser>
        <c:ser>
          <c:idx val="1"/>
          <c:order val="1"/>
          <c:tx>
            <c:strRef>
              <c:f>List16!$M$16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List16!$N$14:$S$14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List16!$N$16:$S$16</c:f>
              <c:numCache>
                <c:formatCode>0</c:formatCode>
                <c:ptCount val="6"/>
                <c:pt idx="0">
                  <c:v>6</c:v>
                </c:pt>
                <c:pt idx="1">
                  <c:v>19</c:v>
                </c:pt>
                <c:pt idx="2">
                  <c:v>20</c:v>
                </c:pt>
                <c:pt idx="3">
                  <c:v>14</c:v>
                </c:pt>
                <c:pt idx="4">
                  <c:v>35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1C-4CFF-A5A9-0E28AAE411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2256000"/>
        <c:axId val="102257792"/>
      </c:barChart>
      <c:catAx>
        <c:axId val="102256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257792"/>
        <c:crosses val="autoZero"/>
        <c:auto val="1"/>
        <c:lblAlgn val="ctr"/>
        <c:lblOffset val="100"/>
        <c:noMultiLvlLbl val="0"/>
      </c:catAx>
      <c:valAx>
        <c:axId val="1022577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256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25044695500019"/>
          <c:y val="0.37825918101700701"/>
          <c:w val="9.6050016219882628E-2"/>
          <c:h val="0.22180113664653706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List17!$A$2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List17!$B$1:$G$1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List17!$B$2:$G$2</c:f>
              <c:numCache>
                <c:formatCode>0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30</c:v>
                </c:pt>
                <c:pt idx="3">
                  <c:v>37</c:v>
                </c:pt>
                <c:pt idx="4">
                  <c:v>78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AE-4CE4-BF2A-D3E708BA3D1D}"/>
            </c:ext>
          </c:extLst>
        </c:ser>
        <c:ser>
          <c:idx val="1"/>
          <c:order val="1"/>
          <c:tx>
            <c:strRef>
              <c:f>List17!$A$3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List17!$B$1:$G$1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List17!$B$3:$G$3</c:f>
              <c:numCache>
                <c:formatCode>0</c:formatCode>
                <c:ptCount val="6"/>
                <c:pt idx="0">
                  <c:v>15</c:v>
                </c:pt>
                <c:pt idx="1">
                  <c:v>32</c:v>
                </c:pt>
                <c:pt idx="2">
                  <c:v>42</c:v>
                </c:pt>
                <c:pt idx="3">
                  <c:v>12</c:v>
                </c:pt>
                <c:pt idx="4">
                  <c:v>8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AE-4CE4-BF2A-D3E708BA3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283520"/>
        <c:axId val="102297600"/>
      </c:barChart>
      <c:catAx>
        <c:axId val="102283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297600"/>
        <c:crosses val="autoZero"/>
        <c:auto val="1"/>
        <c:lblAlgn val="ctr"/>
        <c:lblOffset val="100"/>
        <c:noMultiLvlLbl val="0"/>
      </c:catAx>
      <c:valAx>
        <c:axId val="102297600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28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750054391349232"/>
          <c:y val="0.38745195724529075"/>
          <c:w val="0.23060871391076115"/>
          <c:h val="0.2493441134871546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List17!$J$2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List17!$K$1:$P$1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List17!$K$2:$P$2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0.03</c:v>
                </c:pt>
                <c:pt idx="3">
                  <c:v>0</c:v>
                </c:pt>
                <c:pt idx="4">
                  <c:v>0.128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B6-4211-8609-A0344B643558}"/>
            </c:ext>
          </c:extLst>
        </c:ser>
        <c:ser>
          <c:idx val="1"/>
          <c:order val="1"/>
          <c:tx>
            <c:strRef>
              <c:f>List17!$J$3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List17!$K$1:$P$1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List17!$K$3:$P$3</c:f>
              <c:numCache>
                <c:formatCode>0%</c:formatCode>
                <c:ptCount val="6"/>
                <c:pt idx="0">
                  <c:v>0.2</c:v>
                </c:pt>
                <c:pt idx="1">
                  <c:v>0</c:v>
                </c:pt>
                <c:pt idx="2">
                  <c:v>0.11899999999999999</c:v>
                </c:pt>
                <c:pt idx="3">
                  <c:v>0.25</c:v>
                </c:pt>
                <c:pt idx="4">
                  <c:v>0.125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B6-4211-8609-A0344B643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184064"/>
        <c:axId val="102185600"/>
      </c:barChart>
      <c:catAx>
        <c:axId val="1021840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185600"/>
        <c:crosses val="autoZero"/>
        <c:auto val="1"/>
        <c:lblAlgn val="ctr"/>
        <c:lblOffset val="100"/>
        <c:noMultiLvlLbl val="0"/>
      </c:catAx>
      <c:valAx>
        <c:axId val="1021856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18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897676535820481"/>
          <c:y val="0.40122271301453166"/>
          <c:w val="0.21715857473535366"/>
          <c:h val="0.23134498431598488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List5!$A$2:$A$7</c:f>
              <c:strCache>
                <c:ptCount val="6"/>
                <c:pt idx="0">
                  <c:v>pracující (nemá žádný důchod)</c:v>
                </c:pt>
                <c:pt idx="1">
                  <c:v>pracující starobní důchodce</c:v>
                </c:pt>
                <c:pt idx="2">
                  <c:v>pracující invalidní důchodce</c:v>
                </c:pt>
                <c:pt idx="3">
                  <c:v>nepracující starobní důchodce</c:v>
                </c:pt>
                <c:pt idx="4">
                  <c:v>nepracující invalidní důchodce</c:v>
                </c:pt>
                <c:pt idx="5">
                  <c:v>jiné</c:v>
                </c:pt>
              </c:strCache>
            </c:strRef>
          </c:cat>
          <c:val>
            <c:numRef>
              <c:f>List5!$B$2:$B$7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0.01</c:v>
                </c:pt>
                <c:pt idx="2">
                  <c:v>0.11</c:v>
                </c:pt>
                <c:pt idx="3">
                  <c:v>0.57999999999999996</c:v>
                </c:pt>
                <c:pt idx="4">
                  <c:v>0.21</c:v>
                </c:pt>
                <c:pt idx="5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9B-4099-B779-5882668BD3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8743808"/>
        <c:axId val="98745344"/>
      </c:barChart>
      <c:catAx>
        <c:axId val="98743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050" b="1"/>
            </a:pPr>
            <a:endParaRPr lang="cs-CZ"/>
          </a:p>
        </c:txPr>
        <c:crossAx val="98745344"/>
        <c:crosses val="autoZero"/>
        <c:auto val="1"/>
        <c:lblAlgn val="ctr"/>
        <c:lblOffset val="100"/>
        <c:noMultiLvlLbl val="0"/>
      </c:catAx>
      <c:valAx>
        <c:axId val="9874534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050" b="1"/>
            </a:pPr>
            <a:endParaRPr lang="cs-CZ"/>
          </a:p>
        </c:txPr>
        <c:crossAx val="98743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List17!$A$43</c:f>
              <c:strCache>
                <c:ptCount val="1"/>
                <c:pt idx="0">
                  <c:v>Se zdravotním znevýhodněním</c:v>
                </c:pt>
              </c:strCache>
            </c:strRef>
          </c:tx>
          <c:marker>
            <c:symbol val="none"/>
          </c:marker>
          <c:cat>
            <c:strRef>
              <c:f>List17!$B$42:$G$42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List17!$B$43:$G$43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41</c:v>
                </c:pt>
                <c:pt idx="3">
                  <c:v>15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DE2-4758-B465-986472EB724B}"/>
            </c:ext>
          </c:extLst>
        </c:ser>
        <c:ser>
          <c:idx val="1"/>
          <c:order val="1"/>
          <c:tx>
            <c:strRef>
              <c:f>List17!$A$44</c:f>
              <c:strCache>
                <c:ptCount val="1"/>
                <c:pt idx="0">
                  <c:v>1. stupeň</c:v>
                </c:pt>
              </c:strCache>
            </c:strRef>
          </c:tx>
          <c:marker>
            <c:symbol val="none"/>
          </c:marker>
          <c:cat>
            <c:strRef>
              <c:f>List17!$B$42:$G$42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List17!$B$44:$G$44</c:f>
              <c:numCache>
                <c:formatCode>General</c:formatCode>
                <c:ptCount val="6"/>
                <c:pt idx="0">
                  <c:v>7</c:v>
                </c:pt>
                <c:pt idx="1">
                  <c:v>28</c:v>
                </c:pt>
                <c:pt idx="2">
                  <c:v>12</c:v>
                </c:pt>
                <c:pt idx="3">
                  <c:v>17</c:v>
                </c:pt>
                <c:pt idx="4">
                  <c:v>43</c:v>
                </c:pt>
                <c:pt idx="5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DE2-4758-B465-986472EB724B}"/>
            </c:ext>
          </c:extLst>
        </c:ser>
        <c:ser>
          <c:idx val="2"/>
          <c:order val="2"/>
          <c:tx>
            <c:strRef>
              <c:f>List17!$A$45</c:f>
              <c:strCache>
                <c:ptCount val="1"/>
                <c:pt idx="0">
                  <c:v>2. stupeň</c:v>
                </c:pt>
              </c:strCache>
            </c:strRef>
          </c:tx>
          <c:marker>
            <c:symbol val="none"/>
          </c:marker>
          <c:cat>
            <c:strRef>
              <c:f>List17!$B$42:$G$42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List17!$B$45:$G$45</c:f>
              <c:numCache>
                <c:formatCode>General</c:formatCode>
                <c:ptCount val="6"/>
                <c:pt idx="0">
                  <c:v>4</c:v>
                </c:pt>
                <c:pt idx="1">
                  <c:v>12</c:v>
                </c:pt>
                <c:pt idx="2">
                  <c:v>15</c:v>
                </c:pt>
                <c:pt idx="3">
                  <c:v>10</c:v>
                </c:pt>
                <c:pt idx="4">
                  <c:v>22</c:v>
                </c:pt>
                <c:pt idx="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DE2-4758-B465-986472EB724B}"/>
            </c:ext>
          </c:extLst>
        </c:ser>
        <c:ser>
          <c:idx val="3"/>
          <c:order val="3"/>
          <c:tx>
            <c:strRef>
              <c:f>List17!$A$46</c:f>
              <c:strCache>
                <c:ptCount val="1"/>
                <c:pt idx="0">
                  <c:v>3. stupeň</c:v>
                </c:pt>
              </c:strCache>
            </c:strRef>
          </c:tx>
          <c:marker>
            <c:symbol val="none"/>
          </c:marker>
          <c:cat>
            <c:strRef>
              <c:f>List17!$B$42:$G$42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List17!$B$46:$G$46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  <c:pt idx="4">
                  <c:v>15</c:v>
                </c:pt>
                <c:pt idx="5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DE2-4758-B465-986472EB72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230272"/>
        <c:axId val="102961152"/>
      </c:lineChart>
      <c:catAx>
        <c:axId val="102230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2961152"/>
        <c:crosses val="autoZero"/>
        <c:auto val="1"/>
        <c:lblAlgn val="ctr"/>
        <c:lblOffset val="100"/>
        <c:noMultiLvlLbl val="0"/>
      </c:catAx>
      <c:valAx>
        <c:axId val="102961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cs-CZ"/>
          </a:p>
        </c:txPr>
        <c:crossAx val="1022302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cs-CZ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212232146597163"/>
          <c:y val="0.10478291117224803"/>
          <c:w val="0.47647745954832571"/>
          <c:h val="0.76619106346646426"/>
        </c:manualLayout>
      </c:layout>
      <c:pieChart>
        <c:varyColors val="1"/>
        <c:ser>
          <c:idx val="0"/>
          <c:order val="0"/>
          <c:dLbls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34-4914-8E9F-48341E0A4E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List18!$A$1:$F$1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List18!$A$2:$F$2</c:f>
              <c:numCache>
                <c:formatCode>General</c:formatCode>
                <c:ptCount val="6"/>
                <c:pt idx="0">
                  <c:v>66</c:v>
                </c:pt>
                <c:pt idx="1">
                  <c:v>192</c:v>
                </c:pt>
                <c:pt idx="2">
                  <c:v>834</c:v>
                </c:pt>
                <c:pt idx="3">
                  <c:v>183</c:v>
                </c:pt>
                <c:pt idx="4">
                  <c:v>85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34-4914-8E9F-48341E0A4E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76108002807935"/>
          <c:y val="0.26833025293060231"/>
          <c:w val="0.19679024496937886"/>
          <c:h val="0.50230314960629918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399757367763125E-2"/>
          <c:y val="9.8660578386605774E-2"/>
          <c:w val="0.6955681382523814"/>
          <c:h val="0.7523401913470493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List18!$K$2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List18!$L$1:$Q$1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List18!$L$2:$Q$2</c:f>
              <c:numCache>
                <c:formatCode>0</c:formatCode>
                <c:ptCount val="6"/>
                <c:pt idx="0">
                  <c:v>19</c:v>
                </c:pt>
                <c:pt idx="1">
                  <c:v>153</c:v>
                </c:pt>
                <c:pt idx="2">
                  <c:v>723</c:v>
                </c:pt>
                <c:pt idx="3">
                  <c:v>125</c:v>
                </c:pt>
                <c:pt idx="4">
                  <c:v>55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B4-477A-BC98-27EDC3FC8C7E}"/>
            </c:ext>
          </c:extLst>
        </c:ser>
        <c:ser>
          <c:idx val="1"/>
          <c:order val="1"/>
          <c:tx>
            <c:strRef>
              <c:f>List18!$K$3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List18!$L$1:$Q$1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List18!$L$3:$Q$3</c:f>
              <c:numCache>
                <c:formatCode>0</c:formatCode>
                <c:ptCount val="6"/>
                <c:pt idx="0">
                  <c:v>47</c:v>
                </c:pt>
                <c:pt idx="1">
                  <c:v>39</c:v>
                </c:pt>
                <c:pt idx="2">
                  <c:v>111</c:v>
                </c:pt>
                <c:pt idx="3">
                  <c:v>58</c:v>
                </c:pt>
                <c:pt idx="4">
                  <c:v>30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B4-477A-BC98-27EDC3FC8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3020032"/>
        <c:axId val="103021568"/>
      </c:barChart>
      <c:catAx>
        <c:axId val="103020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021568"/>
        <c:crosses val="autoZero"/>
        <c:auto val="1"/>
        <c:lblAlgn val="ctr"/>
        <c:lblOffset val="100"/>
        <c:noMultiLvlLbl val="0"/>
      </c:catAx>
      <c:valAx>
        <c:axId val="1030215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02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1312289830203"/>
          <c:y val="0.43601768956962572"/>
          <c:w val="0.10361759325538854"/>
          <c:h val="0.1890009568201968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List18!$A$23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List18!$B$22:$G$22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List18!$B$23:$G$23</c:f>
              <c:numCache>
                <c:formatCode>0</c:formatCode>
                <c:ptCount val="6"/>
                <c:pt idx="0">
                  <c:v>0</c:v>
                </c:pt>
                <c:pt idx="1">
                  <c:v>99</c:v>
                </c:pt>
                <c:pt idx="2">
                  <c:v>733</c:v>
                </c:pt>
                <c:pt idx="3">
                  <c:v>167</c:v>
                </c:pt>
                <c:pt idx="4">
                  <c:v>78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71-488A-9B9B-9FD0543D8637}"/>
            </c:ext>
          </c:extLst>
        </c:ser>
        <c:ser>
          <c:idx val="1"/>
          <c:order val="1"/>
          <c:tx>
            <c:strRef>
              <c:f>List18!$A$24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List18!$B$22:$G$22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List18!$B$24:$G$24</c:f>
              <c:numCache>
                <c:formatCode>0</c:formatCode>
                <c:ptCount val="6"/>
                <c:pt idx="0">
                  <c:v>66</c:v>
                </c:pt>
                <c:pt idx="1">
                  <c:v>93</c:v>
                </c:pt>
                <c:pt idx="2">
                  <c:v>101</c:v>
                </c:pt>
                <c:pt idx="3">
                  <c:v>16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71-488A-9B9B-9FD0543D86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039360"/>
        <c:axId val="103040896"/>
      </c:barChart>
      <c:catAx>
        <c:axId val="103039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040896"/>
        <c:crosses val="autoZero"/>
        <c:auto val="1"/>
        <c:lblAlgn val="ctr"/>
        <c:lblOffset val="100"/>
        <c:noMultiLvlLbl val="0"/>
      </c:catAx>
      <c:valAx>
        <c:axId val="103040896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039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878383672190231"/>
          <c:y val="0.35309530965117908"/>
          <c:w val="0.217351235946253"/>
          <c:h val="0.25954198473282442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List18!$J$23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List18!$K$22:$P$22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List18!$K$23:$P$23</c:f>
              <c:numCache>
                <c:formatCode>0%</c:formatCode>
                <c:ptCount val="6"/>
                <c:pt idx="0">
                  <c:v>0</c:v>
                </c:pt>
                <c:pt idx="1">
                  <c:v>0.22</c:v>
                </c:pt>
                <c:pt idx="2">
                  <c:v>0.14000000000000001</c:v>
                </c:pt>
                <c:pt idx="3">
                  <c:v>0.1</c:v>
                </c:pt>
                <c:pt idx="4">
                  <c:v>0.49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2C-4203-BAEE-A2DB24D0DB96}"/>
            </c:ext>
          </c:extLst>
        </c:ser>
        <c:ser>
          <c:idx val="1"/>
          <c:order val="1"/>
          <c:tx>
            <c:strRef>
              <c:f>List18!$J$24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List18!$K$22:$P$22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List18!$K$24:$P$24</c:f>
              <c:numCache>
                <c:formatCode>0%</c:formatCode>
                <c:ptCount val="6"/>
                <c:pt idx="0">
                  <c:v>0.28999999999999998</c:v>
                </c:pt>
                <c:pt idx="1">
                  <c:v>0.25</c:v>
                </c:pt>
                <c:pt idx="2">
                  <c:v>0.14000000000000001</c:v>
                </c:pt>
                <c:pt idx="3">
                  <c:v>0.56000000000000005</c:v>
                </c:pt>
                <c:pt idx="4">
                  <c:v>0.28999999999999998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2C-4203-BAEE-A2DB24D0D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062528"/>
        <c:axId val="103072512"/>
      </c:barChart>
      <c:catAx>
        <c:axId val="103062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072512"/>
        <c:crosses val="autoZero"/>
        <c:auto val="1"/>
        <c:lblAlgn val="ctr"/>
        <c:lblOffset val="100"/>
        <c:noMultiLvlLbl val="0"/>
      </c:catAx>
      <c:valAx>
        <c:axId val="1030725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062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53581891192811"/>
          <c:y val="0.40222370162913307"/>
          <c:w val="0.24021741032370952"/>
          <c:h val="0.20547900262467192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List18!$A$44</c:f>
              <c:strCache>
                <c:ptCount val="1"/>
                <c:pt idx="0">
                  <c:v>Se zdravotním znevýhodněním</c:v>
                </c:pt>
              </c:strCache>
            </c:strRef>
          </c:tx>
          <c:marker>
            <c:symbol val="none"/>
          </c:marker>
          <c:cat>
            <c:strRef>
              <c:f>List18!$B$43:$G$43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List18!$B$44:$G$44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51</c:v>
                </c:pt>
                <c:pt idx="3">
                  <c:v>38</c:v>
                </c:pt>
                <c:pt idx="4">
                  <c:v>26</c:v>
                </c:pt>
                <c:pt idx="5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1AC-4DEC-A9FF-0E37B31BA8B1}"/>
            </c:ext>
          </c:extLst>
        </c:ser>
        <c:ser>
          <c:idx val="1"/>
          <c:order val="1"/>
          <c:tx>
            <c:strRef>
              <c:f>List18!$A$45</c:f>
              <c:strCache>
                <c:ptCount val="1"/>
                <c:pt idx="0">
                  <c:v>1. stupeň</c:v>
                </c:pt>
              </c:strCache>
            </c:strRef>
          </c:tx>
          <c:marker>
            <c:symbol val="none"/>
          </c:marker>
          <c:cat>
            <c:strRef>
              <c:f>List18!$B$43:$G$43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List18!$B$45:$G$45</c:f>
              <c:numCache>
                <c:formatCode>General</c:formatCode>
                <c:ptCount val="6"/>
                <c:pt idx="0">
                  <c:v>39</c:v>
                </c:pt>
                <c:pt idx="1">
                  <c:v>131</c:v>
                </c:pt>
                <c:pt idx="2">
                  <c:v>604</c:v>
                </c:pt>
                <c:pt idx="3">
                  <c:v>113</c:v>
                </c:pt>
                <c:pt idx="4">
                  <c:v>19</c:v>
                </c:pt>
                <c:pt idx="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1AC-4DEC-A9FF-0E37B31BA8B1}"/>
            </c:ext>
          </c:extLst>
        </c:ser>
        <c:ser>
          <c:idx val="2"/>
          <c:order val="2"/>
          <c:tx>
            <c:strRef>
              <c:f>List18!$A$46</c:f>
              <c:strCache>
                <c:ptCount val="1"/>
                <c:pt idx="0">
                  <c:v>2. stupeň</c:v>
                </c:pt>
              </c:strCache>
            </c:strRef>
          </c:tx>
          <c:marker>
            <c:symbol val="none"/>
          </c:marker>
          <c:cat>
            <c:strRef>
              <c:f>List18!$B$43:$G$43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List18!$B$46:$G$46</c:f>
              <c:numCache>
                <c:formatCode>General</c:formatCode>
                <c:ptCount val="6"/>
                <c:pt idx="0">
                  <c:v>15</c:v>
                </c:pt>
                <c:pt idx="1">
                  <c:v>44</c:v>
                </c:pt>
                <c:pt idx="2">
                  <c:v>122</c:v>
                </c:pt>
                <c:pt idx="3">
                  <c:v>15</c:v>
                </c:pt>
                <c:pt idx="4">
                  <c:v>30</c:v>
                </c:pt>
                <c:pt idx="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1AC-4DEC-A9FF-0E37B31BA8B1}"/>
            </c:ext>
          </c:extLst>
        </c:ser>
        <c:ser>
          <c:idx val="3"/>
          <c:order val="3"/>
          <c:tx>
            <c:strRef>
              <c:f>List18!$A$47</c:f>
              <c:strCache>
                <c:ptCount val="1"/>
                <c:pt idx="0">
                  <c:v>3. stupeň</c:v>
                </c:pt>
              </c:strCache>
            </c:strRef>
          </c:tx>
          <c:marker>
            <c:symbol val="none"/>
          </c:marker>
          <c:cat>
            <c:strRef>
              <c:f>List18!$B$43:$G$43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List18!$B$47:$G$47</c:f>
              <c:numCache>
                <c:formatCode>General</c:formatCode>
                <c:ptCount val="6"/>
                <c:pt idx="0">
                  <c:v>9</c:v>
                </c:pt>
                <c:pt idx="1">
                  <c:v>10</c:v>
                </c:pt>
                <c:pt idx="2">
                  <c:v>57</c:v>
                </c:pt>
                <c:pt idx="3">
                  <c:v>17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1AC-4DEC-A9FF-0E37B31BA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596992"/>
        <c:axId val="102598528"/>
      </c:lineChart>
      <c:catAx>
        <c:axId val="102596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2598528"/>
        <c:crosses val="autoZero"/>
        <c:auto val="1"/>
        <c:lblAlgn val="ctr"/>
        <c:lblOffset val="100"/>
        <c:noMultiLvlLbl val="0"/>
      </c:catAx>
      <c:valAx>
        <c:axId val="1025985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5969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cs-CZ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72942161364815"/>
          <c:y val="7.7582263631837012E-2"/>
          <c:w val="0.4432296517590667"/>
          <c:h val="0.86206824146981631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List19!$A$1:$F$1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List19!$A$2:$F$2</c:f>
              <c:numCache>
                <c:formatCode>General</c:formatCode>
                <c:ptCount val="6"/>
                <c:pt idx="0">
                  <c:v>16</c:v>
                </c:pt>
                <c:pt idx="1">
                  <c:v>17</c:v>
                </c:pt>
                <c:pt idx="2">
                  <c:v>17</c:v>
                </c:pt>
                <c:pt idx="3">
                  <c:v>16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B5-4152-99BB-1F56865E27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795801649841037"/>
          <c:y val="0.28056761197533236"/>
          <c:w val="0.22995297462817149"/>
          <c:h val="0.5192147856517935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 b="1"/>
      </a:pPr>
      <a:endParaRPr lang="cs-CZ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22136699204735"/>
          <c:y val="0.1137409294426432"/>
          <c:w val="0.68769982403884911"/>
          <c:h val="0.7294619422572178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List19!$J$2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List19!$K$1:$P$1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List19!$K$2:$P$2</c:f>
              <c:numCache>
                <c:formatCode>0</c:formatCode>
                <c:ptCount val="6"/>
                <c:pt idx="0">
                  <c:v>2</c:v>
                </c:pt>
                <c:pt idx="1">
                  <c:v>10</c:v>
                </c:pt>
                <c:pt idx="2">
                  <c:v>11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D4-4130-A023-741BB979E06B}"/>
            </c:ext>
          </c:extLst>
        </c:ser>
        <c:ser>
          <c:idx val="1"/>
          <c:order val="1"/>
          <c:tx>
            <c:strRef>
              <c:f>List19!$J$3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List19!$K$1:$P$1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List19!$K$3:$P$3</c:f>
              <c:numCache>
                <c:formatCode>0</c:formatCode>
                <c:ptCount val="6"/>
                <c:pt idx="0">
                  <c:v>14</c:v>
                </c:pt>
                <c:pt idx="1">
                  <c:v>7</c:v>
                </c:pt>
                <c:pt idx="2">
                  <c:v>6</c:v>
                </c:pt>
                <c:pt idx="3">
                  <c:v>9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D4-4130-A023-741BB979E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2849536"/>
        <c:axId val="102855424"/>
      </c:barChart>
      <c:catAx>
        <c:axId val="102849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855424"/>
        <c:crosses val="autoZero"/>
        <c:auto val="1"/>
        <c:lblAlgn val="ctr"/>
        <c:lblOffset val="100"/>
        <c:noMultiLvlLbl val="0"/>
      </c:catAx>
      <c:valAx>
        <c:axId val="1028554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84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78416513725263"/>
          <c:y val="0.39329615048118993"/>
          <c:w val="9.241569128183301E-2"/>
          <c:h val="0.18490408413912632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List19!$A$22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List19!$B$21:$G$21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List19!$B$22:$G$22</c:f>
              <c:numCache>
                <c:formatCode>0</c:formatCode>
                <c:ptCount val="6"/>
                <c:pt idx="0">
                  <c:v>0</c:v>
                </c:pt>
                <c:pt idx="1">
                  <c:v>3</c:v>
                </c:pt>
                <c:pt idx="2">
                  <c:v>9</c:v>
                </c:pt>
                <c:pt idx="3">
                  <c:v>12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C6-4D15-AAF9-6A62A48E6B39}"/>
            </c:ext>
          </c:extLst>
        </c:ser>
        <c:ser>
          <c:idx val="1"/>
          <c:order val="1"/>
          <c:tx>
            <c:strRef>
              <c:f>List19!$A$23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List19!$B$21:$G$21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List19!$B$23:$G$23</c:f>
              <c:numCache>
                <c:formatCode>0</c:formatCode>
                <c:ptCount val="6"/>
                <c:pt idx="0">
                  <c:v>16</c:v>
                </c:pt>
                <c:pt idx="1">
                  <c:v>14</c:v>
                </c:pt>
                <c:pt idx="2">
                  <c:v>8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C6-4D15-AAF9-6A62A48E6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881152"/>
        <c:axId val="102882688"/>
      </c:barChart>
      <c:catAx>
        <c:axId val="10288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882688"/>
        <c:crosses val="autoZero"/>
        <c:auto val="1"/>
        <c:lblAlgn val="ctr"/>
        <c:lblOffset val="100"/>
        <c:noMultiLvlLbl val="0"/>
      </c:catAx>
      <c:valAx>
        <c:axId val="102882688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88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548459040022586"/>
          <c:y val="0.39052364356094832"/>
          <c:w val="0.24021741032370952"/>
          <c:h val="0.22399752114319044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List19!$R$2</c:f>
              <c:strCache>
                <c:ptCount val="1"/>
                <c:pt idx="0">
                  <c:v>služební poměr</c:v>
                </c:pt>
              </c:strCache>
            </c:strRef>
          </c:tx>
          <c:invertIfNegative val="0"/>
          <c:cat>
            <c:strRef>
              <c:f>List19!$S$1:$X$1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List19!$S$2:$X$2</c:f>
              <c:numCache>
                <c:formatCode>0%</c:formatCode>
                <c:ptCount val="6"/>
                <c:pt idx="0">
                  <c:v>0</c:v>
                </c:pt>
                <c:pt idx="1">
                  <c:v>0.66700000000000004</c:v>
                </c:pt>
                <c:pt idx="2">
                  <c:v>0.08</c:v>
                </c:pt>
                <c:pt idx="3">
                  <c:v>0.1</c:v>
                </c:pt>
                <c:pt idx="4">
                  <c:v>0.25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70-4697-8CC4-602F3F8C4091}"/>
            </c:ext>
          </c:extLst>
        </c:ser>
        <c:ser>
          <c:idx val="1"/>
          <c:order val="1"/>
          <c:tx>
            <c:strRef>
              <c:f>List19!$R$3</c:f>
              <c:strCache>
                <c:ptCount val="1"/>
                <c:pt idx="0">
                  <c:v>pracovní poměr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List19!$S$1:$X$1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List19!$S$3:$X$3</c:f>
              <c:numCache>
                <c:formatCode>0%</c:formatCode>
                <c:ptCount val="6"/>
                <c:pt idx="0">
                  <c:v>0.13</c:v>
                </c:pt>
                <c:pt idx="1">
                  <c:v>0</c:v>
                </c:pt>
                <c:pt idx="2">
                  <c:v>0.13</c:v>
                </c:pt>
                <c:pt idx="3">
                  <c:v>0.5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70-4697-8CC4-602F3F8C4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925056"/>
        <c:axId val="102926592"/>
      </c:barChart>
      <c:catAx>
        <c:axId val="102925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926592"/>
        <c:crosses val="autoZero"/>
        <c:auto val="1"/>
        <c:lblAlgn val="ctr"/>
        <c:lblOffset val="100"/>
        <c:noMultiLvlLbl val="0"/>
      </c:catAx>
      <c:valAx>
        <c:axId val="1029265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92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591175863093885"/>
          <c:y val="0.378224026344533"/>
          <c:w val="0.24021741032370952"/>
          <c:h val="0.25102753460165306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5298159707004"/>
          <c:y val="8.0041324621656348E-2"/>
          <c:w val="0.45512677517997391"/>
          <c:h val="0.8408547867686752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0282622484689413"/>
                  <c:y val="-0.1590591280256634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20-44B9-8742-7260D816CB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List1!$E$3:$E$7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DPP/DPČ</c:v>
                </c:pt>
              </c:strCache>
            </c:strRef>
          </c:cat>
          <c:val>
            <c:numRef>
              <c:f>List1!$F$3:$F$7</c:f>
              <c:numCache>
                <c:formatCode>General</c:formatCode>
                <c:ptCount val="3"/>
                <c:pt idx="0">
                  <c:v>57244</c:v>
                </c:pt>
                <c:pt idx="1">
                  <c:v>17355</c:v>
                </c:pt>
                <c:pt idx="2">
                  <c:v>3719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20-44B9-8742-7260D816CB2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992465295450234"/>
          <c:y val="0.33900648706537101"/>
          <c:w val="0.24021741032370952"/>
          <c:h val="0.30420035288231106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List19!$R$23</c:f>
              <c:strCache>
                <c:ptCount val="1"/>
                <c:pt idx="0">
                  <c:v>Se zdravotním znevýhodněním</c:v>
                </c:pt>
              </c:strCache>
            </c:strRef>
          </c:tx>
          <c:marker>
            <c:symbol val="none"/>
          </c:marker>
          <c:cat>
            <c:strRef>
              <c:f>List19!$S$22:$X$22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List19!$S$23:$X$23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94E-46A1-A757-A9F5EC7ED4F1}"/>
            </c:ext>
          </c:extLst>
        </c:ser>
        <c:ser>
          <c:idx val="1"/>
          <c:order val="1"/>
          <c:tx>
            <c:strRef>
              <c:f>List19!$R$24</c:f>
              <c:strCache>
                <c:ptCount val="1"/>
                <c:pt idx="0">
                  <c:v>1. stupeň</c:v>
                </c:pt>
              </c:strCache>
            </c:strRef>
          </c:tx>
          <c:marker>
            <c:symbol val="none"/>
          </c:marker>
          <c:cat>
            <c:strRef>
              <c:f>List19!$S$22:$X$22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List19!$S$24:$X$24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94E-46A1-A757-A9F5EC7ED4F1}"/>
            </c:ext>
          </c:extLst>
        </c:ser>
        <c:ser>
          <c:idx val="2"/>
          <c:order val="2"/>
          <c:tx>
            <c:strRef>
              <c:f>List19!$R$25</c:f>
              <c:strCache>
                <c:ptCount val="1"/>
                <c:pt idx="0">
                  <c:v>2. stupeň</c:v>
                </c:pt>
              </c:strCache>
            </c:strRef>
          </c:tx>
          <c:marker>
            <c:symbol val="none"/>
          </c:marker>
          <c:cat>
            <c:strRef>
              <c:f>List19!$S$22:$X$22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List19!$S$25:$X$25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94E-46A1-A757-A9F5EC7ED4F1}"/>
            </c:ext>
          </c:extLst>
        </c:ser>
        <c:ser>
          <c:idx val="3"/>
          <c:order val="3"/>
          <c:tx>
            <c:strRef>
              <c:f>List19!$R$26</c:f>
              <c:strCache>
                <c:ptCount val="1"/>
                <c:pt idx="0">
                  <c:v>3. stupeň</c:v>
                </c:pt>
              </c:strCache>
            </c:strRef>
          </c:tx>
          <c:marker>
            <c:symbol val="none"/>
          </c:marker>
          <c:cat>
            <c:strRef>
              <c:f>List19!$S$22:$X$22</c:f>
              <c:strCache>
                <c:ptCount val="6"/>
                <c:pt idx="0">
                  <c:v>≤ 5</c:v>
                </c:pt>
                <c:pt idx="1">
                  <c:v>6–8</c:v>
                </c:pt>
                <c:pt idx="2">
                  <c:v>9–10</c:v>
                </c:pt>
                <c:pt idx="3">
                  <c:v>11–12</c:v>
                </c:pt>
                <c:pt idx="4">
                  <c:v>13–14</c:v>
                </c:pt>
                <c:pt idx="5">
                  <c:v>15–16</c:v>
                </c:pt>
              </c:strCache>
            </c:strRef>
          </c:cat>
          <c:val>
            <c:numRef>
              <c:f>List19!$S$26:$X$26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94E-46A1-A757-A9F5EC7ED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950784"/>
        <c:axId val="102952320"/>
      </c:lineChart>
      <c:catAx>
        <c:axId val="102950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2952320"/>
        <c:crosses val="autoZero"/>
        <c:auto val="1"/>
        <c:lblAlgn val="ctr"/>
        <c:lblOffset val="100"/>
        <c:noMultiLvlLbl val="0"/>
      </c:catAx>
      <c:valAx>
        <c:axId val="102952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29507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cs-CZ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List2!$A$5:$A$7</c:f>
              <c:strCache>
                <c:ptCount val="3"/>
                <c:pt idx="0">
                  <c:v>ne</c:v>
                </c:pt>
                <c:pt idx="1">
                  <c:v>ano, plně</c:v>
                </c:pt>
                <c:pt idx="2">
                  <c:v>částečně (pouze prostory přístupné veřejnosti apod.)</c:v>
                </c:pt>
              </c:strCache>
            </c:strRef>
          </c:cat>
          <c:val>
            <c:numRef>
              <c:f>List2!$B$5:$B$7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20-4781-BB22-6ECD350FA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03183488"/>
        <c:axId val="103185024"/>
      </c:barChart>
      <c:catAx>
        <c:axId val="1031834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185024"/>
        <c:crosses val="autoZero"/>
        <c:auto val="1"/>
        <c:lblAlgn val="ctr"/>
        <c:lblOffset val="100"/>
        <c:noMultiLvlLbl val="0"/>
      </c:catAx>
      <c:valAx>
        <c:axId val="1031850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183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5.7279287727637744E-4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6F-45B9-9E22-E087ACD6CC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List3!$A$2:$A$5</c:f>
              <c:strCache>
                <c:ptCount val="4"/>
                <c:pt idx="0">
                  <c:v>jiné </c:v>
                </c:pt>
                <c:pt idx="1">
                  <c:v>ano, agendou se výlučně zabývá jeden či více zaměstnanců</c:v>
                </c:pt>
                <c:pt idx="2">
                  <c:v>ano, agendu má mimo jiné v náplni práce jeden či více zaměstnanců</c:v>
                </c:pt>
                <c:pt idx="3">
                  <c:v>ne, pouze ve vztahu k hlášení povinného podílu </c:v>
                </c:pt>
              </c:strCache>
            </c:strRef>
          </c:cat>
          <c:val>
            <c:numRef>
              <c:f>List3!$B$2:$B$5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12</c:v>
                </c:pt>
                <c:pt idx="3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A6F-45B9-9E22-E087ACD6C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03198080"/>
        <c:axId val="103212160"/>
      </c:barChart>
      <c:catAx>
        <c:axId val="1031980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212160"/>
        <c:crosses val="autoZero"/>
        <c:auto val="1"/>
        <c:lblAlgn val="ctr"/>
        <c:lblOffset val="100"/>
        <c:noMultiLvlLbl val="0"/>
      </c:catAx>
      <c:valAx>
        <c:axId val="10321216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198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List4!$A$1:$A$3</c:f>
              <c:strCache>
                <c:ptCount val="3"/>
                <c:pt idx="0">
                  <c:v>ano, vhodné pozice vytváříme i cíleně </c:v>
                </c:pt>
                <c:pt idx="1">
                  <c:v>ano</c:v>
                </c:pt>
                <c:pt idx="2">
                  <c:v>ne</c:v>
                </c:pt>
              </c:strCache>
            </c:strRef>
          </c:cat>
          <c:val>
            <c:numRef>
              <c:f>List4!$B$1:$B$3</c:f>
              <c:numCache>
                <c:formatCode>General</c:formatCode>
                <c:ptCount val="3"/>
                <c:pt idx="0">
                  <c:v>1</c:v>
                </c:pt>
                <c:pt idx="1">
                  <c:v>29</c:v>
                </c:pt>
                <c:pt idx="2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09-491B-A777-F376EB4C28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03314560"/>
        <c:axId val="103316096"/>
      </c:barChart>
      <c:catAx>
        <c:axId val="1033145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316096"/>
        <c:crosses val="autoZero"/>
        <c:auto val="1"/>
        <c:lblAlgn val="ctr"/>
        <c:lblOffset val="100"/>
        <c:noMultiLvlLbl val="0"/>
      </c:catAx>
      <c:valAx>
        <c:axId val="10331609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314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List5!$A$4:$A$7</c:f>
              <c:strCache>
                <c:ptCount val="4"/>
                <c:pt idx="0">
                  <c:v>jinde</c:v>
                </c:pt>
                <c:pt idx="1">
                  <c:v>na specializovaných portálech pro OZP (www.ozpprace.cz, www.praceprozp.cz, …)</c:v>
                </c:pt>
                <c:pt idx="2">
                  <c:v>na pracovních portálech (www.prace.cz, www.jobs.cz, …)</c:v>
                </c:pt>
                <c:pt idx="3">
                  <c:v>na stránkách úřadu a na portálu isoss</c:v>
                </c:pt>
              </c:strCache>
            </c:strRef>
          </c:cat>
          <c:val>
            <c:numRef>
              <c:f>List5!$B$4:$B$7</c:f>
              <c:numCache>
                <c:formatCode>General</c:formatCode>
                <c:ptCount val="4"/>
                <c:pt idx="0">
                  <c:v>13</c:v>
                </c:pt>
                <c:pt idx="1">
                  <c:v>16</c:v>
                </c:pt>
                <c:pt idx="2">
                  <c:v>60</c:v>
                </c:pt>
                <c:pt idx="3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31-48F4-9A53-32940DA4D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03328384"/>
        <c:axId val="103362944"/>
      </c:barChart>
      <c:catAx>
        <c:axId val="1033283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362944"/>
        <c:crosses val="autoZero"/>
        <c:auto val="1"/>
        <c:lblAlgn val="ctr"/>
        <c:lblOffset val="100"/>
        <c:noMultiLvlLbl val="0"/>
      </c:catAx>
      <c:valAx>
        <c:axId val="1033629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32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List6!$A$3:$A$5</c:f>
              <c:strCache>
                <c:ptCount val="3"/>
                <c:pt idx="0">
                  <c:v>pouze v případě, že je pracovní místo vytvořeno/určeno výlučně pro OZP</c:v>
                </c:pt>
                <c:pt idx="1">
                  <c:v>ano</c:v>
                </c:pt>
                <c:pt idx="2">
                  <c:v>ne</c:v>
                </c:pt>
              </c:strCache>
            </c:strRef>
          </c:cat>
          <c:val>
            <c:numRef>
              <c:f>List6!$B$3:$B$5</c:f>
              <c:numCache>
                <c:formatCode>General</c:formatCode>
                <c:ptCount val="3"/>
                <c:pt idx="0">
                  <c:v>10</c:v>
                </c:pt>
                <c:pt idx="1">
                  <c:v>27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90-4548-94BC-1E89846DE2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03383424"/>
        <c:axId val="103384960"/>
      </c:barChart>
      <c:catAx>
        <c:axId val="1033834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03384960"/>
        <c:crosses val="autoZero"/>
        <c:auto val="1"/>
        <c:lblAlgn val="ctr"/>
        <c:lblOffset val="100"/>
        <c:noMultiLvlLbl val="0"/>
      </c:catAx>
      <c:valAx>
        <c:axId val="10338496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033834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50" b="1"/>
      </a:pPr>
      <a:endParaRPr lang="cs-CZ"/>
    </a:p>
  </c:tx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List8!$A$1:$A$4</c:f>
              <c:strCache>
                <c:ptCount val="4"/>
                <c:pt idx="0">
                  <c:v>ano, dlouhodobě</c:v>
                </c:pt>
                <c:pt idx="1">
                  <c:v>ano, příležitostně</c:v>
                </c:pt>
                <c:pt idx="2">
                  <c:v>ne, tyto aktivity jsou však plánovány</c:v>
                </c:pt>
                <c:pt idx="3">
                  <c:v>ne</c:v>
                </c:pt>
              </c:strCache>
            </c:strRef>
          </c:cat>
          <c:val>
            <c:numRef>
              <c:f>List8!$B$1:$B$4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10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C9-4933-BA62-B84FBD53B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03409152"/>
        <c:axId val="103410688"/>
      </c:barChart>
      <c:catAx>
        <c:axId val="1034091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410688"/>
        <c:crosses val="autoZero"/>
        <c:auto val="1"/>
        <c:lblAlgn val="ctr"/>
        <c:lblOffset val="100"/>
        <c:noMultiLvlLbl val="0"/>
      </c:catAx>
      <c:valAx>
        <c:axId val="10341068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40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3888888888888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12-44E2-8495-84B3BF7668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List9!$A$1:$A$4</c:f>
              <c:strCache>
                <c:ptCount val="4"/>
                <c:pt idx="0">
                  <c:v>vyšší </c:v>
                </c:pt>
                <c:pt idx="1">
                  <c:v>shodná</c:v>
                </c:pt>
                <c:pt idx="2">
                  <c:v>nižší</c:v>
                </c:pt>
                <c:pt idx="3">
                  <c:v>nelze určit</c:v>
                </c:pt>
              </c:strCache>
            </c:strRef>
          </c:cat>
          <c:val>
            <c:numRef>
              <c:f>List9!$B$1:$B$4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31</c:v>
                </c:pt>
                <c:pt idx="3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12-44E2-8495-84B3BF7668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03423360"/>
        <c:axId val="103437440"/>
      </c:barChart>
      <c:catAx>
        <c:axId val="1034233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437440"/>
        <c:crosses val="autoZero"/>
        <c:auto val="1"/>
        <c:lblAlgn val="ctr"/>
        <c:lblOffset val="100"/>
        <c:noMultiLvlLbl val="0"/>
      </c:catAx>
      <c:valAx>
        <c:axId val="10343744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3423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List20!$B$1</c:f>
              <c:strCache>
                <c:ptCount val="1"/>
                <c:pt idx="0">
                  <c:v>Sloupec1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List20!$A$2:$A$8</c:f>
              <c:strCache>
                <c:ptCount val="7"/>
                <c:pt idx="0">
                  <c:v>rozšíření spolupráce se školami</c:v>
                </c:pt>
                <c:pt idx="1">
                  <c:v>speciální vyšší platové trify pro OZP</c:v>
                </c:pt>
                <c:pt idx="2">
                  <c:v>změna legislativy (např. zjednodušení náhradního plnění)</c:v>
                </c:pt>
                <c:pt idx="3">
                  <c:v>šíření příkladů dobré praxe</c:v>
                </c:pt>
                <c:pt idx="4">
                  <c:v>navýšení počtu pracovních/systemizovaných míst</c:v>
                </c:pt>
                <c:pt idx="5">
                  <c:v>bezbariérové úpravy (včetně úpravy pracoviště a služební/pracovní doby včetně využívání home office)</c:v>
                </c:pt>
                <c:pt idx="6">
                  <c:v>rozšíření způsobu zveřejňování inzerátů s uvedením, že je místo vhodné pro OZP</c:v>
                </c:pt>
              </c:strCache>
            </c:strRef>
          </c:cat>
          <c:val>
            <c:numRef>
              <c:f>List20!$B$2:$B$8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11</c:v>
                </c:pt>
                <c:pt idx="6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BF-4EFE-869B-6E9D894E41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03466112"/>
        <c:axId val="103467648"/>
      </c:barChart>
      <c:catAx>
        <c:axId val="1034661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 i="0" baseline="0"/>
            </a:pPr>
            <a:endParaRPr lang="cs-CZ"/>
          </a:p>
        </c:txPr>
        <c:crossAx val="103467648"/>
        <c:crosses val="autoZero"/>
        <c:auto val="1"/>
        <c:lblAlgn val="ctr"/>
        <c:lblOffset val="100"/>
        <c:noMultiLvlLbl val="0"/>
      </c:catAx>
      <c:valAx>
        <c:axId val="1034676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03466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300220472440946"/>
          <c:y val="0.13183432428089345"/>
          <c:w val="0.66380743780266893"/>
          <c:h val="0.719859928223257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List1!$A$3:$A$7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DPP/DPČ</c:v>
                </c:pt>
              </c:strCache>
            </c:strRef>
          </c:cat>
          <c:val>
            <c:numRef>
              <c:f>List1!$B$3:$B$7</c:f>
              <c:numCache>
                <c:formatCode>General</c:formatCode>
                <c:ptCount val="3"/>
                <c:pt idx="0">
                  <c:v>43850</c:v>
                </c:pt>
                <c:pt idx="1">
                  <c:v>10431</c:v>
                </c:pt>
                <c:pt idx="2">
                  <c:v>1875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30-4EBC-A49B-315E376EAA0D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List1!$A$3:$A$7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DPP/DPČ</c:v>
                </c:pt>
              </c:strCache>
            </c:strRef>
          </c:cat>
          <c:val>
            <c:numRef>
              <c:f>List1!$C$3:$C$7</c:f>
              <c:numCache>
                <c:formatCode>General</c:formatCode>
                <c:ptCount val="3"/>
                <c:pt idx="0">
                  <c:v>13394</c:v>
                </c:pt>
                <c:pt idx="1">
                  <c:v>6924</c:v>
                </c:pt>
                <c:pt idx="2">
                  <c:v>1844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30-4EBC-A49B-315E376EA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027840"/>
        <c:axId val="101029376"/>
      </c:barChart>
      <c:catAx>
        <c:axId val="10102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029376"/>
        <c:crosses val="autoZero"/>
        <c:auto val="1"/>
        <c:lblAlgn val="ctr"/>
        <c:lblOffset val="100"/>
        <c:noMultiLvlLbl val="0"/>
      </c:catAx>
      <c:valAx>
        <c:axId val="101029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027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434993161066132"/>
          <c:y val="0.41920054636027637"/>
          <c:w val="9.8101913989739678E-2"/>
          <c:h val="0.22817110226813045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13817198741341"/>
          <c:y val="8.8776678715872262E-2"/>
          <c:w val="0.44717968415298931"/>
          <c:h val="0.8482091517919691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0312106299212598"/>
                  <c:y val="8.867490522018081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4-4994-897D-ED6D479C632B}"/>
                </c:ext>
              </c:extLst>
            </c:dLbl>
            <c:dLbl>
              <c:idx val="1"/>
              <c:layout>
                <c:manualLayout>
                  <c:x val="7.5824584426946631E-2"/>
                  <c:y val="-0.1744513706620005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4-4994-897D-ED6D479C632B}"/>
                </c:ext>
              </c:extLst>
            </c:dLbl>
            <c:dLbl>
              <c:idx val="2"/>
              <c:layout>
                <c:manualLayout>
                  <c:x val="2.2241360454943133E-2"/>
                  <c:y val="0.1294688684747739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4-4994-897D-ED6D479C63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List6!$A$1:$A$3</c:f>
              <c:strCache>
                <c:ptCount val="3"/>
                <c:pt idx="0">
                  <c:v>ministerstva</c:v>
                </c:pt>
                <c:pt idx="1">
                  <c:v>organizační složky ministerstev</c:v>
                </c:pt>
                <c:pt idx="2">
                  <c:v>ústřední orgány státní správy</c:v>
                </c:pt>
              </c:strCache>
            </c:strRef>
          </c:cat>
          <c:val>
            <c:numRef>
              <c:f>List6!$B$1:$B$3</c:f>
              <c:numCache>
                <c:formatCode>General</c:formatCode>
                <c:ptCount val="3"/>
                <c:pt idx="0">
                  <c:v>22489</c:v>
                </c:pt>
                <c:pt idx="1">
                  <c:v>52371</c:v>
                </c:pt>
                <c:pt idx="2">
                  <c:v>3458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F74-4994-897D-ED6D479C632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952282006415864"/>
          <c:y val="0.29736339775709852"/>
          <c:w val="0.29519444444444443"/>
          <c:h val="0.41896981627296587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31188129042924"/>
          <c:y val="0.11368867353119322"/>
          <c:w val="0.70991373518583212"/>
          <c:h val="0.747039940143228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List7!$B$1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List7!$A$2:$A$4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DPP/DPČ</c:v>
                </c:pt>
              </c:strCache>
            </c:strRef>
          </c:cat>
          <c:val>
            <c:numRef>
              <c:f>List7!$B$2:$B$4</c:f>
              <c:numCache>
                <c:formatCode>General</c:formatCode>
                <c:ptCount val="3"/>
                <c:pt idx="0">
                  <c:v>6530</c:v>
                </c:pt>
                <c:pt idx="1">
                  <c:v>4587</c:v>
                </c:pt>
                <c:pt idx="2">
                  <c:v>1161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DA-4811-8D75-A03A8DADE2F3}"/>
            </c:ext>
          </c:extLst>
        </c:ser>
        <c:ser>
          <c:idx val="1"/>
          <c:order val="1"/>
          <c:tx>
            <c:strRef>
              <c:f>List7!$C$1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List7!$A$2:$A$4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DPP/DPČ</c:v>
                </c:pt>
              </c:strCache>
            </c:strRef>
          </c:cat>
          <c:val>
            <c:numRef>
              <c:f>List7!$C$2:$C$4</c:f>
              <c:numCache>
                <c:formatCode>General</c:formatCode>
                <c:ptCount val="3"/>
                <c:pt idx="0">
                  <c:v>4452</c:v>
                </c:pt>
                <c:pt idx="1">
                  <c:v>4729</c:v>
                </c:pt>
                <c:pt idx="2">
                  <c:v>1030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DA-4811-8D75-A03A8DADE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689600"/>
        <c:axId val="101691392"/>
      </c:barChart>
      <c:catAx>
        <c:axId val="10168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691392"/>
        <c:crosses val="autoZero"/>
        <c:auto val="1"/>
        <c:lblAlgn val="ctr"/>
        <c:lblOffset val="100"/>
        <c:noMultiLvlLbl val="0"/>
      </c:catAx>
      <c:valAx>
        <c:axId val="101691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689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40895849557267"/>
          <c:y val="0.38701895596383784"/>
          <c:w val="9.3939026852412677E-2"/>
          <c:h val="0.19209932091821855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9151988531554"/>
          <c:y val="0.14921485329797696"/>
          <c:w val="0.66841598573763183"/>
          <c:h val="0.674459867774260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List7!$B$31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List7!$A$32:$A$34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DPP/DPČ</c:v>
                </c:pt>
              </c:strCache>
            </c:strRef>
          </c:cat>
          <c:val>
            <c:numRef>
              <c:f>List7!$B$32:$B$34</c:f>
              <c:numCache>
                <c:formatCode>General</c:formatCode>
                <c:ptCount val="3"/>
                <c:pt idx="0">
                  <c:v>36193</c:v>
                </c:pt>
                <c:pt idx="1">
                  <c:v>5343</c:v>
                </c:pt>
                <c:pt idx="2">
                  <c:v>541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B0-42F3-B0C8-D4D154CEC78B}"/>
            </c:ext>
          </c:extLst>
        </c:ser>
        <c:ser>
          <c:idx val="1"/>
          <c:order val="1"/>
          <c:tx>
            <c:strRef>
              <c:f>List7!$C$31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List7!$A$32:$A$34</c:f>
              <c:strCache>
                <c:ptCount val="3"/>
                <c:pt idx="0">
                  <c:v>Služební poměr</c:v>
                </c:pt>
                <c:pt idx="1">
                  <c:v>Pracovní poměr</c:v>
                </c:pt>
                <c:pt idx="2">
                  <c:v>DPP/DPČ</c:v>
                </c:pt>
              </c:strCache>
            </c:strRef>
          </c:cat>
          <c:val>
            <c:numRef>
              <c:f>List7!$C$32:$C$34</c:f>
              <c:numCache>
                <c:formatCode>General</c:formatCode>
                <c:ptCount val="3"/>
                <c:pt idx="0">
                  <c:v>7977</c:v>
                </c:pt>
                <c:pt idx="1">
                  <c:v>1803</c:v>
                </c:pt>
                <c:pt idx="2">
                  <c:v>514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B0-42F3-B0C8-D4D154CEC7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721600"/>
        <c:axId val="101723136"/>
      </c:barChart>
      <c:catAx>
        <c:axId val="101721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723136"/>
        <c:crosses val="autoZero"/>
        <c:auto val="1"/>
        <c:lblAlgn val="ctr"/>
        <c:lblOffset val="100"/>
        <c:noMultiLvlLbl val="0"/>
      </c:catAx>
      <c:valAx>
        <c:axId val="101723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cs-CZ"/>
          </a:p>
        </c:txPr>
        <c:crossAx val="10172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97350567028175"/>
          <c:y val="0.35937332575696074"/>
          <c:w val="9.6774922002674194E-2"/>
          <c:h val="0.22627016983701778"/>
        </c:manualLayout>
      </c:layout>
      <c:overlay val="0"/>
      <c:txPr>
        <a:bodyPr/>
        <a:lstStyle/>
        <a:p>
          <a:pPr>
            <a:defRPr sz="1050" b="1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0F8E-EB88-406E-8358-3895E7A2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61</Pages>
  <Words>12068</Words>
  <Characters>71203</Characters>
  <Application>Microsoft Office Word</Application>
  <DocSecurity>0</DocSecurity>
  <Lines>593</Lines>
  <Paragraphs>166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83105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Blanka</dc:creator>
  <cp:lastModifiedBy>Espinoza Blanka</cp:lastModifiedBy>
  <cp:revision>113</cp:revision>
  <cp:lastPrinted>2020-07-13T04:38:00Z</cp:lastPrinted>
  <dcterms:created xsi:type="dcterms:W3CDTF">2020-07-11T22:46:00Z</dcterms:created>
  <dcterms:modified xsi:type="dcterms:W3CDTF">2020-07-13T04:39:00Z</dcterms:modified>
</cp:coreProperties>
</file>