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ED" w:rsidRPr="0060618E" w:rsidRDefault="0060618E" w:rsidP="0060618E">
      <w:pPr>
        <w:spacing w:after="0"/>
        <w:rPr>
          <w:b/>
        </w:rPr>
      </w:pPr>
      <w:bookmarkStart w:id="0" w:name="_GoBack"/>
      <w:bookmarkEnd w:id="0"/>
      <w:r w:rsidRPr="00484FFE">
        <w:rPr>
          <w:rFonts w:cs="Arial"/>
          <w:b/>
          <w:szCs w:val="22"/>
        </w:rPr>
        <w:t>Nejvyšší kontrolní úřad</w:t>
      </w:r>
    </w:p>
    <w:p w:rsidR="00B94CED" w:rsidRPr="009D227C" w:rsidRDefault="00B94CED" w:rsidP="0060618E">
      <w:pPr>
        <w:pStyle w:val="Bezmezer"/>
      </w:pPr>
      <w:r w:rsidRPr="009D227C">
        <w:t>(Pozn.: státní instituce zpracovatele a schvalovatele materiálu)</w:t>
      </w:r>
    </w:p>
    <w:p w:rsidR="00B94CED" w:rsidRPr="004375A7" w:rsidRDefault="00B94CED" w:rsidP="0060618E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:rsidR="00B94CED" w:rsidRPr="004375A7" w:rsidRDefault="00B94CED" w:rsidP="0060618E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:rsidR="00B94CED" w:rsidRPr="004375A7" w:rsidRDefault="00B94CED" w:rsidP="0060618E">
      <w:pPr>
        <w:spacing w:after="72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 xml:space="preserve">Pro schůzi Regionální dislokační komise </w:t>
      </w:r>
      <w:r w:rsidR="0060618E" w:rsidRPr="00484FFE">
        <w:rPr>
          <w:rFonts w:cs="Arial"/>
          <w:b/>
          <w:szCs w:val="22"/>
        </w:rPr>
        <w:t>Plzeň</w:t>
      </w:r>
    </w:p>
    <w:p w:rsidR="00B94CED" w:rsidRPr="004375A7" w:rsidRDefault="00B94CED" w:rsidP="0060618E">
      <w:pPr>
        <w:spacing w:after="144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 disloka</w:t>
      </w:r>
      <w:r w:rsidR="0060618E">
        <w:rPr>
          <w:rFonts w:cs="Arial"/>
          <w:b/>
          <w:szCs w:val="22"/>
        </w:rPr>
        <w:t>ce u administrativní</w:t>
      </w:r>
      <w:r w:rsidRPr="004375A7">
        <w:rPr>
          <w:rFonts w:cs="Arial"/>
          <w:b/>
          <w:szCs w:val="22"/>
        </w:rPr>
        <w:t xml:space="preserve"> </w:t>
      </w:r>
      <w:r w:rsidR="00F90FA7">
        <w:rPr>
          <w:rFonts w:cs="Arial"/>
          <w:b/>
          <w:szCs w:val="22"/>
        </w:rPr>
        <w:t>budov</w:t>
      </w:r>
      <w:r w:rsidR="0060618E">
        <w:rPr>
          <w:rFonts w:cs="Arial"/>
          <w:b/>
          <w:szCs w:val="22"/>
        </w:rPr>
        <w:t>y</w:t>
      </w:r>
      <w:r w:rsidR="00F90FA7" w:rsidRPr="004375A7">
        <w:rPr>
          <w:rFonts w:cs="Arial"/>
          <w:b/>
          <w:szCs w:val="22"/>
        </w:rPr>
        <w:t xml:space="preserve"> </w:t>
      </w:r>
      <w:r w:rsidR="0060618E" w:rsidRPr="0060618E">
        <w:rPr>
          <w:rFonts w:cs="Arial"/>
          <w:b/>
          <w:szCs w:val="22"/>
        </w:rPr>
        <w:t>Krámská č.</w:t>
      </w:r>
      <w:r w:rsidR="0060618E">
        <w:rPr>
          <w:rFonts w:cs="Arial"/>
          <w:b/>
          <w:szCs w:val="22"/>
        </w:rPr>
        <w:t xml:space="preserve"> </w:t>
      </w:r>
      <w:r w:rsidR="0060618E" w:rsidRPr="0060618E">
        <w:rPr>
          <w:rFonts w:cs="Arial"/>
          <w:b/>
          <w:szCs w:val="22"/>
        </w:rPr>
        <w:t>p. 246, Plzeň</w:t>
      </w:r>
    </w:p>
    <w:p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6061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60618E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:rsidR="00122752" w:rsidRDefault="00A0584B" w:rsidP="0060618E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:rsidR="00122752" w:rsidRDefault="00122752" w:rsidP="0060618E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komise </w:t>
      </w:r>
      <w:r w:rsidR="0060618E" w:rsidRPr="00484FFE">
        <w:rPr>
          <w:rFonts w:cs="Arial"/>
          <w:szCs w:val="22"/>
        </w:rPr>
        <w:t>Plzeň</w:t>
      </w:r>
    </w:p>
    <w:p w:rsidR="00B94CED" w:rsidRPr="004375A7" w:rsidRDefault="00F90FA7" w:rsidP="0060618E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:rsidR="00F90FA7" w:rsidRPr="004375A7" w:rsidRDefault="00F90FA7" w:rsidP="0060618E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:rsidR="00122752" w:rsidRDefault="00122752" w:rsidP="00122752">
      <w:pPr>
        <w:contextualSpacing/>
        <w:rPr>
          <w:rFonts w:cs="Arial"/>
          <w:szCs w:val="22"/>
        </w:rPr>
        <w:sectPr w:rsidR="00122752" w:rsidSect="0060618E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:rsidR="00B94CED" w:rsidRPr="004375A7" w:rsidRDefault="00B94CED" w:rsidP="0060618E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Pr="004375A7">
        <w:rPr>
          <w:rFonts w:cs="Arial"/>
          <w:szCs w:val="22"/>
        </w:rPr>
        <w:t xml:space="preserve">Ing. </w:t>
      </w:r>
      <w:r w:rsidR="0060618E" w:rsidRPr="0060618E">
        <w:rPr>
          <w:rFonts w:cs="Arial"/>
          <w:szCs w:val="22"/>
        </w:rPr>
        <w:t>Miloslav Kala</w:t>
      </w:r>
    </w:p>
    <w:p w:rsidR="00B94CED" w:rsidRPr="0060618E" w:rsidRDefault="0060618E" w:rsidP="0060618E">
      <w:pPr>
        <w:spacing w:after="0"/>
        <w:ind w:left="1440" w:hanging="24"/>
        <w:rPr>
          <w:rFonts w:cs="Arial"/>
          <w:szCs w:val="22"/>
        </w:rPr>
      </w:pPr>
      <w:r w:rsidRPr="00484FFE">
        <w:rPr>
          <w:rFonts w:cs="Arial"/>
          <w:szCs w:val="22"/>
        </w:rPr>
        <w:t>prezident Nejvyššího kontrolního úřadu</w:t>
      </w:r>
    </w:p>
    <w:p w:rsidR="00B94CED" w:rsidRPr="004375A7" w:rsidRDefault="00B94CED" w:rsidP="0060618E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:rsidR="00E22F5F" w:rsidRPr="004375A7" w:rsidRDefault="00B94CED" w:rsidP="00E22F5F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  <w:t xml:space="preserve">Ing. </w:t>
      </w:r>
      <w:r w:rsidR="00E22F5F" w:rsidRPr="0060618E">
        <w:rPr>
          <w:rFonts w:cs="Arial"/>
          <w:szCs w:val="22"/>
        </w:rPr>
        <w:t>Miloslav Kala</w:t>
      </w:r>
    </w:p>
    <w:p w:rsidR="00B94CED" w:rsidRPr="004375A7" w:rsidRDefault="00E22F5F" w:rsidP="00E22F5F">
      <w:pPr>
        <w:spacing w:after="0"/>
        <w:ind w:left="1440" w:hanging="24"/>
        <w:rPr>
          <w:rFonts w:cs="Arial"/>
          <w:szCs w:val="22"/>
        </w:rPr>
      </w:pPr>
      <w:r w:rsidRPr="00484FFE">
        <w:rPr>
          <w:rFonts w:cs="Arial"/>
          <w:szCs w:val="22"/>
        </w:rPr>
        <w:t>prezident Nejvyššího kontrolního úřadu</w:t>
      </w:r>
    </w:p>
    <w:p w:rsidR="00B94CED" w:rsidRPr="004375A7" w:rsidRDefault="00B94CED" w:rsidP="0060618E">
      <w:pPr>
        <w:pStyle w:val="Bezmezer"/>
        <w:tabs>
          <w:tab w:val="left" w:pos="1418"/>
        </w:tabs>
        <w:ind w:left="1418" w:hanging="2"/>
        <w:contextualSpacing/>
      </w:pPr>
      <w:r w:rsidRPr="004375A7">
        <w:t>(Pozn.: předkládá předseda RDK nebo členové RDK nebo vedoucí jiného ústředního orgánu státní správy nebo vedoucí jiné státní instituce nepodřízené ministerstvu nebo jinému ÚOSS)</w:t>
      </w:r>
    </w:p>
    <w:p w:rsidR="00B94CED" w:rsidRPr="004375A7" w:rsidRDefault="002303C1" w:rsidP="0060618E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:rsidR="00B94CED" w:rsidRPr="004375A7" w:rsidRDefault="00B94CED" w:rsidP="0060618E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Regionální dislokační komise </w:t>
      </w:r>
      <w:r w:rsidR="00E22F5F">
        <w:rPr>
          <w:rFonts w:cs="Arial"/>
          <w:szCs w:val="22"/>
        </w:rPr>
        <w:t>Plzeň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:rsidR="00B94CED" w:rsidRPr="004375A7" w:rsidRDefault="00B94CED" w:rsidP="0060618E">
      <w:pPr>
        <w:spacing w:after="96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 dislok</w:t>
      </w:r>
      <w:r w:rsidR="00E22F5F">
        <w:rPr>
          <w:rFonts w:cs="Arial"/>
          <w:b/>
          <w:szCs w:val="22"/>
        </w:rPr>
        <w:t>ace u administrativní</w:t>
      </w:r>
      <w:r w:rsidRPr="004375A7">
        <w:rPr>
          <w:rFonts w:cs="Arial"/>
          <w:b/>
          <w:szCs w:val="22"/>
        </w:rPr>
        <w:t xml:space="preserve"> </w:t>
      </w:r>
      <w:r w:rsidR="00F90FA7">
        <w:rPr>
          <w:rFonts w:cs="Arial"/>
          <w:b/>
          <w:szCs w:val="22"/>
        </w:rPr>
        <w:t>budov</w:t>
      </w:r>
      <w:r w:rsidR="00E22F5F">
        <w:rPr>
          <w:rFonts w:cs="Arial"/>
          <w:b/>
          <w:szCs w:val="22"/>
        </w:rPr>
        <w:t>y</w:t>
      </w:r>
      <w:r w:rsidR="00F90FA7" w:rsidRPr="004375A7">
        <w:rPr>
          <w:rFonts w:cs="Arial"/>
          <w:b/>
          <w:szCs w:val="22"/>
        </w:rPr>
        <w:t xml:space="preserve"> </w:t>
      </w:r>
      <w:r w:rsidR="00E22F5F" w:rsidRPr="00E22F5F">
        <w:rPr>
          <w:rFonts w:cs="Arial"/>
          <w:b/>
          <w:szCs w:val="22"/>
        </w:rPr>
        <w:t>Krámská č.</w:t>
      </w:r>
      <w:r w:rsidR="00E22F5F">
        <w:rPr>
          <w:rFonts w:cs="Arial"/>
          <w:b/>
          <w:szCs w:val="22"/>
        </w:rPr>
        <w:t xml:space="preserve"> </w:t>
      </w:r>
      <w:r w:rsidR="00E22F5F" w:rsidRPr="00E22F5F">
        <w:rPr>
          <w:rFonts w:cs="Arial"/>
          <w:b/>
          <w:szCs w:val="22"/>
        </w:rPr>
        <w:t>p. 246, Plzeň</w:t>
      </w:r>
    </w:p>
    <w:p w:rsidR="00B94CED" w:rsidRPr="004375A7" w:rsidRDefault="00B94CED" w:rsidP="0060618E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Regionální dislokační komise </w:t>
      </w:r>
      <w:r w:rsidR="00E22F5F" w:rsidRPr="00484FFE">
        <w:rPr>
          <w:rFonts w:cs="Arial"/>
          <w:szCs w:val="22"/>
        </w:rPr>
        <w:t xml:space="preserve">Plzeň </w:t>
      </w:r>
      <w:r w:rsidRPr="004375A7">
        <w:rPr>
          <w:rFonts w:cs="Arial"/>
          <w:szCs w:val="22"/>
        </w:rPr>
        <w:t>po projednání výše uvedeného materiálu</w:t>
      </w:r>
    </w:p>
    <w:p w:rsidR="00B94CED" w:rsidRPr="0060618E" w:rsidRDefault="00B94CED" w:rsidP="0060618E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60618E">
        <w:rPr>
          <w:b/>
          <w:spacing w:val="60"/>
        </w:rPr>
        <w:t>bere na vědomí</w:t>
      </w:r>
    </w:p>
    <w:p w:rsidR="00B94CED" w:rsidRPr="004375A7" w:rsidRDefault="00B94CED" w:rsidP="0060618E">
      <w:pPr>
        <w:spacing w:after="480"/>
      </w:pPr>
      <w:r w:rsidRPr="004375A7">
        <w:t>předložený materiál „</w:t>
      </w:r>
      <w:r w:rsidR="00E22F5F" w:rsidRPr="00E22F5F">
        <w:t>Změna dislokace u administrativní budovy Krámská č. p. 246, Plzeň</w:t>
      </w:r>
      <w:r w:rsidRPr="004375A7">
        <w:t>“;</w:t>
      </w:r>
    </w:p>
    <w:p w:rsidR="00B94CED" w:rsidRPr="0060618E" w:rsidRDefault="00B94CED" w:rsidP="0060618E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 w:rsidRPr="0060618E">
        <w:rPr>
          <w:b/>
          <w:spacing w:val="60"/>
        </w:rPr>
        <w:t>vyjadřuje souhlas</w:t>
      </w:r>
    </w:p>
    <w:p w:rsidR="00B94CED" w:rsidRPr="009D227C" w:rsidRDefault="00B94CED" w:rsidP="00705B9C">
      <w:pPr>
        <w:spacing w:after="0"/>
      </w:pPr>
      <w:r w:rsidRPr="009D227C">
        <w:t>se změnou dislokace v</w:t>
      </w:r>
      <w:r w:rsidRPr="00E22F5F">
        <w:rPr>
          <w:bCs/>
          <w:iCs/>
        </w:rPr>
        <w:t> administrativní</w:t>
      </w:r>
      <w:r w:rsidR="00E7113B" w:rsidRPr="00E22F5F">
        <w:rPr>
          <w:bCs/>
          <w:iCs/>
        </w:rPr>
        <w:t xml:space="preserve"> budově</w:t>
      </w:r>
      <w:r w:rsidRPr="00E22F5F">
        <w:rPr>
          <w:bCs/>
          <w:iCs/>
        </w:rPr>
        <w:t xml:space="preserve"> </w:t>
      </w:r>
      <w:r w:rsidR="00E22F5F" w:rsidRPr="00E22F5F">
        <w:t>Krámská č.</w:t>
      </w:r>
      <w:r w:rsidR="00E22F5F">
        <w:t xml:space="preserve"> </w:t>
      </w:r>
      <w:r w:rsidR="00E22F5F" w:rsidRPr="00E22F5F">
        <w:t>p. 246, Plzeň – Vnitřní Město, ve</w:t>
      </w:r>
      <w:r w:rsidR="00EB45F0">
        <w:t> </w:t>
      </w:r>
      <w:r w:rsidR="00E22F5F" w:rsidRPr="00E22F5F">
        <w:t>vlastnictví Statutárního města Plzeň, formou změny rozsahu kancel</w:t>
      </w:r>
      <w:r w:rsidR="00E22F5F">
        <w:t>ářské plochy užívané v</w:t>
      </w:r>
      <w:r w:rsidR="00EB45F0">
        <w:t> </w:t>
      </w:r>
      <w:r w:rsidR="00E22F5F">
        <w:t>nestátní</w:t>
      </w:r>
      <w:r w:rsidR="00E22F5F" w:rsidRPr="00E22F5F">
        <w:t xml:space="preserve"> </w:t>
      </w:r>
      <w:r w:rsidRPr="009D227C">
        <w:t xml:space="preserve">administrativní </w:t>
      </w:r>
      <w:r w:rsidR="00E7113B" w:rsidRPr="009D227C">
        <w:t xml:space="preserve">budově </w:t>
      </w:r>
      <w:r w:rsidRPr="009D227C">
        <w:t>k 1. září 20</w:t>
      </w:r>
      <w:r w:rsidR="00E7113B" w:rsidRPr="009D227C">
        <w:t>2</w:t>
      </w:r>
      <w:r w:rsidRPr="009D227C">
        <w:t>1, dle přílohy tohoto materiálu.</w:t>
      </w:r>
    </w:p>
    <w:p w:rsidR="00B94CED" w:rsidRPr="004375A7" w:rsidRDefault="00B94CED" w:rsidP="0060618E">
      <w:pPr>
        <w:pStyle w:val="Bezmezer"/>
      </w:pPr>
      <w:r w:rsidRPr="004375A7">
        <w:t>(Pozn.: Součástí závěrů je rozhodnutí o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:rsidR="00B94CED" w:rsidRPr="004375A7" w:rsidRDefault="00B94CED" w:rsidP="0060618E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 xml:space="preserve">2 </w:t>
      </w:r>
      <w:r w:rsidR="00E7113B">
        <w:rPr>
          <w:rFonts w:cs="Arial"/>
          <w:color w:val="000000"/>
          <w:szCs w:val="22"/>
        </w:rPr>
        <w:t>písm</w:t>
      </w:r>
      <w:r w:rsidR="00193D50">
        <w:rPr>
          <w:rFonts w:cs="Arial"/>
          <w:color w:val="000000"/>
          <w:szCs w:val="22"/>
        </w:rPr>
        <w:t>.</w:t>
      </w:r>
      <w:r w:rsidR="00E7113B">
        <w:rPr>
          <w:rFonts w:cs="Arial"/>
          <w:color w:val="000000"/>
          <w:szCs w:val="22"/>
        </w:rPr>
        <w:t xml:space="preserve"> b)</w:t>
      </w:r>
      <w:r w:rsidRPr="004375A7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070E4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000 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:rsidR="00B94CED" w:rsidRPr="009D227C" w:rsidRDefault="00B94CED" w:rsidP="0060618E">
      <w:pPr>
        <w:pStyle w:val="Nadpis3"/>
      </w:pPr>
      <w:r w:rsidRPr="009D227C">
        <w:t>Označení zpracovatele materiálu</w:t>
      </w:r>
    </w:p>
    <w:p w:rsidR="00B94CED" w:rsidRPr="004375A7" w:rsidRDefault="00B94CED" w:rsidP="0060618E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:rsidR="00B94CED" w:rsidRPr="004375A7" w:rsidRDefault="00B94CED" w:rsidP="0060618E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E22F5F" w:rsidP="0060618E">
      <w:pPr>
        <w:spacing w:before="0"/>
      </w:pPr>
      <w:r w:rsidRPr="00E22F5F">
        <w:t>Nejvyšší kontrolní úřad, Jankovcova 1518/2, 170</w:t>
      </w:r>
      <w:r w:rsidR="00892DD5">
        <w:t xml:space="preserve"> </w:t>
      </w:r>
      <w:r w:rsidRPr="00E22F5F">
        <w:t>00 Praha – Holešovice</w:t>
      </w:r>
    </w:p>
    <w:p w:rsidR="00B94CED" w:rsidRPr="004375A7" w:rsidRDefault="00B94CED" w:rsidP="0060618E">
      <w:pPr>
        <w:pStyle w:val="Nadpis3"/>
      </w:pPr>
      <w:r w:rsidRPr="004375A7">
        <w:t>Souhrnný popis záměru</w:t>
      </w:r>
    </w:p>
    <w:p w:rsidR="00B94CED" w:rsidRPr="004375A7" w:rsidRDefault="00B94CED" w:rsidP="0060618E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Pr="004375A7">
        <w:t>/hospodárnějšího rozmístění zaměstnanců státních institucí)</w:t>
      </w:r>
    </w:p>
    <w:p w:rsidR="00B94CED" w:rsidRPr="004375A7" w:rsidRDefault="00B94CED" w:rsidP="0060618E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:rsidR="00B94CED" w:rsidRPr="004375A7" w:rsidRDefault="00B94CED" w:rsidP="0060618E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Záměrem předkládaného materiálu je zabezpečit</w:t>
      </w:r>
      <w:r w:rsidRPr="004375A7">
        <w:rPr>
          <w:rFonts w:eastAsia="Arial Unicode MS" w:cs="Arial"/>
          <w:bCs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>změnu dislokace u  ad</w:t>
      </w:r>
      <w:r w:rsidR="00E22F5F">
        <w:rPr>
          <w:rFonts w:eastAsia="Arial Unicode MS" w:cs="Arial"/>
          <w:szCs w:val="22"/>
        </w:rPr>
        <w:t>ministrativní</w:t>
      </w:r>
      <w:r w:rsidRPr="004375A7">
        <w:rPr>
          <w:rFonts w:eastAsia="Arial Unicode MS" w:cs="Arial"/>
          <w:szCs w:val="22"/>
        </w:rPr>
        <w:t xml:space="preserve"> </w:t>
      </w:r>
      <w:r w:rsidR="00875AC1">
        <w:rPr>
          <w:rFonts w:eastAsia="Arial Unicode MS" w:cs="Arial"/>
          <w:szCs w:val="22"/>
        </w:rPr>
        <w:t>budov</w:t>
      </w:r>
      <w:r w:rsidR="00E22F5F">
        <w:rPr>
          <w:rFonts w:eastAsia="Arial Unicode MS" w:cs="Arial"/>
          <w:szCs w:val="22"/>
        </w:rPr>
        <w:t>y</w:t>
      </w:r>
      <w:r w:rsidR="00875AC1" w:rsidRPr="004375A7">
        <w:rPr>
          <w:rFonts w:eastAsia="Arial Unicode MS" w:cs="Arial"/>
          <w:szCs w:val="22"/>
        </w:rPr>
        <w:t xml:space="preserve"> </w:t>
      </w:r>
      <w:r w:rsidR="00E22F5F" w:rsidRPr="00E22F5F">
        <w:rPr>
          <w:rFonts w:eastAsia="Arial Unicode MS" w:cs="Arial"/>
          <w:szCs w:val="22"/>
        </w:rPr>
        <w:t>v nestátním vlastnictví</w:t>
      </w:r>
      <w:r w:rsidRPr="004375A7">
        <w:rPr>
          <w:rFonts w:eastAsia="Arial Unicode MS" w:cs="Arial"/>
          <w:szCs w:val="22"/>
        </w:rPr>
        <w:t>.</w:t>
      </w:r>
    </w:p>
    <w:p w:rsidR="00B94CED" w:rsidRPr="004375A7" w:rsidRDefault="00B94CED" w:rsidP="0060618E">
      <w:pPr>
        <w:pStyle w:val="Nadpis3"/>
      </w:pPr>
      <w:r w:rsidRPr="004375A7">
        <w:t xml:space="preserve">Identifikace administrativní </w:t>
      </w:r>
      <w:r w:rsidR="00875AC1">
        <w:t>budovy</w:t>
      </w:r>
    </w:p>
    <w:p w:rsidR="00B94CED" w:rsidRPr="004375A7" w:rsidRDefault="00B94CED" w:rsidP="0060618E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:rsidR="00B94CED" w:rsidRPr="004375A7" w:rsidRDefault="00B94CED" w:rsidP="0060618E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:rsidR="00B94CED" w:rsidRPr="004375A7" w:rsidRDefault="00B94CED" w:rsidP="0060618E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E22F5F">
        <w:t>,</w:t>
      </w:r>
    </w:p>
    <w:p w:rsidR="00B94CED" w:rsidRPr="004375A7" w:rsidRDefault="00B94CED" w:rsidP="0060618E">
      <w:pPr>
        <w:pStyle w:val="Bezmezer"/>
        <w:numPr>
          <w:ilvl w:val="1"/>
          <w:numId w:val="1"/>
        </w:numPr>
      </w:pPr>
      <w:r w:rsidRPr="004375A7">
        <w:t xml:space="preserve">ID </w:t>
      </w:r>
      <w:r w:rsidR="00AB5DF5">
        <w:t>objektu</w:t>
      </w:r>
      <w:r w:rsidR="00AB5DF5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:rsidR="00B94CED" w:rsidRPr="004375A7" w:rsidRDefault="00B94CED" w:rsidP="0060618E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v Centrálním registru administrativních budov. Výjimku tvoří případy, kdy je předmětem navrhované dispozice nabytí nestátní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nebo nabytí kancelářské </w:t>
      </w:r>
      <w:r w:rsidRPr="004375A7">
        <w:rPr>
          <w:spacing w:val="-4"/>
        </w:rPr>
        <w:t xml:space="preserve">plochy v nestátní administrativní </w:t>
      </w:r>
      <w:r w:rsidR="00875AC1">
        <w:rPr>
          <w:spacing w:val="-4"/>
        </w:rPr>
        <w:t>budově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 xml:space="preserve">nebo nabytí administrativní </w:t>
      </w:r>
      <w:r w:rsidR="00875AC1">
        <w:rPr>
          <w:spacing w:val="-4"/>
        </w:rPr>
        <w:t>budovy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>či kancelářské plochy od</w:t>
      </w:r>
      <w:r w:rsidR="00EB45F0">
        <w:rPr>
          <w:spacing w:val="-4"/>
        </w:rPr>
        <w:t> </w:t>
      </w:r>
      <w:r w:rsidRPr="004375A7">
        <w:rPr>
          <w:spacing w:val="-4"/>
        </w:rPr>
        <w:t>státní organizace, na kterou se nevztahuje působnost zákona č. 219/2000 Sb.</w:t>
      </w:r>
      <w:r w:rsidR="00193D50" w:rsidRPr="004375A7">
        <w:rPr>
          <w:rFonts w:cs="Arial"/>
          <w:szCs w:val="22"/>
        </w:rPr>
        <w:t>, o majetku České republiky a jejím vystupování v právních vztazích, ve znění pozdějších předpisů</w:t>
      </w:r>
      <w:r w:rsidR="00193D50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:rsidR="00B94CED" w:rsidRPr="004375A7" w:rsidRDefault="00B94CED" w:rsidP="0060618E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1717D4" w:rsidRPr="00484FFE" w:rsidRDefault="001717D4" w:rsidP="001717D4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 w:rsidRPr="00484FFE">
        <w:rPr>
          <w:rFonts w:cs="Arial"/>
          <w:szCs w:val="22"/>
        </w:rPr>
        <w:t>Krámská č.</w:t>
      </w:r>
      <w:r>
        <w:rPr>
          <w:rFonts w:cs="Arial"/>
          <w:szCs w:val="22"/>
        </w:rPr>
        <w:t xml:space="preserve"> </w:t>
      </w:r>
      <w:r w:rsidRPr="00484FFE">
        <w:rPr>
          <w:rFonts w:cs="Arial"/>
          <w:szCs w:val="22"/>
        </w:rPr>
        <w:t>p. 246/2, Plzeň</w:t>
      </w:r>
      <w:r w:rsidRPr="00484FFE">
        <w:rPr>
          <w:rFonts w:cs="Arial"/>
          <w:b/>
          <w:szCs w:val="22"/>
        </w:rPr>
        <w:t xml:space="preserve"> – </w:t>
      </w:r>
      <w:r w:rsidRPr="00484FFE">
        <w:rPr>
          <w:rFonts w:cs="Arial"/>
          <w:szCs w:val="22"/>
        </w:rPr>
        <w:t>Vnitřní Město</w:t>
      </w:r>
    </w:p>
    <w:p w:rsidR="001717D4" w:rsidRPr="00484FFE" w:rsidRDefault="0089783B" w:rsidP="001717D4">
      <w:pPr>
        <w:pStyle w:val="Zkladntextodsazen"/>
        <w:numPr>
          <w:ilvl w:val="0"/>
          <w:numId w:val="3"/>
        </w:numPr>
        <w:spacing w:before="0" w:after="0"/>
        <w:ind w:left="426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p</w:t>
      </w:r>
      <w:r w:rsidR="001717D4" w:rsidRPr="00484FFE">
        <w:rPr>
          <w:rFonts w:eastAsia="Arial Unicode MS" w:cs="Arial"/>
          <w:szCs w:val="22"/>
        </w:rPr>
        <w:t>ozemek parc. č. 11/1, jehož součástí je stavba č.</w:t>
      </w:r>
      <w:r w:rsidR="001717D4">
        <w:rPr>
          <w:rFonts w:eastAsia="Arial Unicode MS" w:cs="Arial"/>
          <w:szCs w:val="22"/>
        </w:rPr>
        <w:t xml:space="preserve"> </w:t>
      </w:r>
      <w:r w:rsidR="001717D4" w:rsidRPr="00484FFE">
        <w:rPr>
          <w:rFonts w:eastAsia="Arial Unicode MS" w:cs="Arial"/>
          <w:szCs w:val="22"/>
        </w:rPr>
        <w:t xml:space="preserve">p. 246, část obce Vnitřní Město, vše zapsané na listu vlastnictví č. 1 v katastru nemovitostí vedeném </w:t>
      </w:r>
      <w:r w:rsidR="001717D4" w:rsidRPr="00484FFE">
        <w:rPr>
          <w:rFonts w:cs="Arial"/>
          <w:szCs w:val="22"/>
        </w:rPr>
        <w:t>Katastrálním úřadem pro</w:t>
      </w:r>
      <w:r w:rsidR="00EB45F0">
        <w:rPr>
          <w:rFonts w:cs="Arial"/>
          <w:szCs w:val="22"/>
        </w:rPr>
        <w:t> </w:t>
      </w:r>
      <w:r w:rsidR="001717D4" w:rsidRPr="00484FFE">
        <w:rPr>
          <w:rFonts w:cs="Arial"/>
          <w:szCs w:val="22"/>
        </w:rPr>
        <w:t xml:space="preserve">Plzeňský kraj, katastrální pracoviště Plzeň, pro </w:t>
      </w:r>
      <w:r w:rsidR="001717D4" w:rsidRPr="00484FFE">
        <w:rPr>
          <w:rFonts w:eastAsia="Arial Unicode MS" w:cs="Arial"/>
          <w:szCs w:val="22"/>
        </w:rPr>
        <w:t>katastrální území Plzeň)</w:t>
      </w:r>
    </w:p>
    <w:p w:rsidR="001717D4" w:rsidRPr="00484FFE" w:rsidRDefault="001717D4" w:rsidP="001717D4">
      <w:pPr>
        <w:pStyle w:val="Zkladntextodsazen"/>
        <w:numPr>
          <w:ilvl w:val="0"/>
          <w:numId w:val="3"/>
        </w:numPr>
        <w:spacing w:before="0" w:after="0"/>
        <w:ind w:left="426"/>
        <w:rPr>
          <w:rFonts w:cs="Arial"/>
          <w:i/>
          <w:szCs w:val="22"/>
        </w:rPr>
      </w:pPr>
      <w:r w:rsidRPr="00484FFE">
        <w:rPr>
          <w:rFonts w:eastAsia="Arial Unicode MS" w:cs="Arial"/>
          <w:szCs w:val="22"/>
        </w:rPr>
        <w:t>ID v CRAB: 951753</w:t>
      </w:r>
    </w:p>
    <w:p w:rsidR="00B94CED" w:rsidRPr="004375A7" w:rsidRDefault="00B94CED" w:rsidP="0060618E">
      <w:pPr>
        <w:pStyle w:val="Nadpis3"/>
      </w:pPr>
      <w:r w:rsidRPr="004375A7">
        <w:t>Odůvodnění navrhované dispozice</w:t>
      </w:r>
    </w:p>
    <w:p w:rsidR="00B94CED" w:rsidRPr="004375A7" w:rsidRDefault="00B94CED" w:rsidP="0060618E">
      <w:pPr>
        <w:pStyle w:val="Bezmezer"/>
      </w:pPr>
      <w:r w:rsidRPr="004375A7">
        <w:t>(Pozn.:</w:t>
      </w:r>
    </w:p>
    <w:p w:rsidR="00B94CED" w:rsidRPr="004375A7" w:rsidRDefault="00B94CED" w:rsidP="0060618E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:rsidR="00B94CED" w:rsidRPr="004375A7" w:rsidRDefault="00B94CED" w:rsidP="0060618E">
      <w:pPr>
        <w:pStyle w:val="Bezmezer"/>
        <w:numPr>
          <w:ilvl w:val="0"/>
          <w:numId w:val="3"/>
        </w:numPr>
      </w:pPr>
      <w:r w:rsidRPr="004375A7">
        <w:rPr>
          <w:bCs/>
        </w:rPr>
        <w:t>vymezení subjektu, kterého se návrh týká</w:t>
      </w:r>
    </w:p>
    <w:p w:rsidR="00B94CED" w:rsidRPr="004375A7" w:rsidRDefault="00B94CED" w:rsidP="0060618E">
      <w:pPr>
        <w:pStyle w:val="Bezmezer"/>
        <w:numPr>
          <w:ilvl w:val="0"/>
          <w:numId w:val="3"/>
        </w:numPr>
      </w:pPr>
      <w:r w:rsidRPr="004375A7">
        <w:rPr>
          <w:bCs/>
        </w:rPr>
        <w:t>vyhodnocení možnosti využít disponibilních prostor v majetku státu</w:t>
      </w:r>
    </w:p>
    <w:p w:rsidR="00B94CED" w:rsidRPr="004375A7" w:rsidRDefault="00B94CED" w:rsidP="0060618E">
      <w:pPr>
        <w:pStyle w:val="Bezmezer"/>
        <w:numPr>
          <w:ilvl w:val="0"/>
          <w:numId w:val="3"/>
        </w:numPr>
      </w:pPr>
      <w:r w:rsidRPr="004375A7">
        <w:t>vyhodnocení komerčních nabídek, vč. srovnání průměrného v CRAB evidovaného nájemného hrazeného státními institucemi s požadovaným nájemným)</w:t>
      </w:r>
    </w:p>
    <w:p w:rsidR="00B94CED" w:rsidRPr="004375A7" w:rsidRDefault="00B94CED" w:rsidP="0060618E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lastRenderedPageBreak/>
        <w:t>Příklad:</w:t>
      </w:r>
    </w:p>
    <w:p w:rsidR="001717D4" w:rsidRPr="00484FFE" w:rsidRDefault="001717D4" w:rsidP="001717D4">
      <w:pPr>
        <w:spacing w:before="0"/>
        <w:rPr>
          <w:rFonts w:cs="Arial"/>
          <w:bCs/>
          <w:szCs w:val="22"/>
        </w:rPr>
      </w:pPr>
      <w:r w:rsidRPr="00484FFE">
        <w:rPr>
          <w:rFonts w:cs="Arial"/>
          <w:bCs/>
          <w:szCs w:val="22"/>
          <w:u w:val="single"/>
        </w:rPr>
        <w:t xml:space="preserve">Nejvyšší kontrolní úřad </w:t>
      </w:r>
      <w:r w:rsidRPr="00484FFE">
        <w:rPr>
          <w:rFonts w:cs="Arial"/>
          <w:bCs/>
          <w:szCs w:val="22"/>
        </w:rPr>
        <w:t>(dále jen „NKÚ“) – na základě Rozhodnutí RDK č. Plzeň 11/2012 umístil NKÚ své pracoviště Územního odboru Plzeň v </w:t>
      </w:r>
      <w:r w:rsidR="00C94896">
        <w:rPr>
          <w:rFonts w:cs="Arial"/>
          <w:bCs/>
          <w:szCs w:val="22"/>
        </w:rPr>
        <w:t>budově</w:t>
      </w:r>
      <w:r w:rsidRPr="00484FFE">
        <w:rPr>
          <w:rFonts w:cs="Arial"/>
          <w:bCs/>
          <w:szCs w:val="22"/>
        </w:rPr>
        <w:t xml:space="preserve"> </w:t>
      </w:r>
      <w:r w:rsidRPr="00484FFE">
        <w:rPr>
          <w:rFonts w:cs="Arial"/>
          <w:szCs w:val="22"/>
        </w:rPr>
        <w:t>Krámská č.</w:t>
      </w:r>
      <w:r>
        <w:rPr>
          <w:rFonts w:cs="Arial"/>
          <w:szCs w:val="22"/>
        </w:rPr>
        <w:t xml:space="preserve"> </w:t>
      </w:r>
      <w:r w:rsidRPr="00484FFE">
        <w:rPr>
          <w:rFonts w:cs="Arial"/>
          <w:szCs w:val="22"/>
        </w:rPr>
        <w:t>p. 246</w:t>
      </w:r>
      <w:r w:rsidRPr="00484FFE">
        <w:rPr>
          <w:rFonts w:cs="Arial"/>
          <w:bCs/>
          <w:szCs w:val="22"/>
        </w:rPr>
        <w:t>. V souvislosti s rozšířením kontrolních kompetencí NKÚ je potřeba zvýšit počet zaměstnanců jednotlivých územních odborů. V případě pracoviště v Plzni se jedná o navýšení o 7 zaměstnanců.</w:t>
      </w:r>
    </w:p>
    <w:p w:rsidR="001717D4" w:rsidRPr="00484FFE" w:rsidRDefault="001717D4" w:rsidP="001717D4">
      <w:pPr>
        <w:rPr>
          <w:rFonts w:cs="Arial"/>
          <w:bCs/>
          <w:szCs w:val="22"/>
        </w:rPr>
      </w:pPr>
      <w:r w:rsidRPr="00484FFE">
        <w:rPr>
          <w:rFonts w:cs="Arial"/>
          <w:bCs/>
          <w:szCs w:val="22"/>
        </w:rPr>
        <w:t xml:space="preserve">Stávající pronajaté prostory ale již neumožňují zefektivnit jejich využití umístěním dalších pracovních stanic. </w:t>
      </w:r>
    </w:p>
    <w:p w:rsidR="001717D4" w:rsidRPr="00484FFE" w:rsidRDefault="001717D4" w:rsidP="001717D4">
      <w:pPr>
        <w:rPr>
          <w:rFonts w:cs="Arial"/>
          <w:bCs/>
          <w:szCs w:val="22"/>
        </w:rPr>
      </w:pPr>
      <w:r w:rsidRPr="00484FFE">
        <w:rPr>
          <w:rFonts w:cs="Arial"/>
          <w:bCs/>
          <w:szCs w:val="22"/>
        </w:rPr>
        <w:t>Proto NKÚ přistoupil k šetření možnosti umístit všech 25 zaměstnanců nebo alespoň navyšovaných 7 zaměstnanců do volných nebo pronajímaných prostor v </w:t>
      </w:r>
      <w:r w:rsidR="00C94896">
        <w:rPr>
          <w:rFonts w:cs="Arial"/>
          <w:bCs/>
          <w:szCs w:val="22"/>
        </w:rPr>
        <w:t>budově</w:t>
      </w:r>
      <w:r w:rsidRPr="00484FFE">
        <w:rPr>
          <w:rFonts w:cs="Arial"/>
          <w:bCs/>
          <w:szCs w:val="22"/>
        </w:rPr>
        <w:t xml:space="preserve"> v majetku státu</w:t>
      </w:r>
      <w:r>
        <w:rPr>
          <w:rFonts w:cs="Arial"/>
          <w:bCs/>
          <w:szCs w:val="22"/>
        </w:rPr>
        <w:t>.</w:t>
      </w:r>
    </w:p>
    <w:p w:rsidR="001717D4" w:rsidRPr="00484FFE" w:rsidRDefault="001717D4" w:rsidP="008D3C23">
      <w:pPr>
        <w:spacing w:after="0"/>
        <w:rPr>
          <w:rFonts w:cs="Arial"/>
          <w:bCs/>
          <w:szCs w:val="22"/>
        </w:rPr>
      </w:pPr>
      <w:r w:rsidRPr="00484FFE">
        <w:rPr>
          <w:rFonts w:cs="Arial"/>
          <w:bCs/>
          <w:szCs w:val="22"/>
        </w:rPr>
        <w:t>Z evidence v CRAB vyplynulo, že volnou plochou pro umíst</w:t>
      </w:r>
      <w:r w:rsidR="00C94896">
        <w:rPr>
          <w:rFonts w:cs="Arial"/>
          <w:bCs/>
          <w:szCs w:val="22"/>
        </w:rPr>
        <w:t>ění celého územního odboru žádná</w:t>
      </w:r>
      <w:r w:rsidRPr="00484FFE">
        <w:rPr>
          <w:rFonts w:cs="Arial"/>
          <w:bCs/>
          <w:szCs w:val="22"/>
        </w:rPr>
        <w:t xml:space="preserve"> z </w:t>
      </w:r>
      <w:r w:rsidR="00C94896">
        <w:rPr>
          <w:rFonts w:cs="Arial"/>
          <w:bCs/>
          <w:szCs w:val="22"/>
        </w:rPr>
        <w:t>budov</w:t>
      </w:r>
      <w:r w:rsidRPr="00484FFE">
        <w:rPr>
          <w:rFonts w:cs="Arial"/>
          <w:bCs/>
          <w:szCs w:val="22"/>
        </w:rPr>
        <w:t xml:space="preserve"> nedisponuje. Volné plochy pro umístění nových zaměstnanců CRAB eviduje u:</w:t>
      </w:r>
    </w:p>
    <w:p w:rsidR="001717D4" w:rsidRPr="00484FFE" w:rsidRDefault="00C94896" w:rsidP="001717D4">
      <w:pPr>
        <w:numPr>
          <w:ilvl w:val="0"/>
          <w:numId w:val="3"/>
        </w:numPr>
        <w:spacing w:before="0" w:after="0"/>
        <w:ind w:left="426"/>
        <w:rPr>
          <w:rFonts w:cs="Arial"/>
          <w:szCs w:val="22"/>
        </w:rPr>
      </w:pPr>
      <w:r>
        <w:rPr>
          <w:rFonts w:cs="Arial"/>
          <w:bCs/>
          <w:szCs w:val="22"/>
        </w:rPr>
        <w:t>budovy</w:t>
      </w:r>
      <w:r w:rsidR="001717D4" w:rsidRPr="00484FFE">
        <w:rPr>
          <w:rFonts w:cs="Arial"/>
          <w:bCs/>
          <w:szCs w:val="22"/>
        </w:rPr>
        <w:t xml:space="preserve"> Generálního ředitelství cel Východní č.</w:t>
      </w:r>
      <w:r w:rsidR="001717D4">
        <w:rPr>
          <w:rFonts w:cs="Arial"/>
          <w:bCs/>
          <w:szCs w:val="22"/>
        </w:rPr>
        <w:t xml:space="preserve"> </w:t>
      </w:r>
      <w:r w:rsidR="001717D4" w:rsidRPr="00484FFE">
        <w:rPr>
          <w:rFonts w:cs="Arial"/>
          <w:bCs/>
          <w:szCs w:val="22"/>
        </w:rPr>
        <w:t>p. 87, Plzeň – Východní předměstí. Při</w:t>
      </w:r>
      <w:r w:rsidR="00EB45F0">
        <w:rPr>
          <w:rFonts w:cs="Arial"/>
          <w:bCs/>
          <w:szCs w:val="22"/>
        </w:rPr>
        <w:t> </w:t>
      </w:r>
      <w:r w:rsidR="001717D4" w:rsidRPr="00484FFE">
        <w:rPr>
          <w:rFonts w:cs="Arial"/>
          <w:bCs/>
          <w:szCs w:val="22"/>
        </w:rPr>
        <w:t>ověřování využitelnosti bylo zjištěno, že se sice jedná o volné kancelářské prostory o výměře 100 m</w:t>
      </w:r>
      <w:r w:rsidR="001717D4" w:rsidRPr="00484FFE">
        <w:rPr>
          <w:rFonts w:cs="Arial"/>
          <w:bCs/>
          <w:szCs w:val="22"/>
          <w:vertAlign w:val="superscript"/>
        </w:rPr>
        <w:t>2</w:t>
      </w:r>
      <w:r w:rsidR="001717D4" w:rsidRPr="00484FFE">
        <w:rPr>
          <w:rFonts w:cs="Arial"/>
          <w:bCs/>
          <w:szCs w:val="22"/>
        </w:rPr>
        <w:t xml:space="preserve">, jejich okamžité využití pro NKÚ je však nereálné. Prostory se nacházejí v podkroví </w:t>
      </w:r>
      <w:r>
        <w:rPr>
          <w:rFonts w:cs="Arial"/>
          <w:bCs/>
          <w:szCs w:val="22"/>
        </w:rPr>
        <w:t>budovy</w:t>
      </w:r>
      <w:r w:rsidR="001717D4" w:rsidRPr="00484FFE">
        <w:rPr>
          <w:rFonts w:cs="Arial"/>
          <w:bCs/>
          <w:szCs w:val="22"/>
        </w:rPr>
        <w:t>, které není vybaveno příslušnou infrastrukturou (počítačová a</w:t>
      </w:r>
      <w:r w:rsidR="00EB45F0">
        <w:rPr>
          <w:rFonts w:cs="Arial"/>
          <w:bCs/>
          <w:szCs w:val="22"/>
        </w:rPr>
        <w:t> </w:t>
      </w:r>
      <w:r w:rsidR="001717D4" w:rsidRPr="00484FFE">
        <w:rPr>
          <w:rFonts w:cs="Arial"/>
          <w:bCs/>
          <w:szCs w:val="22"/>
        </w:rPr>
        <w:t xml:space="preserve">telekomunikační síť), </w:t>
      </w:r>
    </w:p>
    <w:p w:rsidR="001717D4" w:rsidRPr="00484FFE" w:rsidRDefault="00C94896" w:rsidP="001717D4">
      <w:pPr>
        <w:numPr>
          <w:ilvl w:val="0"/>
          <w:numId w:val="3"/>
        </w:numPr>
        <w:spacing w:before="0" w:after="0"/>
        <w:ind w:left="426"/>
        <w:rPr>
          <w:rFonts w:cs="Arial"/>
          <w:szCs w:val="22"/>
        </w:rPr>
      </w:pPr>
      <w:r>
        <w:rPr>
          <w:rFonts w:cs="Arial"/>
          <w:bCs/>
          <w:szCs w:val="22"/>
        </w:rPr>
        <w:t>budovy</w:t>
      </w:r>
      <w:r w:rsidR="001717D4" w:rsidRPr="00484FFE">
        <w:rPr>
          <w:rFonts w:cs="Arial"/>
          <w:bCs/>
          <w:szCs w:val="22"/>
        </w:rPr>
        <w:t xml:space="preserve"> Zdravotního ústavu se sídlem v Ústí nad Labem Jižní č.</w:t>
      </w:r>
      <w:r w:rsidR="001717D4">
        <w:rPr>
          <w:rFonts w:cs="Arial"/>
          <w:bCs/>
          <w:szCs w:val="22"/>
        </w:rPr>
        <w:t xml:space="preserve"> </w:t>
      </w:r>
      <w:r w:rsidR="001717D4" w:rsidRPr="00484FFE">
        <w:rPr>
          <w:rFonts w:cs="Arial"/>
          <w:bCs/>
          <w:szCs w:val="22"/>
        </w:rPr>
        <w:t xml:space="preserve">p. 1323, Plzeň – Jižní Předměstí. Podle obdržené informace se však u </w:t>
      </w:r>
      <w:r>
        <w:rPr>
          <w:rFonts w:cs="Arial"/>
          <w:bCs/>
          <w:szCs w:val="22"/>
        </w:rPr>
        <w:t>budovy</w:t>
      </w:r>
      <w:r w:rsidR="001717D4" w:rsidRPr="00484FFE">
        <w:rPr>
          <w:rFonts w:cs="Arial"/>
          <w:bCs/>
          <w:szCs w:val="22"/>
        </w:rPr>
        <w:t xml:space="preserve"> bude v závěru roku 20</w:t>
      </w:r>
      <w:r>
        <w:rPr>
          <w:rFonts w:cs="Arial"/>
          <w:bCs/>
          <w:szCs w:val="22"/>
        </w:rPr>
        <w:t>2</w:t>
      </w:r>
      <w:r w:rsidR="001717D4" w:rsidRPr="00484FFE">
        <w:rPr>
          <w:rFonts w:cs="Arial"/>
          <w:bCs/>
          <w:szCs w:val="22"/>
        </w:rPr>
        <w:t>1 zahájena totální rekonstrukce (v současné době probíhá výběr dodavate</w:t>
      </w:r>
      <w:r>
        <w:rPr>
          <w:rFonts w:cs="Arial"/>
          <w:bCs/>
          <w:szCs w:val="22"/>
        </w:rPr>
        <w:t>le stavebních prací). Proto i ta</w:t>
      </w:r>
      <w:r w:rsidR="001717D4" w:rsidRPr="00484FFE">
        <w:rPr>
          <w:rFonts w:cs="Arial"/>
          <w:bCs/>
          <w:szCs w:val="22"/>
        </w:rPr>
        <w:t xml:space="preserve">to státní </w:t>
      </w:r>
      <w:r w:rsidR="00F059A6">
        <w:rPr>
          <w:rFonts w:cs="Arial"/>
          <w:bCs/>
          <w:szCs w:val="22"/>
        </w:rPr>
        <w:t>bu</w:t>
      </w:r>
      <w:r>
        <w:rPr>
          <w:rFonts w:cs="Arial"/>
          <w:bCs/>
          <w:szCs w:val="22"/>
        </w:rPr>
        <w:t>dova</w:t>
      </w:r>
      <w:r w:rsidR="001717D4" w:rsidRPr="00484FFE">
        <w:rPr>
          <w:rFonts w:cs="Arial"/>
          <w:bCs/>
          <w:szCs w:val="22"/>
        </w:rPr>
        <w:t xml:space="preserve"> je pro umístění zaměstnanců NKÚ nevhodn</w:t>
      </w:r>
      <w:r>
        <w:rPr>
          <w:rFonts w:cs="Arial"/>
          <w:bCs/>
          <w:szCs w:val="22"/>
        </w:rPr>
        <w:t>á</w:t>
      </w:r>
      <w:r w:rsidR="001717D4" w:rsidRPr="00484FFE">
        <w:rPr>
          <w:rFonts w:cs="Arial"/>
          <w:bCs/>
          <w:szCs w:val="22"/>
        </w:rPr>
        <w:t>.</w:t>
      </w:r>
    </w:p>
    <w:p w:rsidR="001717D4" w:rsidRPr="00484FFE" w:rsidRDefault="001717D4" w:rsidP="001717D4">
      <w:pPr>
        <w:rPr>
          <w:rFonts w:cs="Arial"/>
          <w:szCs w:val="22"/>
        </w:rPr>
      </w:pPr>
      <w:r w:rsidRPr="00484FFE">
        <w:rPr>
          <w:rFonts w:cs="Arial"/>
          <w:szCs w:val="22"/>
        </w:rPr>
        <w:t>V </w:t>
      </w:r>
      <w:r w:rsidR="00C94896">
        <w:rPr>
          <w:rFonts w:cs="Arial"/>
          <w:szCs w:val="22"/>
        </w:rPr>
        <w:t>budovách</w:t>
      </w:r>
      <w:r w:rsidRPr="00484FFE">
        <w:rPr>
          <w:rFonts w:cs="Arial"/>
          <w:szCs w:val="22"/>
        </w:rPr>
        <w:t xml:space="preserve"> v majetku státu není pronajímaná plocha, která by byla dostatečná pro umístění zaměstnanců NKÚ.</w:t>
      </w:r>
    </w:p>
    <w:p w:rsidR="001717D4" w:rsidRPr="00484FFE" w:rsidRDefault="001717D4" w:rsidP="001717D4">
      <w:pPr>
        <w:rPr>
          <w:rFonts w:cs="Arial"/>
          <w:szCs w:val="22"/>
        </w:rPr>
      </w:pPr>
      <w:r w:rsidRPr="00484FFE">
        <w:rPr>
          <w:rFonts w:cs="Arial"/>
          <w:szCs w:val="22"/>
        </w:rPr>
        <w:t>NKÚ proto přistoupil k prověření nabídky komerčních kancelářských prostor. NKÚ požádal Statutární město Plzeň o informaci, zda v </w:t>
      </w:r>
      <w:r w:rsidR="00C94896">
        <w:rPr>
          <w:rFonts w:cs="Arial"/>
          <w:szCs w:val="22"/>
        </w:rPr>
        <w:t>budově</w:t>
      </w:r>
      <w:r w:rsidRPr="00484FFE">
        <w:rPr>
          <w:rFonts w:cs="Arial"/>
          <w:szCs w:val="22"/>
        </w:rPr>
        <w:t xml:space="preserve"> Krámská není vhodná volná plocha pro</w:t>
      </w:r>
      <w:r w:rsidR="00EB45F0">
        <w:rPr>
          <w:rFonts w:cs="Arial"/>
          <w:szCs w:val="22"/>
        </w:rPr>
        <w:t> </w:t>
      </w:r>
      <w:r w:rsidRPr="00484FFE">
        <w:rPr>
          <w:rFonts w:cs="Arial"/>
          <w:szCs w:val="22"/>
        </w:rPr>
        <w:t>umístění dalších 7 zaměstnanců. Podle sdělení města je možné vyčlenit pro potřeby NKÚ další blok kancelářských prostor o výměře 86 m</w:t>
      </w:r>
      <w:r w:rsidRPr="00484FFE">
        <w:rPr>
          <w:rFonts w:cs="Arial"/>
          <w:szCs w:val="22"/>
          <w:vertAlign w:val="superscript"/>
        </w:rPr>
        <w:t>2</w:t>
      </w:r>
      <w:r w:rsidRPr="00484FFE">
        <w:rPr>
          <w:rFonts w:cs="Arial"/>
          <w:szCs w:val="22"/>
        </w:rPr>
        <w:t xml:space="preserve">. </w:t>
      </w:r>
    </w:p>
    <w:p w:rsidR="001717D4" w:rsidRPr="00484FFE" w:rsidRDefault="001717D4" w:rsidP="001717D4">
      <w:pPr>
        <w:rPr>
          <w:rFonts w:cs="Arial"/>
          <w:szCs w:val="22"/>
        </w:rPr>
      </w:pPr>
      <w:r w:rsidRPr="00484FFE">
        <w:rPr>
          <w:rFonts w:cs="Arial"/>
          <w:szCs w:val="22"/>
        </w:rPr>
        <w:t xml:space="preserve">Požadované nájemné je stejně jako </w:t>
      </w:r>
      <w:r>
        <w:rPr>
          <w:rFonts w:cs="Arial"/>
          <w:spacing w:val="-2"/>
          <w:szCs w:val="22"/>
        </w:rPr>
        <w:t>v případě</w:t>
      </w:r>
      <w:r w:rsidRPr="00484FFE">
        <w:rPr>
          <w:rFonts w:cs="Arial"/>
          <w:spacing w:val="-2"/>
          <w:szCs w:val="22"/>
        </w:rPr>
        <w:t xml:space="preserve"> stávajících prostor snížené na </w:t>
      </w:r>
      <w:r w:rsidRPr="00484FFE">
        <w:rPr>
          <w:rFonts w:cs="Arial"/>
          <w:szCs w:val="22"/>
        </w:rPr>
        <w:t>výši 890 Kč/m</w:t>
      </w:r>
      <w:r w:rsidRPr="00484FFE">
        <w:rPr>
          <w:rFonts w:cs="Arial"/>
          <w:szCs w:val="22"/>
          <w:vertAlign w:val="superscript"/>
        </w:rPr>
        <w:t>2</w:t>
      </w:r>
      <w:r w:rsidRPr="00484FFE">
        <w:rPr>
          <w:rFonts w:cs="Arial"/>
          <w:szCs w:val="22"/>
        </w:rPr>
        <w:t>/rok</w:t>
      </w:r>
      <w:r w:rsidRPr="00484FFE">
        <w:rPr>
          <w:rFonts w:cs="Arial"/>
          <w:spacing w:val="-2"/>
          <w:szCs w:val="22"/>
        </w:rPr>
        <w:t xml:space="preserve"> oproti </w:t>
      </w:r>
      <w:r w:rsidR="000D781E">
        <w:rPr>
          <w:rFonts w:cs="Arial"/>
          <w:spacing w:val="-2"/>
          <w:szCs w:val="22"/>
        </w:rPr>
        <w:t xml:space="preserve">průměrné </w:t>
      </w:r>
      <w:r w:rsidRPr="00484FFE">
        <w:rPr>
          <w:rFonts w:cs="Arial"/>
          <w:spacing w:val="-2"/>
          <w:szCs w:val="22"/>
        </w:rPr>
        <w:t>ceně nájemného zjištěné z evidence v CRAB, které činí 1</w:t>
      </w:r>
      <w:r w:rsidR="008D3C23">
        <w:rPr>
          <w:rFonts w:cs="Arial"/>
          <w:spacing w:val="-2"/>
          <w:szCs w:val="22"/>
        </w:rPr>
        <w:t> </w:t>
      </w:r>
      <w:r w:rsidRPr="00484FFE">
        <w:rPr>
          <w:rFonts w:cs="Arial"/>
          <w:spacing w:val="-2"/>
          <w:szCs w:val="22"/>
        </w:rPr>
        <w:t>820</w:t>
      </w:r>
      <w:r w:rsidR="008D3C23">
        <w:rPr>
          <w:rFonts w:cs="Arial"/>
          <w:spacing w:val="-2"/>
          <w:szCs w:val="22"/>
        </w:rPr>
        <w:t> </w:t>
      </w:r>
      <w:r w:rsidRPr="00484FFE">
        <w:rPr>
          <w:rFonts w:cs="Arial"/>
          <w:spacing w:val="-2"/>
          <w:szCs w:val="22"/>
        </w:rPr>
        <w:t>Kč/m</w:t>
      </w:r>
      <w:r w:rsidRPr="00484FFE">
        <w:rPr>
          <w:rFonts w:cs="Arial"/>
          <w:spacing w:val="-2"/>
          <w:szCs w:val="22"/>
          <w:vertAlign w:val="superscript"/>
        </w:rPr>
        <w:t>2</w:t>
      </w:r>
      <w:r w:rsidRPr="00484FFE">
        <w:rPr>
          <w:rFonts w:cs="Arial"/>
          <w:spacing w:val="-2"/>
          <w:szCs w:val="22"/>
        </w:rPr>
        <w:t>/rok</w:t>
      </w:r>
      <w:r w:rsidRPr="00484FFE">
        <w:rPr>
          <w:rFonts w:cs="Arial"/>
          <w:szCs w:val="22"/>
        </w:rPr>
        <w:t>.</w:t>
      </w:r>
    </w:p>
    <w:p w:rsidR="001717D4" w:rsidRPr="00484FFE" w:rsidRDefault="001717D4" w:rsidP="001717D4">
      <w:pPr>
        <w:rPr>
          <w:rFonts w:cs="Arial"/>
          <w:szCs w:val="22"/>
        </w:rPr>
      </w:pPr>
      <w:r w:rsidRPr="00484FFE">
        <w:rPr>
          <w:rFonts w:cs="Arial"/>
          <w:szCs w:val="22"/>
        </w:rPr>
        <w:t>Vzhledem k této skutečnosti NKÚ již nepoptával další pronajímatele.</w:t>
      </w:r>
    </w:p>
    <w:p w:rsidR="001717D4" w:rsidRPr="00484FFE" w:rsidRDefault="001717D4" w:rsidP="001717D4">
      <w:pPr>
        <w:pStyle w:val="Zkladntextodsazen"/>
        <w:ind w:firstLine="0"/>
        <w:rPr>
          <w:rFonts w:cs="Arial"/>
          <w:szCs w:val="22"/>
        </w:rPr>
      </w:pPr>
      <w:r w:rsidRPr="00484FFE">
        <w:rPr>
          <w:rFonts w:cs="Arial"/>
          <w:szCs w:val="22"/>
        </w:rPr>
        <w:t xml:space="preserve">Popis využití </w:t>
      </w:r>
      <w:r>
        <w:rPr>
          <w:rFonts w:cs="Arial"/>
          <w:szCs w:val="22"/>
        </w:rPr>
        <w:t>budov</w:t>
      </w:r>
      <w:r w:rsidRPr="00484FFE">
        <w:rPr>
          <w:rFonts w:cs="Arial"/>
          <w:szCs w:val="22"/>
        </w:rPr>
        <w:t xml:space="preserve"> je uveden v části III. Příloha.</w:t>
      </w:r>
    </w:p>
    <w:p w:rsidR="00B94CED" w:rsidRPr="004375A7" w:rsidRDefault="001717D4" w:rsidP="001717D4">
      <w:pPr>
        <w:pStyle w:val="Nadpis3"/>
      </w:pPr>
      <w:r>
        <w:t>Ekonomický dopad</w:t>
      </w:r>
    </w:p>
    <w:p w:rsidR="00B94CED" w:rsidRPr="004375A7" w:rsidRDefault="00B94CED" w:rsidP="0060618E">
      <w:pPr>
        <w:pStyle w:val="Bezmezer"/>
      </w:pPr>
      <w:r w:rsidRPr="004375A7">
        <w:t xml:space="preserve">(Pozn.: </w:t>
      </w:r>
    </w:p>
    <w:p w:rsidR="00B94CED" w:rsidRPr="004375A7" w:rsidRDefault="00B94CED" w:rsidP="0060618E">
      <w:pPr>
        <w:pStyle w:val="Bezmezer"/>
        <w:numPr>
          <w:ilvl w:val="0"/>
          <w:numId w:val="3"/>
        </w:numPr>
      </w:pPr>
      <w:r w:rsidRPr="004375A7">
        <w:t xml:space="preserve">srovnání ročních výdajů na provoz a údržbu </w:t>
      </w:r>
      <w:r w:rsidR="00C02FD8">
        <w:t>budovy</w:t>
      </w:r>
      <w:r w:rsidRPr="004375A7">
        <w:t>; za nájemné; na rekonstrukce /před změnou a po změně/</w:t>
      </w:r>
    </w:p>
    <w:p w:rsidR="00B94CED" w:rsidRPr="004375A7" w:rsidRDefault="00B94CED" w:rsidP="008D3C23">
      <w:pPr>
        <w:pStyle w:val="Bezmezer"/>
        <w:numPr>
          <w:ilvl w:val="0"/>
          <w:numId w:val="3"/>
        </w:numPr>
      </w:pPr>
      <w:r w:rsidRPr="004375A7">
        <w:t>srovnání ročních příjmů před změnou a po změně)</w:t>
      </w:r>
    </w:p>
    <w:p w:rsidR="00B94CED" w:rsidRPr="004375A7" w:rsidRDefault="00B94CED" w:rsidP="0060618E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60618E">
      <w:pPr>
        <w:pStyle w:val="Zkladntextodsazen"/>
        <w:spacing w:before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Roční výdaje na provoz a údržbu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(v tis. Kč)</w:t>
      </w:r>
    </w:p>
    <w:tbl>
      <w:tblPr>
        <w:tblW w:w="4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057"/>
      </w:tblGrid>
      <w:tr w:rsidR="001717D4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D4" w:rsidRPr="00484FFE" w:rsidRDefault="001717D4" w:rsidP="00A61EC6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484FFE">
              <w:rPr>
                <w:rFonts w:cs="Arial"/>
                <w:b/>
                <w:szCs w:val="22"/>
              </w:rPr>
              <w:t>Krámská č.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484FFE">
              <w:rPr>
                <w:rFonts w:cs="Arial"/>
                <w:b/>
                <w:szCs w:val="22"/>
              </w:rPr>
              <w:t>p. 246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D4" w:rsidRPr="00484FFE" w:rsidRDefault="001717D4" w:rsidP="00A61EC6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84FFE">
              <w:rPr>
                <w:rFonts w:cs="Arial"/>
                <w:szCs w:val="22"/>
                <w:lang w:eastAsia="en-US"/>
              </w:rPr>
              <w:t>NKÚ</w:t>
            </w:r>
          </w:p>
        </w:tc>
      </w:tr>
      <w:tr w:rsidR="001717D4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D4" w:rsidRPr="00484FFE" w:rsidRDefault="001717D4" w:rsidP="00A61EC6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484FFE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D4" w:rsidRPr="00484FFE" w:rsidRDefault="001717D4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277</w:t>
            </w:r>
          </w:p>
        </w:tc>
      </w:tr>
      <w:tr w:rsidR="001717D4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D4" w:rsidRPr="00484FFE" w:rsidRDefault="001717D4" w:rsidP="00A61EC6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84FFE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D4" w:rsidRPr="00484FFE" w:rsidRDefault="001717D4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353</w:t>
            </w:r>
          </w:p>
        </w:tc>
      </w:tr>
      <w:tr w:rsidR="001717D4" w:rsidRPr="004375A7" w:rsidTr="00170169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D4" w:rsidRPr="00484FFE" w:rsidRDefault="001717D4" w:rsidP="00A61EC6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84FFE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D4" w:rsidRPr="00484FFE" w:rsidRDefault="001717D4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76</w:t>
            </w:r>
          </w:p>
        </w:tc>
      </w:tr>
    </w:tbl>
    <w:p w:rsidR="00B94CED" w:rsidRPr="004375A7" w:rsidRDefault="00B94CED" w:rsidP="0060618E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Pr="004375A7">
        <w:t>před změnou s očekávanými ročními výdaji po změně)</w:t>
      </w:r>
    </w:p>
    <w:p w:rsidR="00220C62" w:rsidRPr="00484FFE" w:rsidRDefault="00220C62" w:rsidP="008D3C23">
      <w:pPr>
        <w:spacing w:after="0"/>
      </w:pPr>
      <w:r w:rsidRPr="00484FFE">
        <w:lastRenderedPageBreak/>
        <w:t>NKÚ hradí za dislokaci v </w:t>
      </w:r>
      <w:r w:rsidR="00123D38">
        <w:t>budově</w:t>
      </w:r>
      <w:r w:rsidRPr="00484FFE">
        <w:t xml:space="preserve"> Krámská roční nájemné ve výši 278 tis. Kč. Změnou dojde </w:t>
      </w:r>
      <w:r w:rsidR="008D3C23">
        <w:t>k jeho navýšení na 354 tis. Kč.</w:t>
      </w:r>
    </w:p>
    <w:p w:rsidR="00220C62" w:rsidRPr="00484FFE" w:rsidRDefault="00220C62" w:rsidP="008D3C23">
      <w:pPr>
        <w:spacing w:before="0"/>
      </w:pPr>
      <w:r w:rsidRPr="00484FFE">
        <w:t>(</w:t>
      </w:r>
      <w:r w:rsidRPr="00484FFE">
        <w:rPr>
          <w:i/>
        </w:rPr>
        <w:t>Pozn.: vyhodnocení ročních výdajů za nájemné</w:t>
      </w:r>
      <w:r>
        <w:t>)</w:t>
      </w:r>
    </w:p>
    <w:p w:rsidR="00220C62" w:rsidRPr="00484FFE" w:rsidRDefault="00220C62" w:rsidP="00220C62">
      <w:pPr>
        <w:spacing w:after="0"/>
      </w:pPr>
      <w:r w:rsidRPr="00484FFE">
        <w:t>Navrhovanou změnou je očekávána změna ve výši</w:t>
      </w:r>
      <w:r>
        <w:t>:</w:t>
      </w:r>
    </w:p>
    <w:p w:rsidR="00220C62" w:rsidRPr="00484FFE" w:rsidRDefault="00220C62" w:rsidP="00220C62">
      <w:pPr>
        <w:pStyle w:val="Odstavecseseznamem"/>
        <w:numPr>
          <w:ilvl w:val="0"/>
          <w:numId w:val="3"/>
        </w:numPr>
        <w:spacing w:before="0"/>
      </w:pPr>
      <w:r w:rsidRPr="00484FFE">
        <w:t xml:space="preserve">výdajů na provoz a údržbu </w:t>
      </w:r>
      <w:r w:rsidR="00123D38">
        <w:t>budovy</w:t>
      </w:r>
      <w:r w:rsidRPr="00484FFE">
        <w:t>, a to nárůst o 76 tis. Kč ročně,</w:t>
      </w:r>
    </w:p>
    <w:p w:rsidR="00220C62" w:rsidRPr="00484FFE" w:rsidRDefault="00220C62" w:rsidP="00220C62">
      <w:pPr>
        <w:pStyle w:val="Odstavecseseznamem"/>
        <w:numPr>
          <w:ilvl w:val="0"/>
          <w:numId w:val="3"/>
        </w:numPr>
        <w:spacing w:after="0"/>
      </w:pPr>
      <w:r w:rsidRPr="00484FFE">
        <w:t>hrazeného nájemného, a to nárůst o 76 tis. Kč ročně.</w:t>
      </w:r>
    </w:p>
    <w:p w:rsidR="00220C62" w:rsidRPr="00484FFE" w:rsidRDefault="00220C62" w:rsidP="00220C62">
      <w:pPr>
        <w:spacing w:before="0"/>
      </w:pPr>
      <w:r w:rsidRPr="00484FFE">
        <w:t>(</w:t>
      </w:r>
      <w:r w:rsidRPr="00484FFE">
        <w:rPr>
          <w:i/>
        </w:rPr>
        <w:t>Pozn.: vyhodnocení po kategoriích</w:t>
      </w:r>
      <w:r w:rsidRPr="00484FFE">
        <w:t>)</w:t>
      </w:r>
    </w:p>
    <w:p w:rsidR="00220C62" w:rsidRPr="00484FFE" w:rsidRDefault="00220C62" w:rsidP="00220C62">
      <w:pPr>
        <w:spacing w:after="0"/>
      </w:pPr>
      <w:r w:rsidRPr="00484FFE">
        <w:t>Celkový roční ekonomický dopad z navržené změny: nárůst výdajů ve výši 152 tis. Kč.</w:t>
      </w:r>
    </w:p>
    <w:p w:rsidR="00220C62" w:rsidRPr="00220C62" w:rsidRDefault="00220C62" w:rsidP="00220C62">
      <w:pPr>
        <w:spacing w:before="0"/>
      </w:pPr>
      <w:r w:rsidRPr="00484FFE">
        <w:t>(</w:t>
      </w:r>
      <w:r w:rsidRPr="00484FFE">
        <w:rPr>
          <w:i/>
        </w:rPr>
        <w:t>Pozn.: vyhodnocení celkového ročního ekonomického dopadu</w:t>
      </w:r>
      <w:r>
        <w:t>)</w:t>
      </w:r>
    </w:p>
    <w:p w:rsidR="00B94CED" w:rsidRPr="00220C62" w:rsidRDefault="00220C62" w:rsidP="00220C62">
      <w:r w:rsidRPr="00220C62">
        <w:t>Skutečnou výši finančních dopadů do rozpočtových kapitol a do státního rozpočtu bude možno vyčíslit teprve v době realizace navrhovaný</w:t>
      </w:r>
      <w:r w:rsidR="00123D38">
        <w:t>ch dislokačních změn u dotčené budovy</w:t>
      </w:r>
      <w:r w:rsidR="00B94CED" w:rsidRPr="00220C62">
        <w:t>.</w:t>
      </w:r>
    </w:p>
    <w:p w:rsidR="00B94CED" w:rsidRPr="004375A7" w:rsidRDefault="00B94CED" w:rsidP="0060618E">
      <w:pPr>
        <w:pStyle w:val="Nadpis3"/>
      </w:pPr>
      <w:r w:rsidRPr="004375A7">
        <w:t>Termín realizace</w:t>
      </w:r>
    </w:p>
    <w:p w:rsidR="00B94CED" w:rsidRPr="004375A7" w:rsidRDefault="00B94CED" w:rsidP="0060618E">
      <w:pPr>
        <w:pStyle w:val="Bezmezer"/>
      </w:pPr>
      <w:r w:rsidRPr="004375A7">
        <w:t>(Pozn.: uvede se předpokládaný termín realizace, který je součástí návrhu závěrů)</w:t>
      </w:r>
    </w:p>
    <w:p w:rsidR="00B94CED" w:rsidRPr="004375A7" w:rsidRDefault="00B94CED" w:rsidP="0060618E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60618E">
      <w:pPr>
        <w:spacing w:before="0"/>
        <w:rPr>
          <w:rFonts w:cs="Arial"/>
          <w:szCs w:val="22"/>
        </w:rPr>
      </w:pPr>
      <w:r w:rsidRPr="004375A7">
        <w:rPr>
          <w:rFonts w:cs="Arial"/>
          <w:szCs w:val="22"/>
        </w:rPr>
        <w:t>1. září 20</w:t>
      </w:r>
      <w:r w:rsidR="00A4697B">
        <w:rPr>
          <w:rFonts w:cs="Arial"/>
          <w:szCs w:val="22"/>
        </w:rPr>
        <w:t>2</w:t>
      </w:r>
      <w:r w:rsidRPr="004375A7">
        <w:rPr>
          <w:rFonts w:cs="Arial"/>
          <w:szCs w:val="22"/>
        </w:rPr>
        <w:t>1</w:t>
      </w:r>
    </w:p>
    <w:p w:rsidR="00B94CED" w:rsidRPr="004375A7" w:rsidRDefault="00B94CED" w:rsidP="0060618E">
      <w:pPr>
        <w:pStyle w:val="Nadpis3"/>
      </w:pPr>
      <w:r w:rsidRPr="004375A7">
        <w:t>Další údaje</w:t>
      </w:r>
    </w:p>
    <w:p w:rsidR="00B94CED" w:rsidRPr="004375A7" w:rsidRDefault="00B94CED" w:rsidP="0060618E">
      <w:pPr>
        <w:pStyle w:val="Bezmezer"/>
      </w:pPr>
      <w:r w:rsidRPr="004375A7">
        <w:t>(Pozn.: uvedou se další podstatné údaje, které charakterem nespadají do předchozích bodů)</w:t>
      </w:r>
    </w:p>
    <w:p w:rsidR="00B94CED" w:rsidRPr="004375A7" w:rsidRDefault="00B94CED" w:rsidP="0060618E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F46E2B">
      <w:pPr>
        <w:spacing w:before="0"/>
        <w:ind w:right="72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Po schválení předkládaného návrhu Regionální dislokační komisí </w:t>
      </w:r>
      <w:r w:rsidR="008D3C23">
        <w:rPr>
          <w:rFonts w:cs="Arial"/>
          <w:szCs w:val="22"/>
        </w:rPr>
        <w:t>Plzeň</w:t>
      </w:r>
      <w:r w:rsidRPr="004375A7">
        <w:rPr>
          <w:rFonts w:cs="Arial"/>
          <w:szCs w:val="22"/>
        </w:rPr>
        <w:t xml:space="preserve"> bude následovat postup v souladu se zákonem č. 219/2000 Sb., o majetku České republiky a jejím vystupování v právních vztazích, ve znění pozdějších předpisů (dále jen „zákon č. 219/2000 Sb.“). Předkládaný materiál plně respektuje právní úpravu danou zákonem č. 219/2000 Sb.</w:t>
      </w:r>
    </w:p>
    <w:p w:rsidR="00B94CED" w:rsidRPr="004375A7" w:rsidRDefault="00B94CED" w:rsidP="00B94CED">
      <w:pPr>
        <w:rPr>
          <w:rFonts w:cs="Arial"/>
          <w:b/>
          <w:szCs w:val="22"/>
        </w:rPr>
        <w:sectPr w:rsidR="00B94CED" w:rsidRPr="004375A7" w:rsidSect="0060618E">
          <w:type w:val="continuous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60618E">
      <w:pPr>
        <w:pStyle w:val="Nadpis2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:rsidR="00B94CED" w:rsidRPr="004375A7" w:rsidRDefault="00B94CED" w:rsidP="0060618E">
      <w:pPr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</w:t>
      </w:r>
      <w:r w:rsidRPr="004375A7">
        <w:rPr>
          <w:rFonts w:cs="Arial"/>
          <w:b/>
          <w:bCs/>
          <w:iCs/>
          <w:szCs w:val="22"/>
        </w:rPr>
        <w:t xml:space="preserve"> dislokace u administrativní</w:t>
      </w:r>
      <w:r w:rsidR="00874E0C">
        <w:rPr>
          <w:rFonts w:cs="Arial"/>
          <w:b/>
          <w:bCs/>
          <w:iCs/>
          <w:szCs w:val="22"/>
        </w:rPr>
        <w:t xml:space="preserve"> budovy</w:t>
      </w:r>
      <w:r w:rsidR="00220C62">
        <w:rPr>
          <w:rFonts w:cs="Arial"/>
          <w:b/>
          <w:bCs/>
          <w:iCs/>
          <w:szCs w:val="22"/>
        </w:rPr>
        <w:t xml:space="preserve"> </w:t>
      </w:r>
      <w:r w:rsidR="00220C62" w:rsidRPr="00484FFE">
        <w:rPr>
          <w:rFonts w:cs="Arial"/>
          <w:b/>
          <w:szCs w:val="22"/>
        </w:rPr>
        <w:t>Krámská č.</w:t>
      </w:r>
      <w:r w:rsidR="00220C62">
        <w:rPr>
          <w:rFonts w:cs="Arial"/>
          <w:b/>
          <w:szCs w:val="22"/>
        </w:rPr>
        <w:t xml:space="preserve"> </w:t>
      </w:r>
      <w:r w:rsidR="00220C62" w:rsidRPr="00484FFE">
        <w:rPr>
          <w:rFonts w:cs="Arial"/>
          <w:b/>
          <w:szCs w:val="22"/>
        </w:rPr>
        <w:t>p. 246, Plzeň – Vnitřní Město</w:t>
      </w:r>
    </w:p>
    <w:tbl>
      <w:tblPr>
        <w:tblpPr w:leftFromText="141" w:rightFromText="141" w:bottomFromText="200" w:vertAnchor="text" w:horzAnchor="margin" w:tblpXSpec="center" w:tblpY="40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93"/>
        <w:gridCol w:w="1324"/>
        <w:gridCol w:w="992"/>
        <w:gridCol w:w="1134"/>
        <w:gridCol w:w="1134"/>
        <w:gridCol w:w="1134"/>
        <w:gridCol w:w="1134"/>
        <w:gridCol w:w="1134"/>
        <w:gridCol w:w="944"/>
        <w:gridCol w:w="1134"/>
        <w:gridCol w:w="1134"/>
        <w:gridCol w:w="1134"/>
        <w:gridCol w:w="1466"/>
      </w:tblGrid>
      <w:tr w:rsidR="00A61EC6" w:rsidRPr="004375A7" w:rsidTr="008D3C23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458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>Dislokace dle Stanoviska RDK č. 11</w:t>
            </w:r>
            <w:r w:rsidRPr="004375A7">
              <w:rPr>
                <w:rFonts w:cs="Arial"/>
                <w:b/>
                <w:bCs/>
                <w:szCs w:val="22"/>
                <w:lang w:eastAsia="en-US"/>
              </w:rPr>
              <w:t>/201</w:t>
            </w:r>
            <w:r>
              <w:rPr>
                <w:rFonts w:cs="Arial"/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4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A61EC6" w:rsidRPr="004375A7" w:rsidTr="008D3C23">
        <w:trPr>
          <w:trHeight w:val="341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 ulice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 kancelář-ská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A61EC6" w:rsidRPr="004375A7" w:rsidTr="008D3C23">
        <w:trPr>
          <w:trHeight w:val="562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1EC6" w:rsidRPr="004375A7" w:rsidRDefault="00A61EC6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220C62" w:rsidRPr="004375A7" w:rsidTr="008D3C23">
        <w:trPr>
          <w:trHeight w:val="469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Plzeň</w:t>
            </w:r>
          </w:p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Vnitřní město</w:t>
            </w:r>
          </w:p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Krámská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246</w:t>
            </w:r>
          </w:p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220C62" w:rsidRPr="004375A7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484FFE">
              <w:rPr>
                <w:rFonts w:cs="Arial"/>
                <w:bCs/>
                <w:szCs w:val="22"/>
              </w:rPr>
              <w:t>Nejvyšší kontrolní úřad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251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84FFE">
              <w:rPr>
                <w:rFonts w:cs="Arial"/>
                <w:color w:val="000000"/>
                <w:szCs w:val="22"/>
                <w:lang w:eastAsia="en-US"/>
              </w:rPr>
              <w:t>13,94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398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84FFE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0C62" w:rsidRPr="00484FFE" w:rsidRDefault="00220C62" w:rsidP="008D3C23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84FFE">
              <w:rPr>
                <w:rFonts w:cs="Arial"/>
                <w:color w:val="000000"/>
                <w:szCs w:val="22"/>
              </w:rPr>
              <w:t>13,48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0C62" w:rsidRPr="00484FFE" w:rsidRDefault="00220C62" w:rsidP="00A61EC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84FFE">
              <w:rPr>
                <w:rFonts w:cs="Arial"/>
                <w:color w:val="000000"/>
                <w:szCs w:val="22"/>
                <w:lang w:eastAsia="en-US"/>
              </w:rPr>
              <w:t xml:space="preserve"> v nestátním vlastnictví – Statutární město Plzeň</w:t>
            </w:r>
          </w:p>
        </w:tc>
      </w:tr>
    </w:tbl>
    <w:p w:rsidR="00696915" w:rsidRDefault="00B94CED" w:rsidP="0060618E">
      <w:pPr>
        <w:pStyle w:val="Bezmezer"/>
      </w:pPr>
      <w:r w:rsidRPr="004375A7">
        <w:t xml:space="preserve">(Pozn.: tabulka u </w:t>
      </w:r>
      <w:r w:rsidR="001A5B9D">
        <w:t>budovy</w:t>
      </w:r>
      <w:r w:rsidRPr="004375A7">
        <w:t xml:space="preserve">, u </w:t>
      </w:r>
      <w:r w:rsidR="001A5B9D">
        <w:t xml:space="preserve">které </w:t>
      </w:r>
      <w:r w:rsidRPr="004375A7">
        <w:t xml:space="preserve">v minulosti bylo schvalováno využití; </w:t>
      </w:r>
      <w:r w:rsidR="001A5B9D">
        <w:t>budova</w:t>
      </w:r>
      <w:r w:rsidR="001A5B9D" w:rsidRPr="004375A7">
        <w:t xml:space="preserve"> </w:t>
      </w:r>
      <w:r w:rsidRPr="004375A7">
        <w:t>v nestátním vlastnictví – uvedou se všechny v </w:t>
      </w:r>
      <w:r w:rsidR="001A5B9D">
        <w:t>budově</w:t>
      </w:r>
      <w:r w:rsidR="001A5B9D" w:rsidRPr="004375A7">
        <w:t xml:space="preserve"> </w:t>
      </w:r>
      <w:r w:rsidRPr="004375A7">
        <w:t>dislokované státní instituce)</w:t>
      </w:r>
    </w:p>
    <w:sectPr w:rsidR="00696915" w:rsidSect="00875AC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6B" w:rsidRDefault="00A7716B">
      <w:r>
        <w:separator/>
      </w:r>
    </w:p>
    <w:p w:rsidR="00A7716B" w:rsidRDefault="00A7716B"/>
  </w:endnote>
  <w:endnote w:type="continuationSeparator" w:id="0">
    <w:p w:rsidR="00A7716B" w:rsidRDefault="00A7716B">
      <w:r>
        <w:continuationSeparator/>
      </w:r>
    </w:p>
    <w:p w:rsidR="00A7716B" w:rsidRDefault="00A77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8E" w:rsidRDefault="006061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8E" w:rsidRPr="00F46E2B" w:rsidRDefault="0060618E" w:rsidP="0060618E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064947">
      <w:rPr>
        <w:rFonts w:cs="Arial"/>
        <w:bCs/>
        <w:noProof/>
        <w:sz w:val="18"/>
        <w:szCs w:val="18"/>
      </w:rPr>
      <w:t>5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064947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8E" w:rsidRDefault="00606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6B" w:rsidRDefault="00A7716B">
      <w:r>
        <w:separator/>
      </w:r>
    </w:p>
    <w:p w:rsidR="00A7716B" w:rsidRDefault="00A7716B"/>
  </w:footnote>
  <w:footnote w:type="continuationSeparator" w:id="0">
    <w:p w:rsidR="00A7716B" w:rsidRDefault="00A7716B">
      <w:r>
        <w:continuationSeparator/>
      </w:r>
    </w:p>
    <w:p w:rsidR="00A7716B" w:rsidRDefault="00A77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8E" w:rsidRDefault="006061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8E" w:rsidRDefault="0060618E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8E" w:rsidRDefault="00274ED1" w:rsidP="00274ED1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06512"/>
    <w:rsid w:val="00064947"/>
    <w:rsid w:val="00070E47"/>
    <w:rsid w:val="000820A6"/>
    <w:rsid w:val="000D781E"/>
    <w:rsid w:val="00122752"/>
    <w:rsid w:val="00123D38"/>
    <w:rsid w:val="00163674"/>
    <w:rsid w:val="001717D4"/>
    <w:rsid w:val="00172E32"/>
    <w:rsid w:val="00193D50"/>
    <w:rsid w:val="00196D27"/>
    <w:rsid w:val="001A5B9D"/>
    <w:rsid w:val="00220C62"/>
    <w:rsid w:val="002303C1"/>
    <w:rsid w:val="00274ED1"/>
    <w:rsid w:val="002E1A75"/>
    <w:rsid w:val="00377EE9"/>
    <w:rsid w:val="003A662F"/>
    <w:rsid w:val="003B07AC"/>
    <w:rsid w:val="003D1D37"/>
    <w:rsid w:val="00426E22"/>
    <w:rsid w:val="004628AD"/>
    <w:rsid w:val="00480C82"/>
    <w:rsid w:val="00494E57"/>
    <w:rsid w:val="004A0769"/>
    <w:rsid w:val="004C19E8"/>
    <w:rsid w:val="0052700C"/>
    <w:rsid w:val="005E50A9"/>
    <w:rsid w:val="005F04CF"/>
    <w:rsid w:val="0060618E"/>
    <w:rsid w:val="00645911"/>
    <w:rsid w:val="00651E92"/>
    <w:rsid w:val="00696915"/>
    <w:rsid w:val="00705B9C"/>
    <w:rsid w:val="00747A79"/>
    <w:rsid w:val="0079045D"/>
    <w:rsid w:val="007D7C69"/>
    <w:rsid w:val="00817C3C"/>
    <w:rsid w:val="00874E0C"/>
    <w:rsid w:val="00875AC1"/>
    <w:rsid w:val="00892DD5"/>
    <w:rsid w:val="0089783B"/>
    <w:rsid w:val="008C4D2E"/>
    <w:rsid w:val="008D3C23"/>
    <w:rsid w:val="008E194F"/>
    <w:rsid w:val="00901C72"/>
    <w:rsid w:val="00977F8F"/>
    <w:rsid w:val="00984276"/>
    <w:rsid w:val="009C1793"/>
    <w:rsid w:val="009D227C"/>
    <w:rsid w:val="00A0584B"/>
    <w:rsid w:val="00A4697B"/>
    <w:rsid w:val="00A57241"/>
    <w:rsid w:val="00A61EC6"/>
    <w:rsid w:val="00A7716B"/>
    <w:rsid w:val="00AB5DF5"/>
    <w:rsid w:val="00AD7F36"/>
    <w:rsid w:val="00B77167"/>
    <w:rsid w:val="00B94CED"/>
    <w:rsid w:val="00C02FD8"/>
    <w:rsid w:val="00C31F0A"/>
    <w:rsid w:val="00C841AA"/>
    <w:rsid w:val="00C94896"/>
    <w:rsid w:val="00D2276F"/>
    <w:rsid w:val="00D2639D"/>
    <w:rsid w:val="00D56A1E"/>
    <w:rsid w:val="00D603F3"/>
    <w:rsid w:val="00E22F5F"/>
    <w:rsid w:val="00E7113B"/>
    <w:rsid w:val="00EB45F0"/>
    <w:rsid w:val="00EB697B"/>
    <w:rsid w:val="00F059A6"/>
    <w:rsid w:val="00F22463"/>
    <w:rsid w:val="00F35772"/>
    <w:rsid w:val="00F46E2B"/>
    <w:rsid w:val="00F90FA7"/>
    <w:rsid w:val="00FC6814"/>
    <w:rsid w:val="00FD34F4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B9C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22</cp:revision>
  <cp:lastPrinted>2021-06-15T05:16:00Z</cp:lastPrinted>
  <dcterms:created xsi:type="dcterms:W3CDTF">2021-07-07T18:09:00Z</dcterms:created>
  <dcterms:modified xsi:type="dcterms:W3CDTF">2022-02-15T11:00:00Z</dcterms:modified>
</cp:coreProperties>
</file>