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D70" w:rsidRPr="00975CCF" w:rsidRDefault="00813D70" w:rsidP="00813D70">
      <w:pPr>
        <w:pStyle w:val="Zkladntext"/>
        <w:jc w:val="left"/>
        <w:rPr>
          <w:rFonts w:ascii="Calibri" w:hAnsi="Calibri" w:cs="Calibri"/>
          <w:color w:val="548DD4" w:themeColor="text2" w:themeTint="99"/>
          <w:sz w:val="22"/>
          <w:szCs w:val="22"/>
        </w:rPr>
      </w:pPr>
    </w:p>
    <w:p w:rsidR="00433E40" w:rsidRPr="00485CBD" w:rsidRDefault="00813D70" w:rsidP="00813D70">
      <w:pPr>
        <w:pStyle w:val="Zkladntext"/>
        <w:jc w:val="center"/>
        <w:rPr>
          <w:b/>
          <w:color w:val="8DB3E2" w:themeColor="text2" w:themeTint="66"/>
          <w:sz w:val="32"/>
          <w:szCs w:val="32"/>
        </w:rPr>
      </w:pPr>
      <w:r w:rsidRPr="00485CBD">
        <w:rPr>
          <w:b/>
          <w:color w:val="8DB3E2" w:themeColor="text2" w:themeTint="66"/>
          <w:sz w:val="32"/>
          <w:szCs w:val="32"/>
        </w:rPr>
        <w:t>Stanovisko SP ČR k návrhu Státního rozpočtu na rok 2013</w:t>
      </w:r>
    </w:p>
    <w:p w:rsidR="00CD0DCD" w:rsidRDefault="00CD0DCD" w:rsidP="00690850">
      <w:pPr>
        <w:pStyle w:val="Zkladntext"/>
        <w:ind w:left="4956" w:firstLine="708"/>
        <w:rPr>
          <w:rFonts w:ascii="Calibri" w:hAnsi="Calibri" w:cs="Calibri"/>
          <w:sz w:val="22"/>
          <w:szCs w:val="22"/>
        </w:rPr>
      </w:pPr>
    </w:p>
    <w:p w:rsidR="00813D70" w:rsidRDefault="00813D70" w:rsidP="00813D70">
      <w:pPr>
        <w:jc w:val="center"/>
        <w:rPr>
          <w:b/>
          <w:sz w:val="28"/>
          <w:szCs w:val="28"/>
          <w:u w:val="single"/>
        </w:rPr>
      </w:pPr>
      <w:r w:rsidRPr="00975CCF">
        <w:rPr>
          <w:b/>
          <w:sz w:val="28"/>
          <w:szCs w:val="28"/>
          <w:u w:val="single"/>
        </w:rPr>
        <w:t>Koncepce návrhu</w:t>
      </w:r>
    </w:p>
    <w:p w:rsidR="00037F28" w:rsidRPr="00975CCF" w:rsidRDefault="00037F28" w:rsidP="00813D70">
      <w:pPr>
        <w:jc w:val="center"/>
        <w:rPr>
          <w:b/>
          <w:sz w:val="28"/>
          <w:szCs w:val="28"/>
          <w:u w:val="single"/>
        </w:rPr>
      </w:pP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  <w:ind w:hanging="357"/>
      </w:pPr>
      <w:r w:rsidRPr="00037F28">
        <w:t>Státní rozpočet vychází z těchto priorit:</w:t>
      </w:r>
    </w:p>
    <w:p w:rsidR="00813D70" w:rsidRPr="00037F28" w:rsidRDefault="00813D70" w:rsidP="00813D70">
      <w:pPr>
        <w:pStyle w:val="Odstavecseseznamem"/>
        <w:numPr>
          <w:ilvl w:val="1"/>
          <w:numId w:val="29"/>
        </w:numPr>
        <w:spacing w:after="240"/>
        <w:ind w:hanging="357"/>
      </w:pPr>
      <w:r w:rsidRPr="00037F28">
        <w:t>zpomalit tempo zadlužování a snížit schodek veřejných financí</w:t>
      </w:r>
    </w:p>
    <w:p w:rsidR="00813D70" w:rsidRPr="00037F28" w:rsidRDefault="00813D70" w:rsidP="00813D70">
      <w:pPr>
        <w:pStyle w:val="Odstavecseseznamem"/>
        <w:numPr>
          <w:ilvl w:val="1"/>
          <w:numId w:val="29"/>
        </w:numPr>
        <w:spacing w:after="240"/>
        <w:ind w:hanging="357"/>
      </w:pPr>
      <w:r w:rsidRPr="00037F28">
        <w:t>dodržovat závazky vůči EU a optimálně využít prostředky SF EU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  <w:ind w:hanging="357"/>
      </w:pPr>
      <w:r w:rsidRPr="00037F28">
        <w:t>S těmito prioritami souhlasíme, ale kriticky hodnotíme, že:</w:t>
      </w:r>
    </w:p>
    <w:p w:rsidR="00813D70" w:rsidRPr="00037F28" w:rsidRDefault="00813D70" w:rsidP="00813D70">
      <w:pPr>
        <w:pStyle w:val="Odstavecseseznamem"/>
        <w:numPr>
          <w:ilvl w:val="1"/>
          <w:numId w:val="29"/>
        </w:numPr>
        <w:spacing w:after="240"/>
        <w:ind w:hanging="357"/>
      </w:pPr>
      <w:r w:rsidRPr="00037F28">
        <w:t xml:space="preserve">Návrh nevychází ze </w:t>
      </w:r>
      <w:proofErr w:type="spellStart"/>
      <w:r w:rsidRPr="00037F28">
        <w:t>šířeji</w:t>
      </w:r>
      <w:proofErr w:type="spellEnd"/>
      <w:r w:rsidRPr="00037F28">
        <w:t xml:space="preserve"> chápané koncepce hospodářské politiky nezbytné pro udržitelný hospodářský růst, nejsou přijaty systémové reformy, které by zajistily vyšší efektivnost – účelnost a hospodárnost veřejných prostředků</w:t>
      </w:r>
    </w:p>
    <w:p w:rsidR="00813D70" w:rsidRPr="00037F28" w:rsidRDefault="00813D70" w:rsidP="00813D70">
      <w:pPr>
        <w:pStyle w:val="Odstavecseseznamem"/>
        <w:numPr>
          <w:ilvl w:val="1"/>
          <w:numId w:val="29"/>
        </w:numPr>
        <w:spacing w:after="240"/>
        <w:ind w:hanging="357"/>
      </w:pPr>
      <w:r w:rsidRPr="00037F28">
        <w:t>Vláda neodpovídá na otázku, jak reaguje rozpočet na strategii mezinárodní konkurenceschopnosti, kterou schválila na podzim loňského roku</w:t>
      </w:r>
    </w:p>
    <w:p w:rsidR="00813D70" w:rsidRPr="00037F28" w:rsidRDefault="00813D70" w:rsidP="00813D70">
      <w:pPr>
        <w:pStyle w:val="Odstavecseseznamem"/>
        <w:numPr>
          <w:ilvl w:val="1"/>
          <w:numId w:val="29"/>
        </w:numPr>
        <w:spacing w:after="240"/>
        <w:ind w:hanging="357"/>
      </w:pPr>
      <w:r w:rsidRPr="00037F28">
        <w:t>Nedůsledně, nesystémově a nedostatečně probíhají změny ve snižování nákladů veřejné správy</w:t>
      </w:r>
    </w:p>
    <w:p w:rsidR="00813D70" w:rsidRPr="00037F28" w:rsidRDefault="00813D70" w:rsidP="00813D70">
      <w:pPr>
        <w:pStyle w:val="Odstavecseseznamem"/>
        <w:numPr>
          <w:ilvl w:val="1"/>
          <w:numId w:val="29"/>
        </w:numPr>
        <w:spacing w:after="240"/>
        <w:ind w:hanging="357"/>
      </w:pPr>
      <w:r w:rsidRPr="00037F28">
        <w:t>Stejně jako v předchozích letech rozpočet nedostatečně reflektuje potřebu zajistit kapitálové výdaje v oblastech, za které má stát rozhodující odpovědnost a jejichž rozvoj vytváří podmínky pro hospodářský růst v krátkodobém i střednědobém horizontu</w:t>
      </w:r>
    </w:p>
    <w:p w:rsidR="00813D70" w:rsidRDefault="00813D70" w:rsidP="00813D70">
      <w:pPr>
        <w:jc w:val="center"/>
        <w:rPr>
          <w:b/>
          <w:sz w:val="28"/>
          <w:szCs w:val="28"/>
          <w:u w:val="single"/>
        </w:rPr>
      </w:pPr>
      <w:r w:rsidRPr="00975CCF">
        <w:rPr>
          <w:b/>
          <w:sz w:val="28"/>
          <w:szCs w:val="28"/>
          <w:u w:val="single"/>
        </w:rPr>
        <w:t>Předpoklady</w:t>
      </w:r>
    </w:p>
    <w:p w:rsidR="00037F28" w:rsidRPr="00975CCF" w:rsidRDefault="00037F28" w:rsidP="00813D70">
      <w:pPr>
        <w:jc w:val="center"/>
        <w:rPr>
          <w:b/>
          <w:sz w:val="28"/>
          <w:szCs w:val="28"/>
          <w:u w:val="single"/>
        </w:rPr>
      </w:pPr>
    </w:p>
    <w:p w:rsidR="00813D70" w:rsidRPr="00975CCF" w:rsidRDefault="00813D70" w:rsidP="00813D70">
      <w:pPr>
        <w:pStyle w:val="Odstavecseseznamem"/>
        <w:numPr>
          <w:ilvl w:val="0"/>
          <w:numId w:val="30"/>
        </w:numPr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t>Makroekonomická východiska</w:t>
      </w:r>
    </w:p>
    <w:p w:rsidR="00813D70" w:rsidRDefault="00813D70" w:rsidP="00813D70">
      <w:pPr>
        <w:pStyle w:val="Odstavecseseznamem"/>
        <w:numPr>
          <w:ilvl w:val="0"/>
          <w:numId w:val="29"/>
        </w:numPr>
        <w:rPr>
          <w:b/>
        </w:rPr>
      </w:pPr>
      <w:r>
        <w:rPr>
          <w:b/>
        </w:rPr>
        <w:t>Makroekonomické předpoklady pro návrh vycházející z červencové prognózy MF ČR:</w:t>
      </w:r>
    </w:p>
    <w:p w:rsidR="00813D70" w:rsidRDefault="00813D70" w:rsidP="00813D70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279265" cy="2706370"/>
            <wp:effectExtent l="19050" t="0" r="6985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265" cy="270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F28" w:rsidRDefault="00037F28" w:rsidP="00037F28">
      <w:pPr>
        <w:pStyle w:val="Odstavecseseznamem"/>
        <w:spacing w:after="240"/>
      </w:pPr>
    </w:p>
    <w:p w:rsidR="00037F28" w:rsidRDefault="00037F28" w:rsidP="00037F28">
      <w:pPr>
        <w:pStyle w:val="Odstavecseseznamem"/>
        <w:spacing w:after="240"/>
      </w:pP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  <w:ind w:hanging="357"/>
      </w:pPr>
      <w:r w:rsidRPr="00037F28">
        <w:lastRenderedPageBreak/>
        <w:t>Výše uvedenou predikci MF ČR lze z pohledu výkonnosti ekonomiky označit za „optimistickou“, navíc pro letošní i příští rok přetrvávají výrazná rizika směrem dolů</w:t>
      </w:r>
    </w:p>
    <w:p w:rsidR="00813D70" w:rsidRPr="00037F28" w:rsidRDefault="00813D70" w:rsidP="00813D70">
      <w:pPr>
        <w:pStyle w:val="Odstavecseseznamem"/>
        <w:numPr>
          <w:ilvl w:val="1"/>
          <w:numId w:val="29"/>
        </w:numPr>
        <w:spacing w:after="240"/>
        <w:ind w:hanging="357"/>
      </w:pPr>
      <w:r w:rsidRPr="00037F28">
        <w:t>Pro rok 2012 reálně očekáváme variantu poklesu reálného HDP o -1 % (riziko výpadku na straně příjmů SR ve výši cca 4,5 mld. Kč pro tento i příští rok v důsledku výsledků ekonomiky)</w:t>
      </w:r>
    </w:p>
    <w:p w:rsidR="00813D70" w:rsidRPr="00037F28" w:rsidRDefault="00813D70" w:rsidP="00813D70">
      <w:pPr>
        <w:pStyle w:val="Odstavecseseznamem"/>
        <w:numPr>
          <w:ilvl w:val="1"/>
          <w:numId w:val="29"/>
        </w:numPr>
        <w:spacing w:after="240"/>
        <w:ind w:hanging="357"/>
      </w:pPr>
      <w:r w:rsidRPr="00037F28">
        <w:t>Naše prognóza reálného růstu HDP pro rok 2013: cca +0,6 %. I při naší relativně optimistické prognóze vzniká riziko dalšího výpadku na straně příjmů vlivem rozdílnosti odhadu vývoje HDP zhruba 7-8 mld. Kč s dalšími sekundárními vlivy na daňové příjmy</w:t>
      </w:r>
    </w:p>
    <w:p w:rsidR="00813D70" w:rsidRPr="00037F28" w:rsidRDefault="00813D70" w:rsidP="00813D70">
      <w:pPr>
        <w:pStyle w:val="Odstavecseseznamem"/>
        <w:numPr>
          <w:ilvl w:val="1"/>
          <w:numId w:val="29"/>
        </w:numPr>
        <w:spacing w:after="240"/>
        <w:ind w:hanging="357"/>
      </w:pPr>
      <w:r w:rsidRPr="00037F28">
        <w:t xml:space="preserve">Na pozitivním příspěvku k přidané hodnotě české ekonomiky se významně podílí průmysl, poslední vývoj a naše šetření naznačují riziko zhoršených výsledků </w:t>
      </w:r>
    </w:p>
    <w:p w:rsidR="00813D70" w:rsidRPr="00037F28" w:rsidRDefault="00813D70" w:rsidP="00813D70">
      <w:pPr>
        <w:pStyle w:val="Odstavecseseznamem"/>
        <w:numPr>
          <w:ilvl w:val="1"/>
          <w:numId w:val="29"/>
        </w:numPr>
        <w:spacing w:after="240"/>
        <w:ind w:hanging="357"/>
      </w:pPr>
      <w:r w:rsidRPr="00037F28">
        <w:t xml:space="preserve">Za optimistické považujeme očekávání v nárůstu objemu mezd a platů 2013 (+2,5%). Naše očekávání se pohybuje max. kolem + 2 %. Očekávané odhady příjmů (z DPFO a pojistného na </w:t>
      </w:r>
      <w:proofErr w:type="spellStart"/>
      <w:r w:rsidRPr="00037F28">
        <w:t>SaZP</w:t>
      </w:r>
      <w:proofErr w:type="spellEnd"/>
      <w:r w:rsidRPr="00037F28">
        <w:t>) tak nemusí dosáhnout vládou očekávané hodnoty</w:t>
      </w:r>
    </w:p>
    <w:p w:rsidR="00813D70" w:rsidRDefault="00813D70" w:rsidP="00813D70">
      <w:pPr>
        <w:pStyle w:val="Odstavecseseznamem"/>
        <w:rPr>
          <w:b/>
          <w:shadow/>
          <w:color w:val="000000" w:themeColor="text1"/>
          <w:sz w:val="28"/>
          <w:szCs w:val="28"/>
        </w:rPr>
      </w:pPr>
    </w:p>
    <w:p w:rsidR="00813D70" w:rsidRPr="00975CCF" w:rsidRDefault="00813D70" w:rsidP="00813D70">
      <w:pPr>
        <w:pStyle w:val="Odstavecseseznamem"/>
        <w:numPr>
          <w:ilvl w:val="0"/>
          <w:numId w:val="30"/>
        </w:numPr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t>Legislativa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</w:pPr>
      <w:r w:rsidRPr="00037F28">
        <w:t>Návrh předpokládá úpravy legislativy s dopady na příjmy a výdaje:</w:t>
      </w:r>
    </w:p>
    <w:p w:rsidR="00813D70" w:rsidRDefault="00813D70" w:rsidP="00813D70">
      <w:pPr>
        <w:pStyle w:val="Odstavecseseznamem"/>
        <w:jc w:val="center"/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4869829" cy="3877056"/>
            <wp:effectExtent l="19050" t="0" r="6971" b="0"/>
            <wp:docPr id="3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29" cy="3877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D70" w:rsidRDefault="00813D70" w:rsidP="00813D70">
      <w:pPr>
        <w:pStyle w:val="Odstavecseseznamem"/>
        <w:rPr>
          <w:b/>
        </w:rPr>
      </w:pPr>
    </w:p>
    <w:p w:rsidR="00813D70" w:rsidRPr="00975CCF" w:rsidRDefault="00813D70" w:rsidP="00813D70">
      <w:pPr>
        <w:pStyle w:val="Odstavecseseznamem"/>
        <w:numPr>
          <w:ilvl w:val="0"/>
          <w:numId w:val="30"/>
        </w:numPr>
        <w:rPr>
          <w:b/>
          <w:shadow/>
          <w:color w:val="000000" w:themeColor="text1"/>
          <w:sz w:val="28"/>
          <w:szCs w:val="28"/>
        </w:rPr>
      </w:pPr>
      <w:r w:rsidRPr="00975CCF">
        <w:rPr>
          <w:b/>
          <w:sz w:val="28"/>
          <w:szCs w:val="28"/>
        </w:rPr>
        <w:t>Ostatní předpoklady (příklady)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  <w:ind w:left="714" w:hanging="357"/>
      </w:pPr>
      <w:r w:rsidRPr="00037F28">
        <w:t>Důležitým předpokladem je zajištění čerpání prostředků z rozpočtu EU – viz část Strukturální fondy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  <w:ind w:left="714" w:hanging="357"/>
      </w:pPr>
      <w:r w:rsidRPr="00037F28">
        <w:t xml:space="preserve">Jiným příkladem předpokladu v příjmové oblasti je výnos z prodeje povolenek s využitím v kapitole MŽP. Suma 2,9 mld. Kč může být podstatně nižší vzhledem k nejistému vývoji ceny povolenek </w:t>
      </w:r>
    </w:p>
    <w:p w:rsidR="00813D70" w:rsidRDefault="00813D70" w:rsidP="00813D70">
      <w:pPr>
        <w:pStyle w:val="Odstavecseseznamem"/>
        <w:spacing w:after="240"/>
        <w:ind w:left="714"/>
        <w:rPr>
          <w:b/>
        </w:rPr>
      </w:pPr>
    </w:p>
    <w:p w:rsidR="00813D70" w:rsidRDefault="008504A9" w:rsidP="00813D70">
      <w:pPr>
        <w:pStyle w:val="Odstavecseseznamem"/>
        <w:jc w:val="both"/>
        <w:rPr>
          <w:b/>
          <w:color w:val="000000" w:themeColor="text1"/>
          <w:sz w:val="24"/>
          <w:szCs w:val="24"/>
        </w:rPr>
      </w:pPr>
      <w:r w:rsidRPr="008504A9">
        <w:pict>
          <v:rect id="_x0000_s1027" style="position:absolute;left:0;text-align:left;margin-left:28.85pt;margin-top:-4.55pt;width:426.45pt;height:160.65pt;z-index:-251659776" strokeweight="1.5pt"/>
        </w:pict>
      </w:r>
      <w:r w:rsidR="00813D70">
        <w:rPr>
          <w:b/>
          <w:color w:val="000000" w:themeColor="text1"/>
          <w:sz w:val="24"/>
          <w:szCs w:val="24"/>
        </w:rPr>
        <w:t xml:space="preserve">Z uvedených skutečností plynou větší než obvyklá rizika potřeby úprav státního rozpočtu. Za jeden ze stěžejních problémů považujeme reakci v případě „krizovějšího scénáře“ vývoje příjmů státního rozpočtu a to nejen z makroekonomických důvodů - vazba příjmů na růst HDP, navýšení DPH a nákupy v zahraničí (viz poslední vývoj), proplacení příjmů z EU… </w:t>
      </w:r>
    </w:p>
    <w:p w:rsidR="00813D70" w:rsidRDefault="00813D70" w:rsidP="00813D70">
      <w:pPr>
        <w:pStyle w:val="Odstavecseseznamem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Některé klíčové legislativní normy nebyly schváleny. Poslední vývoj v zákonodárných orgánech značně ukazuje rizika jejich neschválení. Situace vedle rizika úprav ve státním rozpočtu představuje i faktor nestability podnikatelského prostředí. </w:t>
      </w:r>
    </w:p>
    <w:p w:rsidR="00813D70" w:rsidRDefault="00813D70" w:rsidP="00813D70">
      <w:pPr>
        <w:pStyle w:val="Odstavecseseznamem"/>
        <w:rPr>
          <w:b/>
          <w:shadow/>
          <w:color w:val="000000" w:themeColor="text1"/>
          <w:sz w:val="28"/>
          <w:szCs w:val="28"/>
        </w:rPr>
      </w:pPr>
    </w:p>
    <w:p w:rsidR="00813D70" w:rsidRDefault="00813D70" w:rsidP="00813D70">
      <w:pPr>
        <w:jc w:val="center"/>
        <w:rPr>
          <w:b/>
          <w:sz w:val="28"/>
          <w:szCs w:val="28"/>
          <w:u w:val="single"/>
        </w:rPr>
      </w:pPr>
      <w:r w:rsidRPr="00975CCF">
        <w:rPr>
          <w:b/>
          <w:sz w:val="28"/>
          <w:szCs w:val="28"/>
          <w:u w:val="single"/>
        </w:rPr>
        <w:t>Pozice k dílčím návrhům</w:t>
      </w:r>
    </w:p>
    <w:p w:rsidR="00037F28" w:rsidRPr="00975CCF" w:rsidRDefault="00037F28" w:rsidP="00813D70">
      <w:pPr>
        <w:jc w:val="center"/>
        <w:rPr>
          <w:b/>
          <w:sz w:val="28"/>
          <w:szCs w:val="28"/>
          <w:u w:val="single"/>
        </w:rPr>
      </w:pPr>
    </w:p>
    <w:p w:rsidR="00813D70" w:rsidRPr="00975CCF" w:rsidRDefault="00B84241" w:rsidP="00813D70">
      <w:pPr>
        <w:pStyle w:val="Odstavecseseznamem"/>
        <w:numPr>
          <w:ilvl w:val="0"/>
          <w:numId w:val="31"/>
        </w:num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PŘÍJMOVÁ ČÁST</w:t>
      </w:r>
    </w:p>
    <w:p w:rsidR="00813D70" w:rsidRPr="00975CCF" w:rsidRDefault="00813D70" w:rsidP="00813D70">
      <w:pPr>
        <w:pStyle w:val="Odstavecseseznamem"/>
        <w:numPr>
          <w:ilvl w:val="0"/>
          <w:numId w:val="32"/>
        </w:numPr>
        <w:spacing w:after="240"/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t>Zvýšení sazeb DPH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Upozorňujeme na rizika nereálnosti naplnění záměru posílení příjmů o 16,3 mld. Kč zejména z titulu snížení spotřeby (nejistota z budoucnosti, snížení kupní síly, nákupy v zahraničí…)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je třeba promítnout do rozpočtu vliv zvýšených nákladů veřejné správy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suma 16,3 mld. Kč pro SR se zdá i bez výše uvedených rizik příliš vysoká - původní odhady MF ČR kolem 12 mld. Kč, nenaplnění očekávaných příjmů v roce 2012</w:t>
      </w:r>
    </w:p>
    <w:p w:rsidR="00813D70" w:rsidRDefault="00813D70" w:rsidP="00712708">
      <w:pPr>
        <w:pStyle w:val="Odstavecseseznamem"/>
        <w:numPr>
          <w:ilvl w:val="0"/>
          <w:numId w:val="29"/>
        </w:numPr>
        <w:spacing w:before="240" w:after="240"/>
      </w:pPr>
      <w:r w:rsidRPr="00037F28">
        <w:t>V této chvíli není znám výsledek jednání v zákonodárných sborech</w:t>
      </w:r>
    </w:p>
    <w:p w:rsidR="00712708" w:rsidRPr="00037F28" w:rsidRDefault="00712708" w:rsidP="00712708">
      <w:pPr>
        <w:pStyle w:val="Odstavecseseznamem"/>
        <w:spacing w:before="240" w:after="240" w:line="240" w:lineRule="auto"/>
      </w:pPr>
    </w:p>
    <w:p w:rsidR="00813D70" w:rsidRPr="00975CCF" w:rsidRDefault="00813D70" w:rsidP="00712708">
      <w:pPr>
        <w:pStyle w:val="Odstavecseseznamem"/>
        <w:numPr>
          <w:ilvl w:val="0"/>
          <w:numId w:val="32"/>
        </w:numPr>
        <w:spacing w:before="240" w:after="240" w:line="240" w:lineRule="auto"/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t>DPFO</w:t>
      </w:r>
    </w:p>
    <w:p w:rsidR="00813D70" w:rsidRDefault="00813D70" w:rsidP="00712708">
      <w:pPr>
        <w:pStyle w:val="Odstavecseseznamem"/>
        <w:numPr>
          <w:ilvl w:val="0"/>
          <w:numId w:val="29"/>
        </w:numPr>
        <w:spacing w:before="240" w:after="240"/>
      </w:pPr>
      <w:r w:rsidRPr="00037F28">
        <w:t xml:space="preserve">Vidíme určité riziko v naplnění příjmů ve vazbě na předpokládaný růst mezd a platů (cca </w:t>
      </w:r>
      <w:r w:rsidRPr="00037F28">
        <w:br/>
        <w:t>2-3 mld. Kč)</w:t>
      </w:r>
    </w:p>
    <w:p w:rsidR="00712708" w:rsidRPr="00037F28" w:rsidRDefault="00712708" w:rsidP="00712708">
      <w:pPr>
        <w:pStyle w:val="Odstavecseseznamem"/>
        <w:spacing w:before="240" w:after="240" w:line="240" w:lineRule="auto"/>
      </w:pPr>
    </w:p>
    <w:p w:rsidR="00813D70" w:rsidRPr="00037F28" w:rsidRDefault="00813D70" w:rsidP="00712708">
      <w:pPr>
        <w:pStyle w:val="Odstavecseseznamem"/>
        <w:numPr>
          <w:ilvl w:val="0"/>
          <w:numId w:val="32"/>
        </w:numPr>
        <w:spacing w:after="240" w:line="240" w:lineRule="auto"/>
        <w:rPr>
          <w:b/>
          <w:sz w:val="28"/>
          <w:szCs w:val="28"/>
        </w:rPr>
      </w:pPr>
      <w:r w:rsidRPr="00037F28">
        <w:rPr>
          <w:b/>
          <w:sz w:val="28"/>
          <w:szCs w:val="28"/>
        </w:rPr>
        <w:t>Příjmy z prodeje povolenek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Požadujeme koncepčně řešit tak, aby byl celý výnos využit do investic v průmyslu</w:t>
      </w:r>
    </w:p>
    <w:p w:rsidR="00813D70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Suma 2,9 mld. Kč nemusí být reálná v případě, že nebude odpovídat ceně povolenek</w:t>
      </w:r>
    </w:p>
    <w:p w:rsidR="00712708" w:rsidRPr="00037F28" w:rsidRDefault="00712708" w:rsidP="00712708">
      <w:pPr>
        <w:pStyle w:val="Odstavecseseznamem"/>
        <w:spacing w:after="240" w:line="240" w:lineRule="auto"/>
      </w:pPr>
    </w:p>
    <w:p w:rsidR="00813D70" w:rsidRPr="00975CCF" w:rsidRDefault="00813D70" w:rsidP="00712708">
      <w:pPr>
        <w:pStyle w:val="Odstavecseseznamem"/>
        <w:numPr>
          <w:ilvl w:val="0"/>
          <w:numId w:val="32"/>
        </w:numPr>
        <w:spacing w:after="240" w:line="240" w:lineRule="auto"/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t>Zavedení druhého pilíře důchodové reformy</w:t>
      </w:r>
    </w:p>
    <w:p w:rsidR="00813D70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Nesouhlasíme se zavedením od roku 2013, požadujeme zavést až v rámci systému JIM z důvodu administrativní náročnosti plynoucí z existence dvou režimů a dočasnosti řešení</w:t>
      </w:r>
    </w:p>
    <w:p w:rsidR="00712708" w:rsidRPr="00037F28" w:rsidRDefault="00712708" w:rsidP="00712708">
      <w:pPr>
        <w:pStyle w:val="Odstavecseseznamem"/>
        <w:spacing w:after="240" w:line="240" w:lineRule="auto"/>
      </w:pPr>
    </w:p>
    <w:p w:rsidR="00813D70" w:rsidRPr="00975CCF" w:rsidRDefault="00813D70" w:rsidP="00712708">
      <w:pPr>
        <w:pStyle w:val="Odstavecseseznamem"/>
        <w:numPr>
          <w:ilvl w:val="0"/>
          <w:numId w:val="32"/>
        </w:numPr>
        <w:spacing w:after="240" w:line="240" w:lineRule="auto"/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t>Strukturální fondy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Úroveň příjmů ze strukturálních fondů považujeme za rizikovou. Odhady nenaplnění příjmů a dopadů na deficit se pohybují v rozdílných úrovních (Nejčastěji se uvádí, že v roce 2012 nebude ze strany EK proplaceno nejméně 25 mld. Kč)</w:t>
      </w:r>
    </w:p>
    <w:p w:rsidR="00813D70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Vláda musí zajistit podmínky pro maximální využití prostředků z rozpočtu EU</w:t>
      </w:r>
    </w:p>
    <w:p w:rsidR="00712708" w:rsidRDefault="00712708" w:rsidP="00712708">
      <w:pPr>
        <w:pStyle w:val="Odstavecseseznamem"/>
        <w:spacing w:after="240"/>
      </w:pPr>
    </w:p>
    <w:p w:rsidR="00485CBD" w:rsidRDefault="00485CBD" w:rsidP="00813D70">
      <w:pPr>
        <w:pStyle w:val="Odstavecseseznamem"/>
        <w:spacing w:after="240"/>
        <w:rPr>
          <w:b/>
          <w:shadow/>
          <w:color w:val="000000" w:themeColor="text1"/>
          <w:sz w:val="28"/>
          <w:szCs w:val="28"/>
        </w:rPr>
      </w:pPr>
    </w:p>
    <w:p w:rsidR="00485CBD" w:rsidRDefault="00485CBD" w:rsidP="00813D70">
      <w:pPr>
        <w:pStyle w:val="Odstavecseseznamem"/>
        <w:spacing w:after="240"/>
        <w:rPr>
          <w:b/>
          <w:shadow/>
          <w:color w:val="000000" w:themeColor="text1"/>
          <w:sz w:val="28"/>
          <w:szCs w:val="28"/>
        </w:rPr>
      </w:pPr>
    </w:p>
    <w:p w:rsidR="00813D70" w:rsidRDefault="008504A9" w:rsidP="00813D70">
      <w:pPr>
        <w:pStyle w:val="Odstavecseseznamem"/>
        <w:spacing w:after="240"/>
        <w:rPr>
          <w:b/>
          <w:shadow/>
          <w:color w:val="000000" w:themeColor="text1"/>
          <w:sz w:val="28"/>
          <w:szCs w:val="28"/>
        </w:rPr>
      </w:pPr>
      <w:r w:rsidRPr="008504A9">
        <w:lastRenderedPageBreak/>
        <w:pict>
          <v:rect id="_x0000_s1026" style="position:absolute;left:0;text-align:left;margin-left:27.65pt;margin-top:17.75pt;width:426.45pt;height:88.65pt;z-index:-251658752" strokeweight="1.5pt"/>
        </w:pict>
      </w:r>
    </w:p>
    <w:p w:rsidR="00813D70" w:rsidRDefault="00813D70" w:rsidP="00813D70">
      <w:pPr>
        <w:pStyle w:val="Odstavecseseznamem"/>
        <w:jc w:val="both"/>
        <w:rPr>
          <w:b/>
          <w:noProof/>
          <w:color w:val="000000" w:themeColor="text1"/>
          <w:sz w:val="24"/>
          <w:szCs w:val="24"/>
          <w:lang w:eastAsia="cs-CZ"/>
        </w:rPr>
      </w:pPr>
      <w:r>
        <w:rPr>
          <w:b/>
          <w:noProof/>
          <w:color w:val="000000" w:themeColor="text1"/>
          <w:sz w:val="24"/>
          <w:szCs w:val="24"/>
          <w:lang w:eastAsia="cs-CZ"/>
        </w:rPr>
        <w:t xml:space="preserve">Vedle zmíněných rizik požadujeme podstatně účinnější politiku na zamezení daňových úniků. Nedovýběr daní v zákonem stanovené výši oslabuje příjmy rozpočtů, vytváří tlak na vyšší daňové zatížení poctivých plátců a znevýhodňuje je v rámci pravidel hospodářské soutěže. Dalším vlivem je oslabení hodnověrnosti vlády při přijímání úsporných opatření. </w:t>
      </w:r>
    </w:p>
    <w:p w:rsidR="00037F28" w:rsidRDefault="00037F28" w:rsidP="00037F28">
      <w:pPr>
        <w:pStyle w:val="Odstavecseseznamem"/>
        <w:spacing w:before="240" w:after="240"/>
        <w:rPr>
          <w:b/>
          <w:sz w:val="28"/>
          <w:szCs w:val="28"/>
        </w:rPr>
      </w:pPr>
    </w:p>
    <w:p w:rsidR="00813D70" w:rsidRDefault="00B84241" w:rsidP="00037F28">
      <w:pPr>
        <w:pStyle w:val="Odstavecseseznamem"/>
        <w:numPr>
          <w:ilvl w:val="0"/>
          <w:numId w:val="31"/>
        </w:numPr>
        <w:spacing w:before="240" w:after="240"/>
        <w:rPr>
          <w:b/>
          <w:sz w:val="28"/>
          <w:szCs w:val="28"/>
        </w:rPr>
      </w:pPr>
      <w:r>
        <w:rPr>
          <w:b/>
          <w:sz w:val="28"/>
          <w:szCs w:val="28"/>
        </w:rPr>
        <w:t>VÝDAJOVÁ ČÁST</w:t>
      </w:r>
    </w:p>
    <w:p w:rsidR="00813D70" w:rsidRPr="00975CCF" w:rsidRDefault="00813D70" w:rsidP="00813D70">
      <w:pPr>
        <w:pStyle w:val="Odstavecseseznamem"/>
        <w:numPr>
          <w:ilvl w:val="0"/>
          <w:numId w:val="33"/>
        </w:numPr>
        <w:spacing w:after="240"/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t xml:space="preserve">Podpora </w:t>
      </w:r>
      <w:proofErr w:type="spellStart"/>
      <w:r w:rsidRPr="00975CCF">
        <w:rPr>
          <w:b/>
          <w:sz w:val="28"/>
          <w:szCs w:val="28"/>
        </w:rPr>
        <w:t>VaVaI</w:t>
      </w:r>
      <w:proofErr w:type="spellEnd"/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 xml:space="preserve">Celkové výdaje rozpočtovány ve výši 40,1 mld. Kč (včetně výdajů EU, meziroční nárůst </w:t>
      </w:r>
    </w:p>
    <w:p w:rsidR="00813D70" w:rsidRPr="00037F28" w:rsidRDefault="00813D70" w:rsidP="00813D70">
      <w:pPr>
        <w:pStyle w:val="Odstavecseseznamem"/>
        <w:spacing w:after="240"/>
      </w:pPr>
      <w:r w:rsidRPr="00037F28">
        <w:t xml:space="preserve">1,4 mld. Kč, tj. 3,6 % (bez výdajů EU 26,1 mld. Kč = snížení o 1,9 % meziročně) 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 xml:space="preserve">Základní problém vidíme ve směrování prostředků. I přes mírný nárůst u Technologické agentury (z 2,17 na 2,56 mld. Kč) v r. 2013 tato výše neodpovídá principu přijaté reformy systému výzkumu a vývoje s negativním důsledkem pro aplikovaný a průmyslový výzkum. Navíc návrh rozpočtu pro Technologickou agenturu na 2014 a 2015 předpokládá cca stagnaci a následně drobné snížení výdajů ze SR v roce 2015 - nominálně, tj. reálně to bude větší pokles, který je v rozporu s požadavkem SP ČR a přijatou reformou systému </w:t>
      </w:r>
      <w:proofErr w:type="spellStart"/>
      <w:r w:rsidRPr="00037F28">
        <w:t>VaVaI</w:t>
      </w:r>
      <w:proofErr w:type="spellEnd"/>
    </w:p>
    <w:p w:rsidR="00813D70" w:rsidRDefault="00813D70" w:rsidP="00037F28">
      <w:pPr>
        <w:pStyle w:val="Odstavecseseznamem"/>
        <w:numPr>
          <w:ilvl w:val="0"/>
          <w:numId w:val="29"/>
        </w:numPr>
        <w:spacing w:after="0"/>
      </w:pPr>
      <w:r w:rsidRPr="00037F28">
        <w:t>Velmi negativně vnímáme riziko plynoucí z vysokého podílu výdajů spolufinancovaných ze SF EU. Jednou ze základních otázek je udržitelnost financování kapacit vytvořených na základě prostředků EU s rizikem dalších požadavků na výdaje rozpočtů</w:t>
      </w:r>
    </w:p>
    <w:p w:rsidR="00037F28" w:rsidRPr="00037F28" w:rsidRDefault="00037F28" w:rsidP="00712708">
      <w:pPr>
        <w:pStyle w:val="Odstavecseseznamem"/>
        <w:spacing w:after="0" w:line="240" w:lineRule="auto"/>
      </w:pPr>
    </w:p>
    <w:p w:rsidR="00813D70" w:rsidRPr="00975CCF" w:rsidRDefault="00813D70" w:rsidP="00712708">
      <w:pPr>
        <w:pStyle w:val="Odstavecseseznamem"/>
        <w:numPr>
          <w:ilvl w:val="0"/>
          <w:numId w:val="33"/>
        </w:numPr>
        <w:spacing w:after="0" w:line="240" w:lineRule="auto"/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t>Doprava</w:t>
      </w:r>
    </w:p>
    <w:p w:rsidR="00813D70" w:rsidRPr="00037F28" w:rsidRDefault="00813D70" w:rsidP="00037F28">
      <w:pPr>
        <w:pStyle w:val="Odstavecseseznamem"/>
        <w:numPr>
          <w:ilvl w:val="0"/>
          <w:numId w:val="29"/>
        </w:numPr>
        <w:spacing w:after="0"/>
      </w:pPr>
      <w:r w:rsidRPr="00037F28">
        <w:t xml:space="preserve">Pozitivně hodnotíme navýšení prostředků SFDI o 8 mld. Kč na 33,6 mld. Kč. Toto navýšení však neřeší </w:t>
      </w:r>
      <w:r w:rsidR="0081653B">
        <w:t>požadavky na zajištění dopravní infrastruktury</w:t>
      </w:r>
      <w:r w:rsidRPr="00037F28">
        <w:t xml:space="preserve"> v potřebné úrovni a je z větší části závislé na příjmech z EU. To vytváří riziko nenaplnění záměru vlády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Vzhledem k tomu, že kapitola MD je vyšší pouze o 7 mld. Kč, chceme zodpovědět otázku způsobu řešení úspor (údržba silnic, dotace dálkové dopravy atd.)</w:t>
      </w:r>
    </w:p>
    <w:p w:rsidR="00813D70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Návrh předpokládá výrazné poklesy výdajů kapitoly MD na roky 2014 a 2015 (bez zahrnutí prostředků EU výdaje MD 2015 na úrovni 73 % roku 2013). Zajímají nás souvislosti tohoto řádového snížení – nebudou na úkor zajištění dopravní obslužnosti a infrastruktury?</w:t>
      </w:r>
    </w:p>
    <w:p w:rsidR="00037F28" w:rsidRPr="00037F28" w:rsidRDefault="00037F28" w:rsidP="00712708">
      <w:pPr>
        <w:pStyle w:val="Odstavecseseznamem"/>
        <w:spacing w:after="240" w:line="240" w:lineRule="auto"/>
      </w:pPr>
    </w:p>
    <w:p w:rsidR="00813D70" w:rsidRPr="00975CCF" w:rsidRDefault="00813D70" w:rsidP="00712708">
      <w:pPr>
        <w:pStyle w:val="Odstavecseseznamem"/>
        <w:numPr>
          <w:ilvl w:val="0"/>
          <w:numId w:val="33"/>
        </w:numPr>
        <w:spacing w:after="240" w:line="240" w:lineRule="auto"/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t>Snížení dotace na OZE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 xml:space="preserve">Dotace na obnovitelné zdroje energie je v návrhu snížena na 9,7 </w:t>
      </w:r>
      <w:proofErr w:type="spellStart"/>
      <w:proofErr w:type="gramStart"/>
      <w:r w:rsidRPr="00037F28">
        <w:t>mld.Kč</w:t>
      </w:r>
      <w:proofErr w:type="spellEnd"/>
      <w:proofErr w:type="gramEnd"/>
      <w:r w:rsidRPr="00037F28">
        <w:t xml:space="preserve"> (z 11,7 mld. Kč). Jedná se o faktor zdražení elektřiny v důsledku zvýšení příspěvku na OZE (dle propočtů MPO ze 419 na 554 </w:t>
      </w:r>
      <w:proofErr w:type="spellStart"/>
      <w:r w:rsidRPr="00037F28">
        <w:t>Kč</w:t>
      </w:r>
      <w:proofErr w:type="spellEnd"/>
      <w:r w:rsidRPr="00037F28">
        <w:t>/</w:t>
      </w:r>
      <w:proofErr w:type="spellStart"/>
      <w:r w:rsidRPr="00037F28">
        <w:t>Mwh</w:t>
      </w:r>
      <w:proofErr w:type="spellEnd"/>
      <w:r w:rsidRPr="00037F28">
        <w:t>, kde například dopad na cenu elektřiny pro domácnosti  činí +3,5 %)</w:t>
      </w:r>
    </w:p>
    <w:p w:rsidR="00813D70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Považujeme přenesení nákladů na firmy a domácnosti za krok neodpovídající hospodářské situaci snižující konkurenceschopnost. Chybná politika se přenáší do nákladů reálné ekonomiky. Podle našich šetření patří cena energie mezi hlavní faktory konkurenceschopnosti průmyslových firem</w:t>
      </w:r>
    </w:p>
    <w:p w:rsidR="00037F28" w:rsidRDefault="00037F28" w:rsidP="00037F28">
      <w:pPr>
        <w:spacing w:after="240"/>
      </w:pPr>
    </w:p>
    <w:p w:rsidR="00037F28" w:rsidRPr="00037F28" w:rsidRDefault="00037F28" w:rsidP="00037F28">
      <w:pPr>
        <w:spacing w:after="240"/>
      </w:pPr>
    </w:p>
    <w:p w:rsidR="00813D70" w:rsidRPr="00975CCF" w:rsidRDefault="00813D70" w:rsidP="00813D70">
      <w:pPr>
        <w:pStyle w:val="Odstavecseseznamem"/>
        <w:numPr>
          <w:ilvl w:val="0"/>
          <w:numId w:val="33"/>
        </w:numPr>
        <w:spacing w:after="240"/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lastRenderedPageBreak/>
        <w:t>Vzdělávání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Kladně hodnotíme nesnižování prostředků na vzdělávání a školské služby v roce 2013 (123,7 mld. Kč)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Jako problematické vidíme návrhy výdajů kapitoly MŠMT na 2014 a 2015 (oproti 2013 snížení o -4,66%, resp. -9,2 %). Pokud by snížení mělo nastat, chceme, aby bylo vázáno na základní strukturní změny, například zavedení reformy financování regionálního školství a VŠ</w:t>
      </w:r>
    </w:p>
    <w:p w:rsidR="00813D70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Požadujeme, aby v těchto letech byly alokovány prostředky k zajištění podpory technického školství a bylo velmi rychle přistoupeno k celkové reformě vzdělávací soustavy reagující na potřeby trhu práce</w:t>
      </w:r>
    </w:p>
    <w:p w:rsidR="00037F28" w:rsidRPr="00037F28" w:rsidRDefault="00037F28" w:rsidP="00712708">
      <w:pPr>
        <w:pStyle w:val="Odstavecseseznamem"/>
        <w:spacing w:after="240" w:line="240" w:lineRule="auto"/>
      </w:pPr>
    </w:p>
    <w:p w:rsidR="00813D70" w:rsidRPr="00975CCF" w:rsidRDefault="00813D70" w:rsidP="00712708">
      <w:pPr>
        <w:pStyle w:val="Odstavecseseznamem"/>
        <w:numPr>
          <w:ilvl w:val="0"/>
          <w:numId w:val="33"/>
        </w:numPr>
        <w:spacing w:after="240" w:line="240" w:lineRule="auto"/>
        <w:rPr>
          <w:b/>
          <w:sz w:val="28"/>
          <w:szCs w:val="28"/>
        </w:rPr>
      </w:pPr>
      <w:r w:rsidRPr="00975CCF">
        <w:rPr>
          <w:b/>
          <w:sz w:val="28"/>
          <w:szCs w:val="28"/>
        </w:rPr>
        <w:t>Hospodaření veřejné správy</w:t>
      </w:r>
    </w:p>
    <w:p w:rsidR="00975CCF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 xml:space="preserve">Nedochází k zeštíhlení veřejné sféry, kdy meziroční růst průměrných platů se snižuje </w:t>
      </w:r>
    </w:p>
    <w:p w:rsidR="00813D70" w:rsidRPr="00037F28" w:rsidRDefault="00813D70" w:rsidP="00975CCF">
      <w:pPr>
        <w:pStyle w:val="Odstavecseseznamem"/>
        <w:spacing w:after="240"/>
      </w:pPr>
      <w:r w:rsidRPr="00037F28">
        <w:t>o 0,2 % a počet funkčních míst se zvyšuje o 0,2 %, v roce 2013 zhruba o 1000 státních zaměstnanců více (426 tis. zaměstnanců, 128 mld. Kč na platy)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Nákupy služeb 33,2 mld. Kč (pokles o 5 %), Ostatní nákupy pokles pouze 0,1 % (výdaje na opravy a údržbu, programové vybavení, cestovné, výdaje na pohoštění). Poplatky za vedení účtů peněžním ústavům: 200 mil. Kč (ze 150 mil. Kč),…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Veřejná správa neprovedla změny vedoucí k zásadním úsporám v nákladech na jejich provoz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Stejně významným problémem je výkonnost státní správy. Duplicita a nekoordinovanost činností, absence klientského přístupu patří mezi znaky demonstrující nízkou výkonnost</w:t>
      </w:r>
    </w:p>
    <w:p w:rsidR="00813D70" w:rsidRPr="00037F28" w:rsidRDefault="00813D70" w:rsidP="00813D70">
      <w:pPr>
        <w:pStyle w:val="Odstavecseseznamem"/>
        <w:numPr>
          <w:ilvl w:val="0"/>
          <w:numId w:val="29"/>
        </w:numPr>
        <w:spacing w:after="240"/>
      </w:pPr>
      <w:r w:rsidRPr="00037F28">
        <w:t>Požadujeme informace a řešení ve věcech: stav centrálních nákupů, rozpor mezi počtem úředníků a objednávanými externími službami, rozsah majetku a jeho správa, duplicita a koordinace činností, koncepce veřejné správy a alokace kapacit a zdrojů</w:t>
      </w:r>
    </w:p>
    <w:p w:rsidR="00813D70" w:rsidRDefault="008504A9" w:rsidP="00813D70">
      <w:pPr>
        <w:pStyle w:val="Odstavecseseznamem"/>
        <w:spacing w:after="240"/>
        <w:rPr>
          <w:b/>
        </w:rPr>
      </w:pPr>
      <w:r w:rsidRPr="008504A9">
        <w:pict>
          <v:rect id="_x0000_s1028" style="position:absolute;left:0;text-align:left;margin-left:30.25pt;margin-top:12.9pt;width:426.45pt;height:226.1pt;z-index:-251657728" strokeweight="1.5pt"/>
        </w:pict>
      </w:r>
    </w:p>
    <w:p w:rsidR="00813D70" w:rsidRDefault="00813D70" w:rsidP="00813D70">
      <w:pPr>
        <w:pStyle w:val="Odstavecseseznamem"/>
        <w:spacing w:after="240"/>
        <w:jc w:val="both"/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 xml:space="preserve">Jako problém vidíme nejenom rozsah kapitol, ale i vnitřní směřování s ohledem na potřebu posílit konkurenceschopnost a zvýšit hospodárnost. Stav reforem (školství, podpora </w:t>
      </w:r>
      <w:proofErr w:type="spellStart"/>
      <w:r>
        <w:rPr>
          <w:b/>
          <w:color w:val="000000" w:themeColor="text1"/>
          <w:sz w:val="24"/>
          <w:szCs w:val="28"/>
        </w:rPr>
        <w:t>VaV</w:t>
      </w:r>
      <w:proofErr w:type="spellEnd"/>
      <w:r>
        <w:rPr>
          <w:b/>
          <w:color w:val="000000" w:themeColor="text1"/>
          <w:sz w:val="24"/>
          <w:szCs w:val="28"/>
        </w:rPr>
        <w:t>,…) předurčuje efektivnost vynakládaných prostředků. V tomto smyslu je SR pouze resultátem problémů, které sám o sobě nemůže řešit</w:t>
      </w:r>
    </w:p>
    <w:p w:rsidR="00813D70" w:rsidRDefault="00813D70" w:rsidP="00813D70">
      <w:pPr>
        <w:pStyle w:val="Odstavecseseznamem"/>
        <w:spacing w:after="240"/>
        <w:jc w:val="both"/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>Veřejná správa představuje vysoce nákladný systém s neodpovídající výkonností. Mezi základní příčiny patří:</w:t>
      </w:r>
    </w:p>
    <w:p w:rsidR="00813D70" w:rsidRDefault="00813D70" w:rsidP="00813D70">
      <w:pPr>
        <w:pStyle w:val="Odstavecseseznamem"/>
        <w:numPr>
          <w:ilvl w:val="0"/>
          <w:numId w:val="34"/>
        </w:numPr>
        <w:spacing w:after="240"/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>nevyužívání sdílených služeb a centrálních nákupů</w:t>
      </w:r>
    </w:p>
    <w:p w:rsidR="00813D70" w:rsidRDefault="00813D70" w:rsidP="00813D70">
      <w:pPr>
        <w:pStyle w:val="Odstavecseseznamem"/>
        <w:numPr>
          <w:ilvl w:val="0"/>
          <w:numId w:val="34"/>
        </w:numPr>
        <w:spacing w:after="240"/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>existence duplicit a nízkou schopnost koordinovat svou činnost</w:t>
      </w:r>
    </w:p>
    <w:p w:rsidR="00813D70" w:rsidRDefault="00813D70" w:rsidP="00813D70">
      <w:pPr>
        <w:pStyle w:val="Odstavecseseznamem"/>
        <w:numPr>
          <w:ilvl w:val="0"/>
          <w:numId w:val="34"/>
        </w:numPr>
        <w:spacing w:after="240"/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>nízká propojenost zájmu státní správy s výkonností ekonomiky</w:t>
      </w:r>
    </w:p>
    <w:p w:rsidR="00813D70" w:rsidRDefault="00813D70" w:rsidP="00813D70">
      <w:pPr>
        <w:pStyle w:val="Odstavecseseznamem"/>
        <w:numPr>
          <w:ilvl w:val="0"/>
          <w:numId w:val="34"/>
        </w:numPr>
        <w:spacing w:after="240"/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>nízký stupeň uplatnění klientského přístupu</w:t>
      </w:r>
    </w:p>
    <w:p w:rsidR="00813D70" w:rsidRDefault="00813D70" w:rsidP="00813D70">
      <w:pPr>
        <w:pStyle w:val="Odstavecseseznamem"/>
        <w:numPr>
          <w:ilvl w:val="0"/>
          <w:numId w:val="34"/>
        </w:numPr>
        <w:spacing w:after="240"/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>problémy v personální politice</w:t>
      </w:r>
    </w:p>
    <w:p w:rsidR="00813D70" w:rsidRDefault="00813D70" w:rsidP="00813D70">
      <w:pPr>
        <w:pStyle w:val="Odstavecseseznamem"/>
        <w:spacing w:after="240"/>
        <w:jc w:val="both"/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>Vyšší hospodárnost ve výdajích na státní administrativu vytváří prostor pro aktivní politiku vlády v oblasti podpory podnikání a nezbytných investic.</w:t>
      </w:r>
    </w:p>
    <w:p w:rsidR="00690850" w:rsidRDefault="00690850" w:rsidP="00037F28">
      <w:pPr>
        <w:pStyle w:val="Zkladntext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:rsidR="00037F28" w:rsidRDefault="00037F28" w:rsidP="00037F28">
      <w:pPr>
        <w:pStyle w:val="Zkladntext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:rsidR="00037F28" w:rsidRDefault="00037F28" w:rsidP="00037F28">
      <w:pPr>
        <w:pStyle w:val="Zkladntext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  <w:lang w:eastAsia="en-US"/>
        </w:rPr>
        <w:t>V Praze 24. října 2012</w:t>
      </w:r>
    </w:p>
    <w:sectPr w:rsidR="00037F28" w:rsidSect="00566AE9">
      <w:footerReference w:type="default" r:id="rId9"/>
      <w:headerReference w:type="first" r:id="rId10"/>
      <w:footerReference w:type="first" r:id="rId11"/>
      <w:type w:val="continuous"/>
      <w:pgSz w:w="11906" w:h="16838"/>
      <w:pgMar w:top="1701" w:right="1418" w:bottom="1135" w:left="1418" w:header="992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BC7" w:rsidRDefault="00A52BC7">
      <w:r>
        <w:separator/>
      </w:r>
    </w:p>
  </w:endnote>
  <w:endnote w:type="continuationSeparator" w:id="0">
    <w:p w:rsidR="00A52BC7" w:rsidRDefault="00A52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G Omeg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Raav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C0" w:rsidRDefault="008504A9">
    <w:pPr>
      <w:pStyle w:val="Zpat"/>
      <w:jc w:val="right"/>
    </w:pPr>
    <w:r>
      <w:fldChar w:fldCharType="begin"/>
    </w:r>
    <w:r w:rsidR="0011690C">
      <w:instrText xml:space="preserve"> PAGE   \* MERGEFORMAT </w:instrText>
    </w:r>
    <w:r>
      <w:fldChar w:fldCharType="separate"/>
    </w:r>
    <w:r w:rsidR="0081653B">
      <w:rPr>
        <w:noProof/>
      </w:rPr>
      <w:t>4</w:t>
    </w:r>
    <w:r>
      <w:fldChar w:fldCharType="end"/>
    </w:r>
  </w:p>
  <w:p w:rsidR="00BB4DC0" w:rsidRDefault="00BB4DC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284" w:rsidRDefault="008F5E18" w:rsidP="008C4284">
    <w:pPr>
      <w:pStyle w:val="Zpat"/>
      <w:tabs>
        <w:tab w:val="left" w:pos="6804"/>
      </w:tabs>
      <w:spacing w:line="240" w:lineRule="atLeast"/>
      <w:rPr>
        <w:rFonts w:ascii="CG Omega" w:hAnsi="CG Omega"/>
        <w:color w:val="005FA4"/>
        <w:sz w:val="16"/>
      </w:rPr>
    </w:pPr>
    <w:r>
      <w:rPr>
        <w:rFonts w:ascii="CG Omega" w:hAnsi="CG Omega"/>
        <w:noProof/>
        <w:color w:val="005FA4"/>
        <w:sz w:val="1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4266565</wp:posOffset>
          </wp:positionH>
          <wp:positionV relativeFrom="paragraph">
            <wp:posOffset>130810</wp:posOffset>
          </wp:positionV>
          <wp:extent cx="1543685" cy="373380"/>
          <wp:effectExtent l="19050" t="0" r="0" b="0"/>
          <wp:wrapNone/>
          <wp:docPr id="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373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C4284" w:rsidRPr="00B94002">
      <w:rPr>
        <w:rFonts w:ascii="CG Omega" w:hAnsi="CG Omega"/>
        <w:noProof/>
        <w:color w:val="005FA4"/>
        <w:sz w:val="16"/>
      </w:rPr>
      <w:t>Freyova 948/11, 190 05  Praha 9</w:t>
    </w:r>
    <w:r w:rsidR="008C4284">
      <w:rPr>
        <w:rFonts w:ascii="CG Omega" w:hAnsi="CG Omega"/>
        <w:color w:val="005FA4"/>
        <w:sz w:val="16"/>
      </w:rPr>
      <w:tab/>
    </w:r>
    <w:r w:rsidR="008C4284">
      <w:rPr>
        <w:rFonts w:ascii="CG Omega" w:hAnsi="CG Omega"/>
        <w:color w:val="005FA4"/>
        <w:sz w:val="16"/>
      </w:rPr>
      <w:tab/>
    </w:r>
  </w:p>
  <w:p w:rsidR="008C4284" w:rsidRDefault="008C4284" w:rsidP="008C4284">
    <w:pPr>
      <w:pStyle w:val="Zpat"/>
      <w:tabs>
        <w:tab w:val="left" w:pos="6663"/>
      </w:tabs>
      <w:spacing w:line="240" w:lineRule="atLeast"/>
      <w:rPr>
        <w:rFonts w:ascii="CG Omega" w:hAnsi="CG Omega"/>
        <w:color w:val="005FA4"/>
        <w:sz w:val="16"/>
      </w:rPr>
    </w:pPr>
    <w:r>
      <w:rPr>
        <w:rFonts w:ascii="CG Omega" w:hAnsi="CG Omega"/>
        <w:color w:val="005FA4"/>
        <w:sz w:val="16"/>
      </w:rPr>
      <w:t>Tel.: +420 225 279 111, Fax: +420 225 279 100</w:t>
    </w:r>
  </w:p>
  <w:p w:rsidR="008C4284" w:rsidRPr="00587D54" w:rsidRDefault="008C4284" w:rsidP="008C4284">
    <w:pPr>
      <w:pStyle w:val="Zpat"/>
      <w:tabs>
        <w:tab w:val="left" w:pos="6663"/>
      </w:tabs>
      <w:spacing w:line="240" w:lineRule="atLeast"/>
    </w:pPr>
    <w:r>
      <w:rPr>
        <w:rFonts w:ascii="CG Omega" w:hAnsi="CG Omega"/>
        <w:color w:val="005FA4"/>
        <w:sz w:val="16"/>
      </w:rPr>
      <w:t>e-mail: spcr</w:t>
    </w:r>
    <w:r w:rsidRPr="001F5E2B">
      <w:rPr>
        <w:rFonts w:ascii="CG Omega" w:hAnsi="CG Omega"/>
        <w:color w:val="005FA4"/>
        <w:sz w:val="16"/>
      </w:rPr>
      <w:t>@spcr.cz</w:t>
    </w:r>
    <w:r>
      <w:rPr>
        <w:rFonts w:ascii="CG Omega" w:hAnsi="CG Omega"/>
        <w:color w:val="005FA4"/>
        <w:sz w:val="16"/>
      </w:rPr>
      <w:t xml:space="preserve">, </w:t>
    </w:r>
    <w:r w:rsidRPr="001F5E2B">
      <w:rPr>
        <w:rFonts w:ascii="CG Omega" w:hAnsi="CG Omega"/>
        <w:color w:val="005FA4"/>
        <w:sz w:val="16"/>
      </w:rPr>
      <w:t>www.spcr.cz</w:t>
    </w:r>
  </w:p>
  <w:p w:rsidR="008C4284" w:rsidRDefault="008C428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BC7" w:rsidRDefault="00A52BC7">
      <w:r>
        <w:separator/>
      </w:r>
    </w:p>
  </w:footnote>
  <w:footnote w:type="continuationSeparator" w:id="0">
    <w:p w:rsidR="00A52BC7" w:rsidRDefault="00A52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284" w:rsidRPr="00EF65E4" w:rsidRDefault="008F5E18" w:rsidP="008C4284">
    <w:pPr>
      <w:pStyle w:val="Zhlav"/>
      <w:tabs>
        <w:tab w:val="clear" w:pos="4536"/>
        <w:tab w:val="left" w:pos="1134"/>
        <w:tab w:val="left" w:pos="6663"/>
      </w:tabs>
      <w:rPr>
        <w:rFonts w:ascii="CG Omega" w:hAnsi="CG Omega" w:cs="Raavi"/>
        <w:color w:val="005FA4"/>
        <w:sz w:val="24"/>
        <w:szCs w:val="24"/>
      </w:rPr>
    </w:pPr>
    <w:r>
      <w:rPr>
        <w:rFonts w:ascii="CG Omega" w:hAnsi="CG Omega" w:cs="Raavi"/>
        <w:noProof/>
        <w:color w:val="005FA4"/>
        <w:sz w:val="24"/>
        <w:szCs w:val="24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28575</wp:posOffset>
          </wp:positionV>
          <wp:extent cx="626110" cy="464820"/>
          <wp:effectExtent l="19050" t="0" r="2540" b="0"/>
          <wp:wrapNone/>
          <wp:docPr id="1" name="obrázek 10" descr="sp2005mod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sp2005mod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110" cy="464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C4284">
      <w:rPr>
        <w:rFonts w:ascii="CG Omega" w:hAnsi="CG Omega" w:cs="Raavi"/>
        <w:color w:val="005FA4"/>
        <w:sz w:val="24"/>
        <w:szCs w:val="24"/>
      </w:rPr>
      <w:tab/>
    </w:r>
    <w:r w:rsidR="008C4284" w:rsidRPr="00EF65E4">
      <w:rPr>
        <w:rFonts w:ascii="CG Omega" w:hAnsi="CG Omega" w:cs="Raavi"/>
        <w:color w:val="005FA4"/>
        <w:sz w:val="24"/>
        <w:szCs w:val="24"/>
      </w:rPr>
      <w:t>Svaz průmyslu a dopravy České republiky</w:t>
    </w:r>
  </w:p>
  <w:p w:rsidR="008C4284" w:rsidRPr="00EF65E4" w:rsidRDefault="008C4284" w:rsidP="008C4284">
    <w:pPr>
      <w:pStyle w:val="Zhlav"/>
      <w:tabs>
        <w:tab w:val="clear" w:pos="4536"/>
        <w:tab w:val="left" w:pos="1134"/>
        <w:tab w:val="left" w:pos="6663"/>
      </w:tabs>
      <w:ind w:firstLine="1134"/>
      <w:rPr>
        <w:rFonts w:ascii="CG Omega" w:hAnsi="CG Omega" w:cs="Raavi"/>
        <w:color w:val="005FA4"/>
        <w:sz w:val="24"/>
        <w:szCs w:val="24"/>
      </w:rPr>
    </w:pPr>
    <w:r w:rsidRPr="00EF65E4">
      <w:rPr>
        <w:rFonts w:ascii="CG Omega" w:hAnsi="CG Omega" w:cs="Raavi"/>
        <w:color w:val="005FA4"/>
        <w:sz w:val="24"/>
        <w:szCs w:val="24"/>
      </w:rPr>
      <w:t>Confederation of Industry of the Czech Republic</w:t>
    </w:r>
  </w:p>
  <w:p w:rsidR="008C4284" w:rsidRDefault="008C428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D59"/>
    <w:multiLevelType w:val="hybridMultilevel"/>
    <w:tmpl w:val="0DB8CE98"/>
    <w:lvl w:ilvl="0" w:tplc="12280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84BA9"/>
    <w:multiLevelType w:val="hybridMultilevel"/>
    <w:tmpl w:val="4BBE4276"/>
    <w:lvl w:ilvl="0" w:tplc="75329F7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14103A"/>
    <w:multiLevelType w:val="hybridMultilevel"/>
    <w:tmpl w:val="97285BFC"/>
    <w:lvl w:ilvl="0" w:tplc="512464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65397"/>
    <w:multiLevelType w:val="hybridMultilevel"/>
    <w:tmpl w:val="207EF4D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>
    <w:nsid w:val="09662F6A"/>
    <w:multiLevelType w:val="hybridMultilevel"/>
    <w:tmpl w:val="65968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D1078"/>
    <w:multiLevelType w:val="hybridMultilevel"/>
    <w:tmpl w:val="6EC61D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791943"/>
    <w:multiLevelType w:val="hybridMultilevel"/>
    <w:tmpl w:val="BA8E6242"/>
    <w:lvl w:ilvl="0" w:tplc="784EE57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F003B2"/>
    <w:multiLevelType w:val="hybridMultilevel"/>
    <w:tmpl w:val="AF606E2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8A94630"/>
    <w:multiLevelType w:val="hybridMultilevel"/>
    <w:tmpl w:val="0DB8CE98"/>
    <w:lvl w:ilvl="0" w:tplc="12280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532958"/>
    <w:multiLevelType w:val="hybridMultilevel"/>
    <w:tmpl w:val="4A44921E"/>
    <w:lvl w:ilvl="0" w:tplc="ED928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D14C89"/>
    <w:multiLevelType w:val="hybridMultilevel"/>
    <w:tmpl w:val="A89E5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9022B"/>
    <w:multiLevelType w:val="hybridMultilevel"/>
    <w:tmpl w:val="7A62A824"/>
    <w:lvl w:ilvl="0" w:tplc="C10427D4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F4424C"/>
    <w:multiLevelType w:val="hybridMultilevel"/>
    <w:tmpl w:val="590A6394"/>
    <w:lvl w:ilvl="0" w:tplc="0405000F">
      <w:start w:val="1"/>
      <w:numFmt w:val="decimal"/>
      <w:lvlText w:val="%1."/>
      <w:lvlJc w:val="left"/>
      <w:pPr>
        <w:ind w:left="1430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>
    <w:nsid w:val="2A094633"/>
    <w:multiLevelType w:val="hybridMultilevel"/>
    <w:tmpl w:val="9A7E7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897277"/>
    <w:multiLevelType w:val="hybridMultilevel"/>
    <w:tmpl w:val="FB28DDB8"/>
    <w:lvl w:ilvl="0" w:tplc="764CD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15F26"/>
    <w:multiLevelType w:val="hybridMultilevel"/>
    <w:tmpl w:val="E2928C82"/>
    <w:lvl w:ilvl="0" w:tplc="0405000F">
      <w:start w:val="1"/>
      <w:numFmt w:val="decimal"/>
      <w:lvlText w:val="%1."/>
      <w:lvlJc w:val="left"/>
      <w:pPr>
        <w:ind w:left="1430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01">
      <w:start w:val="1"/>
      <w:numFmt w:val="bullet"/>
      <w:lvlText w:val=""/>
      <w:lvlJc w:val="left"/>
      <w:pPr>
        <w:ind w:left="287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6">
    <w:nsid w:val="33D41337"/>
    <w:multiLevelType w:val="hybridMultilevel"/>
    <w:tmpl w:val="8C60AF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1309F"/>
    <w:multiLevelType w:val="hybridMultilevel"/>
    <w:tmpl w:val="AF606E2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9FF32EB"/>
    <w:multiLevelType w:val="hybridMultilevel"/>
    <w:tmpl w:val="7A62A824"/>
    <w:lvl w:ilvl="0" w:tplc="C10427D4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631E9E"/>
    <w:multiLevelType w:val="hybridMultilevel"/>
    <w:tmpl w:val="208CFE30"/>
    <w:lvl w:ilvl="0" w:tplc="4AEE01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933F6"/>
    <w:multiLevelType w:val="hybridMultilevel"/>
    <w:tmpl w:val="A1B05710"/>
    <w:lvl w:ilvl="0" w:tplc="0B424962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32626C"/>
    <w:multiLevelType w:val="hybridMultilevel"/>
    <w:tmpl w:val="1782520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B45688"/>
    <w:multiLevelType w:val="hybridMultilevel"/>
    <w:tmpl w:val="DEDC2B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E62FD6"/>
    <w:multiLevelType w:val="hybridMultilevel"/>
    <w:tmpl w:val="E21259F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4">
    <w:nsid w:val="55626073"/>
    <w:multiLevelType w:val="hybridMultilevel"/>
    <w:tmpl w:val="D93C7D2A"/>
    <w:lvl w:ilvl="0" w:tplc="0405000F">
      <w:start w:val="1"/>
      <w:numFmt w:val="decimal"/>
      <w:lvlText w:val="%1."/>
      <w:lvlJc w:val="left"/>
      <w:pPr>
        <w:ind w:left="1430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01">
      <w:start w:val="1"/>
      <w:numFmt w:val="bullet"/>
      <w:lvlText w:val=""/>
      <w:lvlJc w:val="left"/>
      <w:pPr>
        <w:ind w:left="287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>
    <w:nsid w:val="5A6A6D8A"/>
    <w:multiLevelType w:val="hybridMultilevel"/>
    <w:tmpl w:val="39FE1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317B42"/>
    <w:multiLevelType w:val="hybridMultilevel"/>
    <w:tmpl w:val="A9D00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7A48A3"/>
    <w:multiLevelType w:val="multilevel"/>
    <w:tmpl w:val="C7D0FE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>
    <w:nsid w:val="5F8A03DE"/>
    <w:multiLevelType w:val="hybridMultilevel"/>
    <w:tmpl w:val="F80212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A713B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6D367AA"/>
    <w:multiLevelType w:val="hybridMultilevel"/>
    <w:tmpl w:val="6F081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AE21E9"/>
    <w:multiLevelType w:val="hybridMultilevel"/>
    <w:tmpl w:val="2E9EBB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AA436C"/>
    <w:multiLevelType w:val="hybridMultilevel"/>
    <w:tmpl w:val="A554067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13"/>
  </w:num>
  <w:num w:numId="4">
    <w:abstractNumId w:val="10"/>
  </w:num>
  <w:num w:numId="5">
    <w:abstractNumId w:val="30"/>
  </w:num>
  <w:num w:numId="6">
    <w:abstractNumId w:val="16"/>
  </w:num>
  <w:num w:numId="7">
    <w:abstractNumId w:val="22"/>
  </w:num>
  <w:num w:numId="8">
    <w:abstractNumId w:val="26"/>
  </w:num>
  <w:num w:numId="9">
    <w:abstractNumId w:val="1"/>
  </w:num>
  <w:num w:numId="10">
    <w:abstractNumId w:val="28"/>
  </w:num>
  <w:num w:numId="11">
    <w:abstractNumId w:val="4"/>
  </w:num>
  <w:num w:numId="12">
    <w:abstractNumId w:val="27"/>
  </w:num>
  <w:num w:numId="13">
    <w:abstractNumId w:val="0"/>
  </w:num>
  <w:num w:numId="14">
    <w:abstractNumId w:val="9"/>
  </w:num>
  <w:num w:numId="15">
    <w:abstractNumId w:val="8"/>
  </w:num>
  <w:num w:numId="16">
    <w:abstractNumId w:val="17"/>
  </w:num>
  <w:num w:numId="17">
    <w:abstractNumId w:val="7"/>
  </w:num>
  <w:num w:numId="18">
    <w:abstractNumId w:val="3"/>
  </w:num>
  <w:num w:numId="19">
    <w:abstractNumId w:val="24"/>
  </w:num>
  <w:num w:numId="20">
    <w:abstractNumId w:val="12"/>
  </w:num>
  <w:num w:numId="21">
    <w:abstractNumId w:val="19"/>
  </w:num>
  <w:num w:numId="22">
    <w:abstractNumId w:val="15"/>
  </w:num>
  <w:num w:numId="23">
    <w:abstractNumId w:val="32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"/>
  </w:num>
  <w:num w:numId="27">
    <w:abstractNumId w:val="14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6E14D4"/>
    <w:rsid w:val="00002430"/>
    <w:rsid w:val="00015A35"/>
    <w:rsid w:val="00037F28"/>
    <w:rsid w:val="00050672"/>
    <w:rsid w:val="000538FC"/>
    <w:rsid w:val="0006655D"/>
    <w:rsid w:val="000711F8"/>
    <w:rsid w:val="000712BF"/>
    <w:rsid w:val="000721D7"/>
    <w:rsid w:val="00093318"/>
    <w:rsid w:val="000A1AC4"/>
    <w:rsid w:val="000B6FCA"/>
    <w:rsid w:val="000C1CCD"/>
    <w:rsid w:val="000F41B1"/>
    <w:rsid w:val="001017BE"/>
    <w:rsid w:val="0011690C"/>
    <w:rsid w:val="00146EE6"/>
    <w:rsid w:val="00171795"/>
    <w:rsid w:val="0019279B"/>
    <w:rsid w:val="00195BE5"/>
    <w:rsid w:val="001A0EED"/>
    <w:rsid w:val="001A2C52"/>
    <w:rsid w:val="001D552C"/>
    <w:rsid w:val="001D5D41"/>
    <w:rsid w:val="001F5E2B"/>
    <w:rsid w:val="002147E3"/>
    <w:rsid w:val="002148EB"/>
    <w:rsid w:val="00233DC9"/>
    <w:rsid w:val="0024100F"/>
    <w:rsid w:val="00241369"/>
    <w:rsid w:val="0026315A"/>
    <w:rsid w:val="00270BD0"/>
    <w:rsid w:val="00273377"/>
    <w:rsid w:val="002C2EB2"/>
    <w:rsid w:val="002F1ACD"/>
    <w:rsid w:val="002F2412"/>
    <w:rsid w:val="00307F00"/>
    <w:rsid w:val="00311EFB"/>
    <w:rsid w:val="003122D2"/>
    <w:rsid w:val="003326E6"/>
    <w:rsid w:val="003370C6"/>
    <w:rsid w:val="0034035A"/>
    <w:rsid w:val="00352C9D"/>
    <w:rsid w:val="0035777F"/>
    <w:rsid w:val="0036516B"/>
    <w:rsid w:val="003652B3"/>
    <w:rsid w:val="00385270"/>
    <w:rsid w:val="00394FD5"/>
    <w:rsid w:val="00396EF8"/>
    <w:rsid w:val="003B2382"/>
    <w:rsid w:val="003E7BA4"/>
    <w:rsid w:val="0040042D"/>
    <w:rsid w:val="00404034"/>
    <w:rsid w:val="00411B37"/>
    <w:rsid w:val="00430101"/>
    <w:rsid w:val="00433E40"/>
    <w:rsid w:val="004343BA"/>
    <w:rsid w:val="004445E2"/>
    <w:rsid w:val="00453923"/>
    <w:rsid w:val="004626C4"/>
    <w:rsid w:val="0047139D"/>
    <w:rsid w:val="00472C6D"/>
    <w:rsid w:val="00485CBD"/>
    <w:rsid w:val="00496D25"/>
    <w:rsid w:val="004A0ECF"/>
    <w:rsid w:val="004A2979"/>
    <w:rsid w:val="004C3388"/>
    <w:rsid w:val="004D1445"/>
    <w:rsid w:val="004E58FE"/>
    <w:rsid w:val="004F0DF4"/>
    <w:rsid w:val="00500ABF"/>
    <w:rsid w:val="0050201F"/>
    <w:rsid w:val="00516FB6"/>
    <w:rsid w:val="00527BD9"/>
    <w:rsid w:val="00566AE9"/>
    <w:rsid w:val="00574DEE"/>
    <w:rsid w:val="00577009"/>
    <w:rsid w:val="005841B8"/>
    <w:rsid w:val="00584957"/>
    <w:rsid w:val="00587D54"/>
    <w:rsid w:val="00593B1D"/>
    <w:rsid w:val="005B025C"/>
    <w:rsid w:val="005B1027"/>
    <w:rsid w:val="005C1F95"/>
    <w:rsid w:val="005C3774"/>
    <w:rsid w:val="005E1681"/>
    <w:rsid w:val="005F451A"/>
    <w:rsid w:val="00615B61"/>
    <w:rsid w:val="00616389"/>
    <w:rsid w:val="00621B47"/>
    <w:rsid w:val="006262CB"/>
    <w:rsid w:val="00637610"/>
    <w:rsid w:val="00640932"/>
    <w:rsid w:val="00640AB4"/>
    <w:rsid w:val="006467D7"/>
    <w:rsid w:val="006472EA"/>
    <w:rsid w:val="00671B89"/>
    <w:rsid w:val="0067718D"/>
    <w:rsid w:val="00677907"/>
    <w:rsid w:val="00682983"/>
    <w:rsid w:val="00690850"/>
    <w:rsid w:val="006928C4"/>
    <w:rsid w:val="00693884"/>
    <w:rsid w:val="006C1D8F"/>
    <w:rsid w:val="006C5382"/>
    <w:rsid w:val="006D0310"/>
    <w:rsid w:val="006D194E"/>
    <w:rsid w:val="006D34A3"/>
    <w:rsid w:val="006D4347"/>
    <w:rsid w:val="006D65BA"/>
    <w:rsid w:val="006D677E"/>
    <w:rsid w:val="006E14D4"/>
    <w:rsid w:val="006F0098"/>
    <w:rsid w:val="006F4CC2"/>
    <w:rsid w:val="00712708"/>
    <w:rsid w:val="00727D99"/>
    <w:rsid w:val="00732740"/>
    <w:rsid w:val="00750836"/>
    <w:rsid w:val="007604C1"/>
    <w:rsid w:val="0076145D"/>
    <w:rsid w:val="00765261"/>
    <w:rsid w:val="00766799"/>
    <w:rsid w:val="00775AA4"/>
    <w:rsid w:val="0078247A"/>
    <w:rsid w:val="00793E4B"/>
    <w:rsid w:val="007A01BB"/>
    <w:rsid w:val="007B25C2"/>
    <w:rsid w:val="007D5038"/>
    <w:rsid w:val="007D64F6"/>
    <w:rsid w:val="007F7BF5"/>
    <w:rsid w:val="0080509F"/>
    <w:rsid w:val="00813D70"/>
    <w:rsid w:val="00815197"/>
    <w:rsid w:val="0081653B"/>
    <w:rsid w:val="00834564"/>
    <w:rsid w:val="00840C14"/>
    <w:rsid w:val="008504A9"/>
    <w:rsid w:val="00875071"/>
    <w:rsid w:val="00875CD5"/>
    <w:rsid w:val="00875E90"/>
    <w:rsid w:val="00884BB5"/>
    <w:rsid w:val="008A25C0"/>
    <w:rsid w:val="008A47A0"/>
    <w:rsid w:val="008B73A2"/>
    <w:rsid w:val="008C2631"/>
    <w:rsid w:val="008C4284"/>
    <w:rsid w:val="008D0F85"/>
    <w:rsid w:val="008E27CA"/>
    <w:rsid w:val="008F5C9F"/>
    <w:rsid w:val="008F5E18"/>
    <w:rsid w:val="00914719"/>
    <w:rsid w:val="009304EF"/>
    <w:rsid w:val="00933CD2"/>
    <w:rsid w:val="00936E8B"/>
    <w:rsid w:val="00975CCF"/>
    <w:rsid w:val="0099755B"/>
    <w:rsid w:val="00997910"/>
    <w:rsid w:val="009A4E03"/>
    <w:rsid w:val="009B4A41"/>
    <w:rsid w:val="009C0545"/>
    <w:rsid w:val="009C622D"/>
    <w:rsid w:val="009E3388"/>
    <w:rsid w:val="009F2B00"/>
    <w:rsid w:val="009F2E19"/>
    <w:rsid w:val="00A02AFE"/>
    <w:rsid w:val="00A0490A"/>
    <w:rsid w:val="00A37080"/>
    <w:rsid w:val="00A52181"/>
    <w:rsid w:val="00A5253E"/>
    <w:rsid w:val="00A52BC7"/>
    <w:rsid w:val="00A61A5B"/>
    <w:rsid w:val="00A65856"/>
    <w:rsid w:val="00A77B80"/>
    <w:rsid w:val="00A9630C"/>
    <w:rsid w:val="00AA5B1E"/>
    <w:rsid w:val="00AB5818"/>
    <w:rsid w:val="00AE387A"/>
    <w:rsid w:val="00B036FA"/>
    <w:rsid w:val="00B063A8"/>
    <w:rsid w:val="00B164CF"/>
    <w:rsid w:val="00B25500"/>
    <w:rsid w:val="00B34137"/>
    <w:rsid w:val="00B3451C"/>
    <w:rsid w:val="00B37806"/>
    <w:rsid w:val="00B40971"/>
    <w:rsid w:val="00B4157B"/>
    <w:rsid w:val="00B44AC6"/>
    <w:rsid w:val="00B46215"/>
    <w:rsid w:val="00B507E1"/>
    <w:rsid w:val="00B664B1"/>
    <w:rsid w:val="00B71EEA"/>
    <w:rsid w:val="00B8053F"/>
    <w:rsid w:val="00B83705"/>
    <w:rsid w:val="00B84241"/>
    <w:rsid w:val="00B87CA1"/>
    <w:rsid w:val="00B90998"/>
    <w:rsid w:val="00B91DA9"/>
    <w:rsid w:val="00B94002"/>
    <w:rsid w:val="00BB06BB"/>
    <w:rsid w:val="00BB2045"/>
    <w:rsid w:val="00BB47AC"/>
    <w:rsid w:val="00BB4DC0"/>
    <w:rsid w:val="00BC25F0"/>
    <w:rsid w:val="00BD1085"/>
    <w:rsid w:val="00BE5E6D"/>
    <w:rsid w:val="00BF297C"/>
    <w:rsid w:val="00C0285D"/>
    <w:rsid w:val="00C07B22"/>
    <w:rsid w:val="00C14F44"/>
    <w:rsid w:val="00C45F31"/>
    <w:rsid w:val="00C53022"/>
    <w:rsid w:val="00C9219D"/>
    <w:rsid w:val="00CA2678"/>
    <w:rsid w:val="00CA51B0"/>
    <w:rsid w:val="00CC2DD2"/>
    <w:rsid w:val="00CC4928"/>
    <w:rsid w:val="00CC4CC3"/>
    <w:rsid w:val="00CD0DCD"/>
    <w:rsid w:val="00CE5C0C"/>
    <w:rsid w:val="00D034C0"/>
    <w:rsid w:val="00D16418"/>
    <w:rsid w:val="00D22879"/>
    <w:rsid w:val="00D429FE"/>
    <w:rsid w:val="00D43EC8"/>
    <w:rsid w:val="00D50BD2"/>
    <w:rsid w:val="00D52ACB"/>
    <w:rsid w:val="00D6020C"/>
    <w:rsid w:val="00D639D6"/>
    <w:rsid w:val="00D74A61"/>
    <w:rsid w:val="00D91BF6"/>
    <w:rsid w:val="00DB6221"/>
    <w:rsid w:val="00E10EDE"/>
    <w:rsid w:val="00E33B1D"/>
    <w:rsid w:val="00E365FC"/>
    <w:rsid w:val="00E42CAA"/>
    <w:rsid w:val="00E45824"/>
    <w:rsid w:val="00E57638"/>
    <w:rsid w:val="00E62B86"/>
    <w:rsid w:val="00E74A6C"/>
    <w:rsid w:val="00E81FCE"/>
    <w:rsid w:val="00E8690D"/>
    <w:rsid w:val="00EA51CC"/>
    <w:rsid w:val="00EA5740"/>
    <w:rsid w:val="00EB04E6"/>
    <w:rsid w:val="00EB64E3"/>
    <w:rsid w:val="00EB74EB"/>
    <w:rsid w:val="00EC32BA"/>
    <w:rsid w:val="00EE0647"/>
    <w:rsid w:val="00EE2664"/>
    <w:rsid w:val="00EE6967"/>
    <w:rsid w:val="00EF65E4"/>
    <w:rsid w:val="00F008EF"/>
    <w:rsid w:val="00F07B1C"/>
    <w:rsid w:val="00F12A31"/>
    <w:rsid w:val="00F257BD"/>
    <w:rsid w:val="00F2754F"/>
    <w:rsid w:val="00F363FC"/>
    <w:rsid w:val="00F41AA8"/>
    <w:rsid w:val="00F41F64"/>
    <w:rsid w:val="00F7070D"/>
    <w:rsid w:val="00F91363"/>
    <w:rsid w:val="00F950B8"/>
    <w:rsid w:val="00FB4F01"/>
    <w:rsid w:val="00FC1009"/>
    <w:rsid w:val="00FC678F"/>
    <w:rsid w:val="00FE28A6"/>
    <w:rsid w:val="00FE4E68"/>
    <w:rsid w:val="00FF1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14719"/>
  </w:style>
  <w:style w:type="paragraph" w:styleId="Nadpis1">
    <w:name w:val="heading 1"/>
    <w:basedOn w:val="Normln"/>
    <w:next w:val="Normln"/>
    <w:qFormat/>
    <w:rsid w:val="00914719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14719"/>
    <w:pPr>
      <w:keepNext/>
      <w:jc w:val="both"/>
      <w:outlineLvl w:val="1"/>
    </w:pPr>
    <w:rPr>
      <w:sz w:val="24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496D2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14719"/>
    <w:rPr>
      <w:color w:val="0000FF"/>
      <w:u w:val="single"/>
    </w:rPr>
  </w:style>
  <w:style w:type="paragraph" w:styleId="Zhlav">
    <w:name w:val="header"/>
    <w:basedOn w:val="Normln"/>
    <w:rsid w:val="0091471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147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4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B94002"/>
  </w:style>
  <w:style w:type="paragraph" w:styleId="Zkladntext">
    <w:name w:val="Body Text"/>
    <w:basedOn w:val="Normln"/>
    <w:link w:val="ZkladntextChar"/>
    <w:rsid w:val="00E57638"/>
    <w:pPr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E5763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33C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766799"/>
    <w:rPr>
      <w:sz w:val="16"/>
      <w:szCs w:val="16"/>
    </w:rPr>
  </w:style>
  <w:style w:type="paragraph" w:styleId="Textkomente">
    <w:name w:val="annotation text"/>
    <w:basedOn w:val="Normln"/>
    <w:link w:val="TextkomenteChar"/>
    <w:rsid w:val="00766799"/>
  </w:style>
  <w:style w:type="character" w:customStyle="1" w:styleId="TextkomenteChar">
    <w:name w:val="Text komentáře Char"/>
    <w:basedOn w:val="Standardnpsmoodstavce"/>
    <w:link w:val="Textkomente"/>
    <w:rsid w:val="00766799"/>
  </w:style>
  <w:style w:type="paragraph" w:styleId="Pedmtkomente">
    <w:name w:val="annotation subject"/>
    <w:basedOn w:val="Textkomente"/>
    <w:next w:val="Textkomente"/>
    <w:link w:val="PedmtkomenteChar"/>
    <w:rsid w:val="007667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66799"/>
    <w:rPr>
      <w:b/>
      <w:bCs/>
    </w:rPr>
  </w:style>
  <w:style w:type="paragraph" w:styleId="Textbubliny">
    <w:name w:val="Balloon Text"/>
    <w:basedOn w:val="Normln"/>
    <w:link w:val="TextbublinyChar"/>
    <w:rsid w:val="007667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66799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815197"/>
    <w:rPr>
      <w:color w:val="000000"/>
    </w:rPr>
  </w:style>
  <w:style w:type="paragraph" w:styleId="Zkladntextodsazen2">
    <w:name w:val="Body Text Indent 2"/>
    <w:basedOn w:val="Normln"/>
    <w:link w:val="Zkladntextodsazen2Char"/>
    <w:rsid w:val="00496D2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496D25"/>
  </w:style>
  <w:style w:type="character" w:customStyle="1" w:styleId="Nadpis5Char">
    <w:name w:val="Nadpis 5 Char"/>
    <w:basedOn w:val="Standardnpsmoodstavce"/>
    <w:link w:val="Nadpis5"/>
    <w:semiHidden/>
    <w:rsid w:val="00496D25"/>
    <w:rPr>
      <w:rFonts w:ascii="Calibri" w:hAnsi="Calibri"/>
      <w:b/>
      <w:bCs/>
      <w:i/>
      <w:iCs/>
      <w:sz w:val="26"/>
      <w:szCs w:val="26"/>
    </w:rPr>
  </w:style>
  <w:style w:type="paragraph" w:customStyle="1" w:styleId="CM1">
    <w:name w:val="CM1"/>
    <w:basedOn w:val="Normln"/>
    <w:next w:val="Normln"/>
    <w:rsid w:val="00496D25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496D2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96D25"/>
    <w:rPr>
      <w:sz w:val="16"/>
      <w:szCs w:val="16"/>
    </w:rPr>
  </w:style>
  <w:style w:type="paragraph" w:styleId="Zkladntext2">
    <w:name w:val="Body Text 2"/>
    <w:basedOn w:val="Normln"/>
    <w:link w:val="Zkladntext2Char"/>
    <w:rsid w:val="00496D25"/>
    <w:pPr>
      <w:spacing w:after="120" w:line="480" w:lineRule="auto"/>
    </w:pPr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496D25"/>
    <w:rPr>
      <w:sz w:val="24"/>
      <w:szCs w:val="24"/>
    </w:rPr>
  </w:style>
  <w:style w:type="paragraph" w:styleId="Prosttext">
    <w:name w:val="Plain Text"/>
    <w:basedOn w:val="Normln"/>
    <w:link w:val="ProsttextChar"/>
    <w:rsid w:val="00496D25"/>
    <w:pPr>
      <w:spacing w:after="240"/>
    </w:pPr>
    <w:rPr>
      <w:rFonts w:ascii="Verdana" w:hAnsi="Verdana"/>
      <w:sz w:val="18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496D25"/>
    <w:rPr>
      <w:rFonts w:ascii="Verdana" w:hAnsi="Verdana"/>
      <w:sz w:val="18"/>
      <w:szCs w:val="21"/>
      <w:lang w:eastAsia="en-US"/>
    </w:rPr>
  </w:style>
  <w:style w:type="paragraph" w:styleId="Normlnweb">
    <w:name w:val="Normal (Web)"/>
    <w:basedOn w:val="Normln"/>
    <w:rsid w:val="00496D2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3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1366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Hlavička dopisního papíru SP ČR</vt:lpstr>
    </vt:vector>
  </TitlesOfParts>
  <Manager>Ing. Zdeněk Liška</Manager>
  <Company>Svaz průmyslu a dopravy ČR</Company>
  <LinksUpToDate>false</LinksUpToDate>
  <CharactersWithSpaces>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dopisního papíru SP ČR</dc:title>
  <dc:subject/>
  <dc:creator>Petra Ježková</dc:creator>
  <cp:keywords/>
  <cp:lastModifiedBy>Your User Name</cp:lastModifiedBy>
  <cp:revision>4</cp:revision>
  <cp:lastPrinted>2012-09-20T13:19:00Z</cp:lastPrinted>
  <dcterms:created xsi:type="dcterms:W3CDTF">2012-09-20T13:32:00Z</dcterms:created>
  <dcterms:modified xsi:type="dcterms:W3CDTF">2012-09-21T12:23:00Z</dcterms:modified>
</cp:coreProperties>
</file>