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42" w:rsidRDefault="004B2742" w:rsidP="008D499F">
      <w:pPr>
        <w:autoSpaceDE w:val="0"/>
        <w:autoSpaceDN w:val="0"/>
        <w:adjustRightInd w:val="0"/>
        <w:spacing w:after="0" w:line="288" w:lineRule="auto"/>
        <w:textAlignment w:val="center"/>
        <w:rPr>
          <w:rFonts w:ascii="Calibri" w:hAnsi="Calibri" w:cs="Calibri"/>
          <w:color w:val="404040" w:themeColor="text1" w:themeTint="BF"/>
        </w:rPr>
      </w:pPr>
    </w:p>
    <w:p w:rsidR="0087452E" w:rsidRDefault="0087452E" w:rsidP="008D499F">
      <w:pPr>
        <w:autoSpaceDE w:val="0"/>
        <w:autoSpaceDN w:val="0"/>
        <w:adjustRightInd w:val="0"/>
        <w:spacing w:after="0" w:line="288" w:lineRule="auto"/>
        <w:textAlignment w:val="center"/>
        <w:rPr>
          <w:rFonts w:ascii="Calibri" w:hAnsi="Calibri" w:cs="Calibri"/>
          <w:color w:val="404040" w:themeColor="text1" w:themeTint="BF"/>
        </w:rPr>
      </w:pPr>
    </w:p>
    <w:p w:rsidR="0087452E" w:rsidRDefault="0087452E" w:rsidP="008D499F">
      <w:pPr>
        <w:autoSpaceDE w:val="0"/>
        <w:autoSpaceDN w:val="0"/>
        <w:adjustRightInd w:val="0"/>
        <w:spacing w:after="0" w:line="288" w:lineRule="auto"/>
        <w:textAlignment w:val="center"/>
        <w:rPr>
          <w:rFonts w:ascii="Calibri" w:hAnsi="Calibri" w:cs="Calibri"/>
          <w:color w:val="404040" w:themeColor="text1" w:themeTint="BF"/>
        </w:rPr>
      </w:pPr>
    </w:p>
    <w:p w:rsidR="004B2742" w:rsidRDefault="004B2742" w:rsidP="008D499F">
      <w:pPr>
        <w:autoSpaceDE w:val="0"/>
        <w:autoSpaceDN w:val="0"/>
        <w:adjustRightInd w:val="0"/>
        <w:spacing w:after="0" w:line="288" w:lineRule="auto"/>
        <w:textAlignment w:val="center"/>
        <w:rPr>
          <w:rFonts w:ascii="Calibri" w:hAnsi="Calibri" w:cs="Calibri"/>
          <w:color w:val="404040" w:themeColor="text1" w:themeTint="BF"/>
        </w:rPr>
      </w:pPr>
    </w:p>
    <w:p w:rsidR="004B2742" w:rsidRDefault="004B2742" w:rsidP="008D499F">
      <w:pPr>
        <w:autoSpaceDE w:val="0"/>
        <w:autoSpaceDN w:val="0"/>
        <w:adjustRightInd w:val="0"/>
        <w:spacing w:after="0" w:line="288" w:lineRule="auto"/>
        <w:textAlignment w:val="center"/>
        <w:rPr>
          <w:rFonts w:ascii="Calibri" w:hAnsi="Calibri" w:cs="Calibri"/>
          <w:color w:val="404040" w:themeColor="text1" w:themeTint="BF"/>
        </w:rPr>
      </w:pPr>
    </w:p>
    <w:p w:rsidR="006D3088" w:rsidRDefault="00CF73EB" w:rsidP="001D010A">
      <w:pPr>
        <w:pStyle w:val="Nzev"/>
        <w:rPr>
          <w:szCs w:val="36"/>
        </w:rPr>
      </w:pPr>
      <w:r w:rsidRPr="006D3088">
        <w:rPr>
          <w:szCs w:val="36"/>
        </w:rPr>
        <w:t>Stanovisko Svazu průmyslu a dopravy ČR</w:t>
      </w:r>
      <w:r w:rsidR="001D010A" w:rsidRPr="006D3088">
        <w:rPr>
          <w:szCs w:val="36"/>
        </w:rPr>
        <w:t xml:space="preserve"> </w:t>
      </w:r>
    </w:p>
    <w:p w:rsidR="00CF73EB" w:rsidRPr="006D3088" w:rsidRDefault="001D010A" w:rsidP="001D010A">
      <w:pPr>
        <w:pStyle w:val="Nzev"/>
        <w:rPr>
          <w:szCs w:val="36"/>
        </w:rPr>
      </w:pPr>
      <w:r w:rsidRPr="006D3088">
        <w:rPr>
          <w:szCs w:val="36"/>
        </w:rPr>
        <w:t xml:space="preserve">K bodu 1.2: </w:t>
      </w:r>
      <w:r w:rsidR="00CF73EB" w:rsidRPr="006D3088">
        <w:rPr>
          <w:szCs w:val="36"/>
        </w:rPr>
        <w:t>Stav čerpání prostředků z fondů EU</w:t>
      </w:r>
    </w:p>
    <w:p w:rsidR="002C4667" w:rsidRDefault="002C4667" w:rsidP="002C4667">
      <w:pPr>
        <w:pStyle w:val="Odstavecseseznamem"/>
        <w:numPr>
          <w:ilvl w:val="0"/>
          <w:numId w:val="45"/>
        </w:numPr>
        <w:spacing w:after="20" w:line="266" w:lineRule="auto"/>
        <w:ind w:left="709"/>
        <w:rPr>
          <w:rFonts w:cs="Arial"/>
          <w:color w:val="404040" w:themeColor="text1" w:themeTint="BF"/>
        </w:rPr>
      </w:pPr>
      <w:r w:rsidRPr="00D46263">
        <w:rPr>
          <w:rFonts w:cs="Arial"/>
          <w:b/>
          <w:color w:val="404040" w:themeColor="text1" w:themeTint="BF"/>
        </w:rPr>
        <w:t>V podkladových materiálech opět poskytnuty pouze spíše popisné informace o stavu (počet vyhlášených výzev a stav čerpání)</w:t>
      </w:r>
      <w:r w:rsidRPr="00C32AF0">
        <w:rPr>
          <w:rFonts w:cs="Arial"/>
          <w:color w:val="404040" w:themeColor="text1" w:themeTint="BF"/>
        </w:rPr>
        <w:t xml:space="preserve">, které příliš pozitivní z pohledu čerpání nejsou. </w:t>
      </w:r>
      <w:r w:rsidRPr="00D46263">
        <w:rPr>
          <w:rFonts w:cs="Arial"/>
          <w:b/>
          <w:color w:val="404040" w:themeColor="text1" w:themeTint="BF"/>
        </w:rPr>
        <w:t>K </w:t>
      </w:r>
      <w:proofErr w:type="gramStart"/>
      <w:r w:rsidRPr="00D46263">
        <w:rPr>
          <w:rFonts w:cs="Arial"/>
          <w:b/>
          <w:color w:val="404040" w:themeColor="text1" w:themeTint="BF"/>
        </w:rPr>
        <w:t>31.3. bylo</w:t>
      </w:r>
      <w:proofErr w:type="gramEnd"/>
      <w:r w:rsidRPr="00D46263">
        <w:rPr>
          <w:rFonts w:cs="Arial"/>
          <w:b/>
          <w:color w:val="404040" w:themeColor="text1" w:themeTint="BF"/>
        </w:rPr>
        <w:t xml:space="preserve"> vyhlášeno dle materiálu 480 výzev s alokací 505,5 mld. Kč. V právních aktech o poskytnutí podpory (</w:t>
      </w:r>
      <w:proofErr w:type="spellStart"/>
      <w:r w:rsidRPr="00D46263">
        <w:rPr>
          <w:rFonts w:cs="Arial"/>
          <w:b/>
          <w:color w:val="404040" w:themeColor="text1" w:themeTint="BF"/>
        </w:rPr>
        <w:t>zasmluvněno</w:t>
      </w:r>
      <w:proofErr w:type="spellEnd"/>
      <w:r w:rsidRPr="00D46263">
        <w:rPr>
          <w:rFonts w:cs="Arial"/>
          <w:b/>
          <w:color w:val="404040" w:themeColor="text1" w:themeTint="BF"/>
        </w:rPr>
        <w:t>) je cca 150 mld. Kč (cca ¼ celkové alokace).</w:t>
      </w:r>
      <w:r w:rsidRPr="00C32AF0">
        <w:rPr>
          <w:rFonts w:cs="Arial"/>
          <w:color w:val="404040" w:themeColor="text1" w:themeTint="BF"/>
        </w:rPr>
        <w:t xml:space="preserve"> Dle mezinárodního srovnání je ČR 7. nejhorší, i když to se v průběhu tohoto roku postupně lepší.</w:t>
      </w:r>
    </w:p>
    <w:p w:rsidR="00212916" w:rsidRPr="00C32AF0" w:rsidRDefault="00212916" w:rsidP="00212916">
      <w:pPr>
        <w:pStyle w:val="Odstavecseseznamem"/>
        <w:spacing w:after="20" w:line="266" w:lineRule="auto"/>
        <w:ind w:left="709"/>
        <w:rPr>
          <w:rFonts w:cs="Arial"/>
          <w:color w:val="404040" w:themeColor="text1" w:themeTint="BF"/>
        </w:rPr>
      </w:pPr>
    </w:p>
    <w:p w:rsidR="002C4667" w:rsidRPr="00D46263" w:rsidRDefault="002C4667" w:rsidP="00996F17">
      <w:pPr>
        <w:pStyle w:val="Odstavecseseznamem"/>
        <w:numPr>
          <w:ilvl w:val="0"/>
          <w:numId w:val="45"/>
        </w:numPr>
        <w:spacing w:after="120" w:line="266" w:lineRule="auto"/>
        <w:ind w:left="709"/>
        <w:contextualSpacing w:val="0"/>
        <w:rPr>
          <w:b/>
          <w:color w:val="404040" w:themeColor="text1" w:themeTint="BF"/>
        </w:rPr>
      </w:pPr>
      <w:r w:rsidRPr="00D46263">
        <w:rPr>
          <w:b/>
          <w:color w:val="404040" w:themeColor="text1" w:themeTint="BF"/>
        </w:rPr>
        <w:t>OPPIK</w:t>
      </w:r>
    </w:p>
    <w:p w:rsidR="002C4667" w:rsidRPr="001D010A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b/>
          <w:color w:val="404040" w:themeColor="text1" w:themeTint="BF"/>
        </w:rPr>
      </w:pPr>
      <w:r w:rsidRPr="001D010A">
        <w:rPr>
          <w:b/>
          <w:color w:val="404040" w:themeColor="text1" w:themeTint="BF"/>
        </w:rPr>
        <w:t>Podařilo se s MPO konstruktivně</w:t>
      </w:r>
      <w:r w:rsidR="001D010A">
        <w:rPr>
          <w:b/>
          <w:color w:val="404040" w:themeColor="text1" w:themeTint="BF"/>
        </w:rPr>
        <w:t xml:space="preserve"> a věcně</w:t>
      </w:r>
      <w:r w:rsidRPr="001D010A">
        <w:rPr>
          <w:b/>
          <w:color w:val="404040" w:themeColor="text1" w:themeTint="BF"/>
        </w:rPr>
        <w:t xml:space="preserve"> řadu věcí upravit a řešit či jsou v</w:t>
      </w:r>
      <w:r w:rsidR="001D010A">
        <w:rPr>
          <w:b/>
          <w:color w:val="404040" w:themeColor="text1" w:themeTint="BF"/>
        </w:rPr>
        <w:t> </w:t>
      </w:r>
      <w:r w:rsidRPr="001D010A">
        <w:rPr>
          <w:b/>
          <w:color w:val="404040" w:themeColor="text1" w:themeTint="BF"/>
        </w:rPr>
        <w:t>řešení</w:t>
      </w:r>
      <w:r w:rsidR="001D010A">
        <w:rPr>
          <w:b/>
          <w:color w:val="404040" w:themeColor="text1" w:themeTint="BF"/>
        </w:rPr>
        <w:t>, za což děkujeme</w:t>
      </w:r>
      <w:r w:rsidRPr="001D010A">
        <w:rPr>
          <w:b/>
          <w:color w:val="404040" w:themeColor="text1" w:themeTint="BF"/>
        </w:rPr>
        <w:t xml:space="preserve">. O pozitivních změnách jsme informovali naše členy. Zásadní je opravdu ve všech případech dodržet a udržet rychlost hodnocení kolem 2-3 měsíců s maximálním limitem 5 měsíců. Toto dle dat od MPO se zdá, že by se mohlo podařit. </w:t>
      </w:r>
      <w:r w:rsidR="006D3088">
        <w:rPr>
          <w:b/>
          <w:color w:val="404040" w:themeColor="text1" w:themeTint="BF"/>
        </w:rPr>
        <w:t xml:space="preserve">I v následujících bodech si spolupráce vážíme. Návrh usnesení v části týkající se MPO </w:t>
      </w:r>
      <w:r w:rsidR="00515E31">
        <w:rPr>
          <w:b/>
          <w:color w:val="404040" w:themeColor="text1" w:themeTint="BF"/>
        </w:rPr>
        <w:t>vychází i z výsledků jednání s MPO.</w:t>
      </w:r>
    </w:p>
    <w:p w:rsidR="002C4667" w:rsidRPr="001D010A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b/>
          <w:color w:val="404040" w:themeColor="text1" w:themeTint="BF"/>
        </w:rPr>
      </w:pPr>
      <w:r w:rsidRPr="001D010A">
        <w:rPr>
          <w:b/>
          <w:color w:val="404040" w:themeColor="text1" w:themeTint="BF"/>
        </w:rPr>
        <w:t>Společně s MPO jsme apelovali na firmy, aby čerpaly a opravdu předkládaly žádosti o platby v daných termínech.</w:t>
      </w:r>
      <w:r w:rsidR="001D010A">
        <w:rPr>
          <w:b/>
          <w:color w:val="404040" w:themeColor="text1" w:themeTint="BF"/>
        </w:rPr>
        <w:t xml:space="preserve"> </w:t>
      </w:r>
      <w:proofErr w:type="gramStart"/>
      <w:r w:rsidRPr="001D010A">
        <w:rPr>
          <w:b/>
          <w:color w:val="404040" w:themeColor="text1" w:themeTint="BF"/>
        </w:rPr>
        <w:t>Nicméně, pokud</w:t>
      </w:r>
      <w:proofErr w:type="gramEnd"/>
      <w:r w:rsidRPr="001D010A">
        <w:rPr>
          <w:b/>
          <w:color w:val="404040" w:themeColor="text1" w:themeTint="BF"/>
        </w:rPr>
        <w:t xml:space="preserve"> firmy neplní termíny z Rozhodnutí v důsledku dlouhých hodnotících procesů v loňském roce, požadujeme, aby termíny posouvalo, jinak dojde ke ztrátě i již schválených projektů</w:t>
      </w:r>
      <w:r w:rsidRPr="001D010A">
        <w:rPr>
          <w:color w:val="404040" w:themeColor="text1" w:themeTint="BF"/>
        </w:rPr>
        <w:t xml:space="preserve">. </w:t>
      </w:r>
      <w:r w:rsidRPr="001D010A">
        <w:rPr>
          <w:b/>
          <w:color w:val="404040" w:themeColor="text1" w:themeTint="BF"/>
        </w:rPr>
        <w:t>Příkladem jsou projekty ve vývoji v programu Aplikace, kde někteří žadatelé i zvažují, zda od projektu neodstoupí, pokud jim termín nebude posunut.</w:t>
      </w:r>
      <w:r w:rsidRPr="001D010A">
        <w:rPr>
          <w:color w:val="404040" w:themeColor="text1" w:themeTint="BF"/>
        </w:rPr>
        <w:t xml:space="preserve"> </w:t>
      </w:r>
      <w:r w:rsidRPr="001D010A">
        <w:rPr>
          <w:b/>
          <w:color w:val="404040" w:themeColor="text1" w:themeTint="BF"/>
        </w:rPr>
        <w:t>Pokud jsou v rozhodnutí (získaném na začátku roku 2017) uvedeny termíny vycházející z původního harmonogramu z předložené žádosti před téměř rokem a půl (na podzim roku 2015), pak se logicky původní termíny obtížně plní a výrazně se zkracuje doba realizace.</w:t>
      </w:r>
      <w:r w:rsidRPr="001D010A">
        <w:rPr>
          <w:color w:val="404040" w:themeColor="text1" w:themeTint="BF"/>
        </w:rPr>
        <w:t xml:space="preserve"> Dle podmínek doba realizace projektu nesmí překročit 4 roky od data přijatelnost projektu, nerozhodne-li poskytovatel dotace jinak. Zkrácená doba na řešení projektu velmi komplikuje našim členům dodržení všech podmínek stanovených programem a řadu procesů nelze urychlit. </w:t>
      </w:r>
      <w:r w:rsidR="001D010A">
        <w:rPr>
          <w:b/>
          <w:color w:val="404040" w:themeColor="text1" w:themeTint="BF"/>
        </w:rPr>
        <w:t>Požádali jsme</w:t>
      </w:r>
      <w:r w:rsidRPr="001D010A">
        <w:rPr>
          <w:b/>
          <w:color w:val="404040" w:themeColor="text1" w:themeTint="BF"/>
        </w:rPr>
        <w:t xml:space="preserve"> MPO, aby žadatelům v těchto případech p</w:t>
      </w:r>
      <w:r w:rsidR="001D010A">
        <w:rPr>
          <w:b/>
          <w:color w:val="404040" w:themeColor="text1" w:themeTint="BF"/>
        </w:rPr>
        <w:t>osunutí termínu ihned schválilo. MPO přislíbilo na osobních jednáních, že tuto situaci v těchto dnech napraví a v těchto případech bude termíny posouvat.</w:t>
      </w:r>
    </w:p>
    <w:p w:rsidR="002C4667" w:rsidRPr="001D010A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color w:val="404040" w:themeColor="text1" w:themeTint="BF"/>
        </w:rPr>
      </w:pPr>
      <w:r w:rsidRPr="001D010A">
        <w:rPr>
          <w:b/>
          <w:color w:val="404040" w:themeColor="text1" w:themeTint="BF"/>
        </w:rPr>
        <w:t xml:space="preserve">Svaz </w:t>
      </w:r>
      <w:r w:rsidR="001D010A">
        <w:rPr>
          <w:b/>
          <w:color w:val="404040" w:themeColor="text1" w:themeTint="BF"/>
        </w:rPr>
        <w:t>ve spolupráci s MPO a</w:t>
      </w:r>
      <w:r w:rsidRPr="001D010A">
        <w:rPr>
          <w:b/>
          <w:color w:val="404040" w:themeColor="text1" w:themeTint="BF"/>
        </w:rPr>
        <w:t xml:space="preserve"> v zájmu zlepšení čerpání v oblasti energetických úspor oslovil členské subjekty, aby se, pokud připravují projekt/y s využitím prostředků z OPPIK, zapojily do průzkumu zájmu o čerpání.</w:t>
      </w:r>
      <w:r w:rsidRPr="001D010A">
        <w:rPr>
          <w:color w:val="404040" w:themeColor="text1" w:themeTint="BF"/>
        </w:rPr>
        <w:t xml:space="preserve"> Cílem je zamezení ohrožení realizace řady potenciálních projektů a maximální využití prostředků v programu Úspory energie. </w:t>
      </w:r>
      <w:r w:rsidRPr="001D010A">
        <w:rPr>
          <w:b/>
          <w:color w:val="404040" w:themeColor="text1" w:themeTint="BF"/>
        </w:rPr>
        <w:t>Svaz považuje za primární provést pozitivní úpravy a vyjednání navržených změn s Evropskou komisí, zejména změny limitace alokace pro velké podniky. Případné realokace lze řešit až následně. V tuto chvíli by předkládání návrhu na realokace (či jen diskuse o nich s Evropskou komisí či veřejností) vedlo dle Svazu pouze k narušení jednání s Evropskou komisí (a ohrožení jak prosazení změny limitace u Komise) či k ohrožení v čerpání a plnění cílů.</w:t>
      </w:r>
      <w:r w:rsidRPr="001D010A">
        <w:rPr>
          <w:color w:val="404040" w:themeColor="text1" w:themeTint="BF"/>
        </w:rPr>
        <w:t xml:space="preserve"> </w:t>
      </w:r>
      <w:r w:rsidRPr="001D010A">
        <w:rPr>
          <w:b/>
          <w:color w:val="404040" w:themeColor="text1" w:themeTint="BF"/>
        </w:rPr>
        <w:t>Stejně tak jsme požádali MPO o koordinaci ohledně dalšího osudu současné a plánované výzvy Úspor energie</w:t>
      </w:r>
      <w:r w:rsidRPr="001D010A">
        <w:rPr>
          <w:color w:val="404040" w:themeColor="text1" w:themeTint="BF"/>
        </w:rPr>
        <w:t xml:space="preserve">, aby případná prohlášení MPO nevedla </w:t>
      </w:r>
      <w:r w:rsidR="001D010A">
        <w:rPr>
          <w:color w:val="404040" w:themeColor="text1" w:themeTint="BF"/>
        </w:rPr>
        <w:t>k nezamýšleným důsledkům</w:t>
      </w:r>
      <w:r w:rsidRPr="001D010A">
        <w:rPr>
          <w:color w:val="404040" w:themeColor="text1" w:themeTint="BF"/>
        </w:rPr>
        <w:t xml:space="preserve"> a </w:t>
      </w:r>
      <w:proofErr w:type="spellStart"/>
      <w:r w:rsidRPr="001D010A">
        <w:rPr>
          <w:color w:val="404040" w:themeColor="text1" w:themeTint="BF"/>
        </w:rPr>
        <w:t>nerealizaci</w:t>
      </w:r>
      <w:proofErr w:type="spellEnd"/>
      <w:r w:rsidRPr="001D010A">
        <w:rPr>
          <w:color w:val="404040" w:themeColor="text1" w:themeTint="BF"/>
        </w:rPr>
        <w:t xml:space="preserve"> úspor (tj. neplnění </w:t>
      </w:r>
      <w:r w:rsidR="001D010A">
        <w:rPr>
          <w:color w:val="404040" w:themeColor="text1" w:themeTint="BF"/>
        </w:rPr>
        <w:t xml:space="preserve">hlavního </w:t>
      </w:r>
      <w:r w:rsidRPr="001D010A">
        <w:rPr>
          <w:color w:val="404040" w:themeColor="text1" w:themeTint="BF"/>
        </w:rPr>
        <w:t xml:space="preserve">cíle). </w:t>
      </w:r>
    </w:p>
    <w:p w:rsidR="002C4667" w:rsidRPr="001D010A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b/>
          <w:color w:val="404040" w:themeColor="text1" w:themeTint="BF"/>
        </w:rPr>
      </w:pPr>
      <w:r w:rsidRPr="001D010A">
        <w:rPr>
          <w:b/>
          <w:color w:val="404040" w:themeColor="text1" w:themeTint="BF"/>
        </w:rPr>
        <w:t>Data z čerpání v prioritní ose 1 (zaměřené mimo jiné na vývoj) v programu OP PIK ukazují, že následující nejbližší výzvy nebude možné vypsat</w:t>
      </w:r>
      <w:r w:rsidR="001D010A">
        <w:rPr>
          <w:b/>
          <w:color w:val="404040" w:themeColor="text1" w:themeTint="BF"/>
        </w:rPr>
        <w:t xml:space="preserve"> či alespoň ne v počátku schvalovat projekty</w:t>
      </w:r>
      <w:r w:rsidRPr="001D010A">
        <w:rPr>
          <w:b/>
          <w:color w:val="404040" w:themeColor="text1" w:themeTint="BF"/>
        </w:rPr>
        <w:t xml:space="preserve"> pro velké podniky, čímž řada kvalitních projektů velkých firem či spolupráce univerzit, velkých podniků a malých a středních podniků bude znemožněna. V tuto chvíli je třeba prosadit a zajistit změnu limitace pro velké podniky co nejdříve</w:t>
      </w:r>
      <w:r w:rsidRPr="001D010A">
        <w:rPr>
          <w:color w:val="404040" w:themeColor="text1" w:themeTint="BF"/>
        </w:rPr>
        <w:t xml:space="preserve">. </w:t>
      </w:r>
      <w:r w:rsidRPr="001D010A">
        <w:rPr>
          <w:b/>
          <w:color w:val="404040" w:themeColor="text1" w:themeTint="BF"/>
        </w:rPr>
        <w:t>Svaz zároveň požaduje úpravu nastavení výzev tak, aby bylo možné pro velké podnik</w:t>
      </w:r>
      <w:r w:rsidR="001D010A">
        <w:rPr>
          <w:b/>
          <w:color w:val="404040" w:themeColor="text1" w:themeTint="BF"/>
        </w:rPr>
        <w:t>y do budoucna prostředky čerpat a ihned pro prosazení změny limitu flexibilně reagovat.</w:t>
      </w:r>
    </w:p>
    <w:p w:rsidR="002C4667" w:rsidRPr="001D010A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b/>
          <w:color w:val="404040" w:themeColor="text1" w:themeTint="BF"/>
        </w:rPr>
      </w:pPr>
      <w:r w:rsidRPr="001D010A">
        <w:rPr>
          <w:b/>
          <w:color w:val="404040" w:themeColor="text1" w:themeTint="BF"/>
        </w:rPr>
        <w:t>I nadále se objevují případy, kdy firma i přes schválení projektu, o čemž je informována tzv. depeší, čeká na vyhotovení Rozhodnutí o přidělení dotace i cca 2 měsíce. Řadě firem to brání v zahájení realizace projektu. Požadujeme zajištění urychlení při vydávání rozhodnutí či urychlení procesů kolem výběrových řízení.</w:t>
      </w:r>
    </w:p>
    <w:p w:rsidR="002C4667" w:rsidRPr="001D010A" w:rsidRDefault="002C4667" w:rsidP="00996F17">
      <w:pPr>
        <w:pStyle w:val="Odstavecseseznamem"/>
        <w:numPr>
          <w:ilvl w:val="0"/>
          <w:numId w:val="45"/>
        </w:numPr>
        <w:spacing w:after="120" w:line="266" w:lineRule="auto"/>
        <w:ind w:left="709"/>
        <w:contextualSpacing w:val="0"/>
        <w:rPr>
          <w:b/>
          <w:bCs/>
          <w:color w:val="404040" w:themeColor="text1" w:themeTint="BF"/>
        </w:rPr>
      </w:pPr>
      <w:r w:rsidRPr="001D010A">
        <w:rPr>
          <w:b/>
          <w:bCs/>
          <w:color w:val="404040" w:themeColor="text1" w:themeTint="BF"/>
        </w:rPr>
        <w:t>IROP</w:t>
      </w:r>
    </w:p>
    <w:p w:rsidR="002C4667" w:rsidRPr="001D010A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b/>
          <w:bCs/>
          <w:color w:val="404040" w:themeColor="text1" w:themeTint="BF"/>
        </w:rPr>
      </w:pPr>
      <w:r w:rsidRPr="001D010A">
        <w:rPr>
          <w:b/>
          <w:bCs/>
          <w:color w:val="404040" w:themeColor="text1" w:themeTint="BF"/>
        </w:rPr>
        <w:t xml:space="preserve">Zástupci zaměstnavatelů požadovali urychlené řešení problematiky čerpání v IROP, zejména u specifického cíle 3.2. Premiér přislíbil, že pověří digitálního koordinátora a uloží mu jednání a zajištění čerpání ze strany resortů jako jednu z priorit. Chtěli bychom vidět výsledky, jak se podařilo zvýšit počet předkládaných žádostí ze strany resortů a naplnit tak jejich sliby k předkládání resortů. Zda vláda zvýšila tlak na své resorty a zajistila tak čerpání prostředků v oblasti </w:t>
      </w:r>
      <w:proofErr w:type="spellStart"/>
      <w:r w:rsidRPr="001D010A">
        <w:rPr>
          <w:b/>
          <w:bCs/>
          <w:color w:val="404040" w:themeColor="text1" w:themeTint="BF"/>
        </w:rPr>
        <w:t>eGovrenmentu</w:t>
      </w:r>
      <w:proofErr w:type="spellEnd"/>
      <w:r w:rsidRPr="001D010A">
        <w:rPr>
          <w:b/>
          <w:bCs/>
          <w:color w:val="404040" w:themeColor="text1" w:themeTint="BF"/>
        </w:rPr>
        <w:t>, kybernetické bezpečnosti apod.</w:t>
      </w:r>
    </w:p>
    <w:p w:rsidR="002C4667" w:rsidRPr="001D010A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 w:rsidRPr="001D010A">
        <w:rPr>
          <w:bCs/>
          <w:color w:val="404040" w:themeColor="text1" w:themeTint="BF"/>
        </w:rPr>
        <w:t>V oblasti silnic zatím (dle informace z jednání PT RHSD pro místní rozvoj a fondy EU) kraje předložily projekty pouze za cca 7 mld. Kč, k dispozici je celkem ale 25 mld. Kč.</w:t>
      </w:r>
    </w:p>
    <w:p w:rsidR="002C4667" w:rsidRPr="001D010A" w:rsidRDefault="002C4667" w:rsidP="00996F17">
      <w:pPr>
        <w:pStyle w:val="Odstavecseseznamem"/>
        <w:numPr>
          <w:ilvl w:val="0"/>
          <w:numId w:val="45"/>
        </w:numPr>
        <w:spacing w:after="120" w:line="266" w:lineRule="auto"/>
        <w:ind w:left="709"/>
        <w:contextualSpacing w:val="0"/>
        <w:rPr>
          <w:b/>
          <w:bCs/>
          <w:color w:val="404040" w:themeColor="text1" w:themeTint="BF"/>
        </w:rPr>
      </w:pPr>
      <w:r w:rsidRPr="001D010A">
        <w:rPr>
          <w:b/>
          <w:bCs/>
          <w:color w:val="404040" w:themeColor="text1" w:themeTint="BF"/>
        </w:rPr>
        <w:t xml:space="preserve">Kohezní politika po roce 2021 </w:t>
      </w:r>
    </w:p>
    <w:p w:rsidR="002C4667" w:rsidRPr="001D010A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 w:rsidRPr="001D010A">
        <w:rPr>
          <w:bCs/>
          <w:color w:val="404040" w:themeColor="text1" w:themeTint="BF"/>
        </w:rPr>
        <w:t xml:space="preserve">Za zásadní požadujeme nutnost nastavení získávání prostředků z ESIF na základě kvality projektu a dopadu na region, a ne dle velikosti firmy. Tj. je nutná podpora čerpání prostředků i pro větší firmy, což má pozitivní efekt i na malé a střední. Svaz sice souhlasí s potřebou více využívat finančních nástrojů, nicméně v některých oblastech považujeme za nutné pokračovat s financováním ve formě grantů, například vysoce inovativní projekty, riskantní projekty či počáteční fáze aplikovaného výzkumu. K tomuto očekáváme diskusi o prioritách. Stále chceme strukturu v ČR měnit směrem k inovacím, vysoké přidané hodnotě. Stát by měl ale posílit povědomí o možnostech finančních nástrojů a například dokončit centralizaci finančních nástrojů, ideálně pod ČMZRB. </w:t>
      </w:r>
    </w:p>
    <w:p w:rsidR="002C4667" w:rsidRPr="00A814B1" w:rsidRDefault="002C4667" w:rsidP="00996F17">
      <w:pPr>
        <w:pStyle w:val="Odstavecseseznamem"/>
        <w:numPr>
          <w:ilvl w:val="0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 w:rsidRPr="001D010A">
        <w:rPr>
          <w:b/>
          <w:bCs/>
          <w:color w:val="404040" w:themeColor="text1" w:themeTint="BF"/>
        </w:rPr>
        <w:t xml:space="preserve">Neobdrželi jsme informace/podklady reagující na usnesení či témata z jednání RHSD dne </w:t>
      </w:r>
      <w:proofErr w:type="gramStart"/>
      <w:r w:rsidRPr="001D010A">
        <w:rPr>
          <w:b/>
          <w:bCs/>
          <w:color w:val="404040" w:themeColor="text1" w:themeTint="BF"/>
        </w:rPr>
        <w:t>21.11.2016</w:t>
      </w:r>
      <w:proofErr w:type="gramEnd"/>
      <w:r w:rsidRPr="001D010A">
        <w:rPr>
          <w:b/>
          <w:bCs/>
          <w:color w:val="404040" w:themeColor="text1" w:themeTint="BF"/>
        </w:rPr>
        <w:t xml:space="preserve"> a 10.4.2017!</w:t>
      </w:r>
      <w:r w:rsidRPr="001D010A">
        <w:rPr>
          <w:bCs/>
          <w:color w:val="404040" w:themeColor="text1" w:themeTint="BF"/>
        </w:rPr>
        <w:t xml:space="preserve"> Tj. nebyly splněny veškeré úkoly či alespoň poskytnuty informace o stavu a plnění. Na jednání PT RHSD pro místní rozvoj a fondy EU část informací MMR předložilo ústně, část je součástí výroční zprávy o implementaci</w:t>
      </w:r>
      <w:r>
        <w:rPr>
          <w:bCs/>
          <w:color w:val="404040" w:themeColor="text1" w:themeTint="BF"/>
        </w:rPr>
        <w:t xml:space="preserve"> Dohody o partnerství (například „semafor“ programů a návrhy opatření).</w:t>
      </w:r>
    </w:p>
    <w:p w:rsidR="002C4667" w:rsidRPr="00A814B1" w:rsidRDefault="002C4667" w:rsidP="00996F17">
      <w:pPr>
        <w:pStyle w:val="Odstavecseseznamem"/>
        <w:numPr>
          <w:ilvl w:val="1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 xml:space="preserve">Pro informaci: </w:t>
      </w:r>
      <w:r w:rsidRPr="00A814B1">
        <w:rPr>
          <w:bCs/>
          <w:color w:val="404040" w:themeColor="text1" w:themeTint="BF"/>
        </w:rPr>
        <w:t xml:space="preserve">Zástupci zaměstnavatelů žádali </w:t>
      </w:r>
      <w:r>
        <w:rPr>
          <w:bCs/>
          <w:color w:val="404040" w:themeColor="text1" w:themeTint="BF"/>
        </w:rPr>
        <w:t xml:space="preserve">na posledních jednáních RHSD </w:t>
      </w:r>
      <w:r w:rsidRPr="00A814B1">
        <w:rPr>
          <w:bCs/>
          <w:color w:val="404040" w:themeColor="text1" w:themeTint="BF"/>
        </w:rPr>
        <w:t>například, aby:</w:t>
      </w:r>
    </w:p>
    <w:p w:rsidR="002C4667" w:rsidRPr="00A814B1" w:rsidRDefault="002C4667" w:rsidP="00996F17">
      <w:pPr>
        <w:pStyle w:val="Odstavecseseznamem"/>
        <w:numPr>
          <w:ilvl w:val="2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 w:rsidRPr="00A814B1">
        <w:rPr>
          <w:bCs/>
          <w:color w:val="404040" w:themeColor="text1" w:themeTint="BF"/>
        </w:rPr>
        <w:t>MMR zpracovalo a předložilo přehled o počtu hodnotitelů ve vztahu k alokovaným prostředkům</w:t>
      </w:r>
      <w:r>
        <w:rPr>
          <w:bCs/>
          <w:color w:val="404040" w:themeColor="text1" w:themeTint="BF"/>
        </w:rPr>
        <w:t xml:space="preserve"> (toto ale již bylo vysvětleno na jednání PT RHSD pro místní rozvoj a fondy EU a výsledná data se ukázala jako nesrovnatelná a zkreslující);</w:t>
      </w:r>
    </w:p>
    <w:p w:rsidR="002C4667" w:rsidRPr="00A814B1" w:rsidRDefault="002C4667" w:rsidP="00996F17">
      <w:pPr>
        <w:pStyle w:val="Odstavecseseznamem"/>
        <w:numPr>
          <w:ilvl w:val="2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z</w:t>
      </w:r>
      <w:r w:rsidRPr="00A814B1">
        <w:rPr>
          <w:bCs/>
          <w:color w:val="404040" w:themeColor="text1" w:themeTint="BF"/>
        </w:rPr>
        <w:t>ástupci vlády osobně na jednáních s EK podpořili MPO při jednání navýšení limitu 20 % a zahrnutí CZ NACE cestovní ru</w:t>
      </w:r>
      <w:r>
        <w:rPr>
          <w:bCs/>
          <w:color w:val="404040" w:themeColor="text1" w:themeTint="BF"/>
        </w:rPr>
        <w:t>ch pro programy v rámci OP PIK;</w:t>
      </w:r>
    </w:p>
    <w:p w:rsidR="002C4667" w:rsidRPr="00A814B1" w:rsidRDefault="002C4667" w:rsidP="00996F17">
      <w:pPr>
        <w:pStyle w:val="Odstavecseseznamem"/>
        <w:numPr>
          <w:ilvl w:val="2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č</w:t>
      </w:r>
      <w:r w:rsidRPr="00A814B1">
        <w:rPr>
          <w:bCs/>
          <w:color w:val="404040" w:themeColor="text1" w:themeTint="BF"/>
        </w:rPr>
        <w:t>lenům Monitorovacích výborů byly poskytovány znění návrhů plánovaných výzev a návrhy nových parametrů výzev s možností případné úpravy diskutovat, primárně zajistit předvídateln</w:t>
      </w:r>
      <w:r>
        <w:rPr>
          <w:bCs/>
          <w:color w:val="404040" w:themeColor="text1" w:themeTint="BF"/>
        </w:rPr>
        <w:t>ost, stabilitu a srozumitelnost;</w:t>
      </w:r>
    </w:p>
    <w:p w:rsidR="002C4667" w:rsidRPr="00A814B1" w:rsidRDefault="002C4667" w:rsidP="00996F17">
      <w:pPr>
        <w:pStyle w:val="Odstavecseseznamem"/>
        <w:numPr>
          <w:ilvl w:val="2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v</w:t>
      </w:r>
      <w:r w:rsidRPr="00A814B1">
        <w:rPr>
          <w:bCs/>
          <w:color w:val="404040" w:themeColor="text1" w:themeTint="BF"/>
        </w:rPr>
        <w:t>láda zajistila na plenárním zasedání předložení informace o plněn</w:t>
      </w:r>
      <w:r>
        <w:rPr>
          <w:bCs/>
          <w:color w:val="404040" w:themeColor="text1" w:themeTint="BF"/>
        </w:rPr>
        <w:t>í požadavků sociálních partnerů;</w:t>
      </w:r>
    </w:p>
    <w:p w:rsidR="002C4667" w:rsidRPr="00A814B1" w:rsidRDefault="002C4667" w:rsidP="00996F17">
      <w:pPr>
        <w:pStyle w:val="Odstavecseseznamem"/>
        <w:numPr>
          <w:ilvl w:val="2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v</w:t>
      </w:r>
      <w:r w:rsidRPr="00A814B1">
        <w:rPr>
          <w:bCs/>
          <w:color w:val="404040" w:themeColor="text1" w:themeTint="BF"/>
        </w:rPr>
        <w:t>láda předložila soubor opatření na zlepšení situace</w:t>
      </w:r>
      <w:r>
        <w:rPr>
          <w:bCs/>
          <w:color w:val="404040" w:themeColor="text1" w:themeTint="BF"/>
        </w:rPr>
        <w:t xml:space="preserve"> a stav jejich plnění;</w:t>
      </w:r>
    </w:p>
    <w:p w:rsidR="002C4667" w:rsidRPr="00A814B1" w:rsidRDefault="002C4667" w:rsidP="00996F17">
      <w:pPr>
        <w:pStyle w:val="Odstavecseseznamem"/>
        <w:numPr>
          <w:ilvl w:val="2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i</w:t>
      </w:r>
      <w:r w:rsidRPr="00A814B1">
        <w:rPr>
          <w:bCs/>
          <w:color w:val="404040" w:themeColor="text1" w:themeTint="BF"/>
        </w:rPr>
        <w:t>nformace o stavu čerpání IROP a o krocích M</w:t>
      </w:r>
      <w:r>
        <w:rPr>
          <w:bCs/>
          <w:color w:val="404040" w:themeColor="text1" w:themeTint="BF"/>
        </w:rPr>
        <w:t>MR a vlády k zajištění čerpání;</w:t>
      </w:r>
    </w:p>
    <w:p w:rsidR="002C4667" w:rsidRPr="00A814B1" w:rsidRDefault="002C4667" w:rsidP="00996F17">
      <w:pPr>
        <w:pStyle w:val="Odstavecseseznamem"/>
        <w:numPr>
          <w:ilvl w:val="2"/>
          <w:numId w:val="45"/>
        </w:numPr>
        <w:spacing w:after="120" w:line="266" w:lineRule="auto"/>
        <w:contextualSpacing w:val="0"/>
        <w:rPr>
          <w:bCs/>
          <w:color w:val="404040" w:themeColor="text1" w:themeTint="BF"/>
        </w:rPr>
      </w:pPr>
      <w:r>
        <w:rPr>
          <w:bCs/>
          <w:color w:val="404040" w:themeColor="text1" w:themeTint="BF"/>
        </w:rPr>
        <w:t>v</w:t>
      </w:r>
      <w:r w:rsidRPr="00A814B1">
        <w:rPr>
          <w:bCs/>
          <w:color w:val="404040" w:themeColor="text1" w:themeTint="BF"/>
        </w:rPr>
        <w:t>láda zajistila, aby neprodleně jednotlivé resorty předložily do vyhlášených výzev přislíbené projekty ve Specifickém cíli 3.2 IROP</w:t>
      </w:r>
      <w:r>
        <w:rPr>
          <w:bCs/>
          <w:color w:val="404040" w:themeColor="text1" w:themeTint="BF"/>
        </w:rPr>
        <w:t>.</w:t>
      </w:r>
    </w:p>
    <w:p w:rsidR="00CF73EB" w:rsidRDefault="00CF73EB" w:rsidP="00996F17">
      <w:pPr>
        <w:pStyle w:val="Bezmezer"/>
        <w:spacing w:after="120"/>
        <w:ind w:left="709" w:hanging="1"/>
        <w:jc w:val="both"/>
        <w:rPr>
          <w:rFonts w:cs="Arial"/>
          <w:b/>
        </w:rPr>
      </w:pPr>
    </w:p>
    <w:p w:rsidR="00CF73EB" w:rsidRPr="003632C1" w:rsidRDefault="00CF73EB" w:rsidP="00996F17">
      <w:pPr>
        <w:pStyle w:val="Nadpis3"/>
        <w:spacing w:after="120"/>
        <w:rPr>
          <w:szCs w:val="24"/>
          <w:u w:val="single"/>
        </w:rPr>
      </w:pPr>
      <w:r w:rsidRPr="003632C1">
        <w:rPr>
          <w:szCs w:val="24"/>
          <w:u w:val="single"/>
        </w:rPr>
        <w:t>Návrh usnesení</w:t>
      </w:r>
    </w:p>
    <w:p w:rsidR="00CF73EB" w:rsidRPr="006D3088" w:rsidRDefault="00426677" w:rsidP="0000029C">
      <w:pPr>
        <w:pStyle w:val="Nadpis3"/>
        <w:spacing w:after="40"/>
        <w:rPr>
          <w:szCs w:val="24"/>
        </w:rPr>
      </w:pPr>
      <w:r w:rsidRPr="006D3088">
        <w:rPr>
          <w:szCs w:val="24"/>
        </w:rPr>
        <w:t>Zástupci zaměstnavatelů</w:t>
      </w:r>
      <w:r w:rsidR="00CF73EB" w:rsidRPr="006D3088">
        <w:rPr>
          <w:szCs w:val="24"/>
        </w:rPr>
        <w:t>:</w:t>
      </w:r>
    </w:p>
    <w:p w:rsidR="002C4667" w:rsidRPr="006D3088" w:rsidRDefault="002C4667" w:rsidP="0000029C">
      <w:pPr>
        <w:pStyle w:val="Odstavecseseznamem"/>
        <w:numPr>
          <w:ilvl w:val="0"/>
          <w:numId w:val="45"/>
        </w:numPr>
        <w:spacing w:after="40" w:line="266" w:lineRule="auto"/>
        <w:ind w:left="993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berou předložený materiál na vědomí;</w:t>
      </w:r>
    </w:p>
    <w:p w:rsidR="002C4667" w:rsidRPr="006D3088" w:rsidRDefault="002C4667" w:rsidP="0000029C">
      <w:pPr>
        <w:pStyle w:val="Odstavecseseznamem"/>
        <w:numPr>
          <w:ilvl w:val="0"/>
          <w:numId w:val="45"/>
        </w:numPr>
        <w:spacing w:after="40" w:line="266" w:lineRule="auto"/>
        <w:ind w:left="993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žádají vládu, aby závěry dohodnuté na jednání RHSD byly respektovány;</w:t>
      </w:r>
    </w:p>
    <w:p w:rsidR="002C4667" w:rsidRPr="006D3088" w:rsidRDefault="002C4667" w:rsidP="0000029C">
      <w:pPr>
        <w:pStyle w:val="Odstavecseseznamem"/>
        <w:numPr>
          <w:ilvl w:val="0"/>
          <w:numId w:val="45"/>
        </w:numPr>
        <w:spacing w:after="40" w:line="266" w:lineRule="auto"/>
        <w:ind w:left="993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děkují MPO za realizaci dohodnutých pozitivních změn, považují plnění dohodnuté rychlosti hodnocení za prioritní;</w:t>
      </w:r>
    </w:p>
    <w:p w:rsidR="002C4667" w:rsidRPr="006D3088" w:rsidRDefault="002C4667" w:rsidP="0000029C">
      <w:pPr>
        <w:pStyle w:val="Odstavecseseznamem"/>
        <w:numPr>
          <w:ilvl w:val="0"/>
          <w:numId w:val="45"/>
        </w:numPr>
        <w:spacing w:after="40" w:line="266" w:lineRule="auto"/>
        <w:ind w:left="993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 xml:space="preserve">požadují od MPO, aby neodkladně po jednání Monitorovacího výboru OPPIK (MV) v červnu předložilo oficiální žádost na změny OP PIK Evropské komisi </w:t>
      </w:r>
      <w:r w:rsidR="001D010A" w:rsidRPr="006D3088">
        <w:rPr>
          <w:b/>
          <w:color w:val="272154"/>
          <w:sz w:val="24"/>
          <w:szCs w:val="24"/>
        </w:rPr>
        <w:t xml:space="preserve">maximálně </w:t>
      </w:r>
      <w:r w:rsidRPr="006D3088">
        <w:rPr>
          <w:b/>
          <w:color w:val="272154"/>
          <w:sz w:val="24"/>
          <w:szCs w:val="24"/>
        </w:rPr>
        <w:t xml:space="preserve">v rozsahu změn předložených MV (týkající se například velkých podniků ve specifických cílech </w:t>
      </w:r>
      <w:proofErr w:type="gramStart"/>
      <w:r w:rsidRPr="006D3088">
        <w:rPr>
          <w:b/>
          <w:color w:val="272154"/>
          <w:sz w:val="24"/>
          <w:szCs w:val="24"/>
        </w:rPr>
        <w:t>1.1. a 3.2</w:t>
      </w:r>
      <w:proofErr w:type="gramEnd"/>
      <w:r w:rsidRPr="006D3088">
        <w:rPr>
          <w:b/>
          <w:color w:val="272154"/>
          <w:sz w:val="24"/>
          <w:szCs w:val="24"/>
        </w:rPr>
        <w:t xml:space="preserve">, cestovního ruchu či pozitivních úprav v programu úspory energie) a uspořádalo jednání na nejvyšší úrovni ČR, DG </w:t>
      </w:r>
      <w:proofErr w:type="spellStart"/>
      <w:r w:rsidRPr="006D3088">
        <w:rPr>
          <w:b/>
          <w:color w:val="272154"/>
          <w:sz w:val="24"/>
          <w:szCs w:val="24"/>
        </w:rPr>
        <w:t>Regio</w:t>
      </w:r>
      <w:proofErr w:type="spellEnd"/>
      <w:r w:rsidRPr="006D3088">
        <w:rPr>
          <w:b/>
          <w:color w:val="272154"/>
          <w:sz w:val="24"/>
          <w:szCs w:val="24"/>
        </w:rPr>
        <w:t>, DG ENERG a DG Research. Žádají v této věci dále:</w:t>
      </w:r>
    </w:p>
    <w:p w:rsidR="002C4667" w:rsidRPr="006D3088" w:rsidRDefault="002C4667" w:rsidP="0000029C">
      <w:pPr>
        <w:pStyle w:val="Odstavecseseznamem"/>
        <w:numPr>
          <w:ilvl w:val="1"/>
          <w:numId w:val="45"/>
        </w:numPr>
        <w:spacing w:after="40" w:line="266" w:lineRule="auto"/>
        <w:ind w:left="1701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ostatní příslušné členy vlády, aby využili svých příležitostí při jednání s </w:t>
      </w:r>
      <w:proofErr w:type="spellStart"/>
      <w:r w:rsidRPr="006D3088">
        <w:rPr>
          <w:b/>
          <w:color w:val="272154"/>
          <w:sz w:val="24"/>
          <w:szCs w:val="24"/>
        </w:rPr>
        <w:t>eurokomisaři</w:t>
      </w:r>
      <w:proofErr w:type="spellEnd"/>
      <w:r w:rsidRPr="006D3088">
        <w:rPr>
          <w:b/>
          <w:color w:val="272154"/>
          <w:sz w:val="24"/>
          <w:szCs w:val="24"/>
        </w:rPr>
        <w:t xml:space="preserve"> a aby ČR požádala Komisi o urychlené vydání rozhodnutí o předložených změnách i vzhledem k tomu, že neformální jednání již rok probíhají a ČR předložila věcné podložené argumenty;</w:t>
      </w:r>
    </w:p>
    <w:p w:rsidR="002C4667" w:rsidRPr="006D3088" w:rsidRDefault="002C4667" w:rsidP="0000029C">
      <w:pPr>
        <w:pStyle w:val="Odstavecseseznamem"/>
        <w:numPr>
          <w:ilvl w:val="1"/>
          <w:numId w:val="45"/>
        </w:numPr>
        <w:spacing w:after="40" w:line="266" w:lineRule="auto"/>
        <w:ind w:left="1701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MPO o nepodcenění vyjednávací taktiky;</w:t>
      </w:r>
    </w:p>
    <w:p w:rsidR="002C4667" w:rsidRPr="006D3088" w:rsidRDefault="002C4667" w:rsidP="0000029C">
      <w:pPr>
        <w:pStyle w:val="Odstavecseseznamem"/>
        <w:numPr>
          <w:ilvl w:val="0"/>
          <w:numId w:val="45"/>
        </w:numPr>
        <w:spacing w:after="40" w:line="266" w:lineRule="auto"/>
        <w:ind w:left="993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 xml:space="preserve">dále žádají MPO o </w:t>
      </w:r>
    </w:p>
    <w:p w:rsidR="002C4667" w:rsidRPr="006D3088" w:rsidRDefault="002C4667" w:rsidP="0000029C">
      <w:pPr>
        <w:pStyle w:val="Odstavecseseznamem"/>
        <w:numPr>
          <w:ilvl w:val="1"/>
          <w:numId w:val="45"/>
        </w:numPr>
        <w:spacing w:after="40" w:line="266" w:lineRule="auto"/>
        <w:ind w:left="1701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koordinaci postupu v programu Úspory energie;</w:t>
      </w:r>
    </w:p>
    <w:p w:rsidR="002C4667" w:rsidRPr="006D3088" w:rsidRDefault="002C4667" w:rsidP="0000029C">
      <w:pPr>
        <w:pStyle w:val="Odstavecseseznamem"/>
        <w:numPr>
          <w:ilvl w:val="1"/>
          <w:numId w:val="45"/>
        </w:numPr>
        <w:spacing w:after="40" w:line="266" w:lineRule="auto"/>
        <w:ind w:left="1701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posunutí termínů z Rozhodnutí v případech, kdy hodnocení trvala neúměrně dlouho;</w:t>
      </w:r>
    </w:p>
    <w:p w:rsidR="002C4667" w:rsidRPr="006D3088" w:rsidRDefault="002C4667" w:rsidP="0000029C">
      <w:pPr>
        <w:pStyle w:val="Odstavecseseznamem"/>
        <w:numPr>
          <w:ilvl w:val="1"/>
          <w:numId w:val="45"/>
        </w:numPr>
        <w:spacing w:after="40" w:line="266" w:lineRule="auto"/>
        <w:ind w:left="1701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zahájení prací na přípravě II. výzvy Vysokorychlostní internet, aby se neopakoval</w:t>
      </w:r>
      <w:r w:rsidR="00146FAC" w:rsidRPr="006D3088">
        <w:rPr>
          <w:b/>
          <w:color w:val="272154"/>
          <w:sz w:val="24"/>
          <w:szCs w:val="24"/>
        </w:rPr>
        <w:t>y</w:t>
      </w:r>
      <w:r w:rsidRPr="006D3088">
        <w:rPr>
          <w:b/>
          <w:color w:val="272154"/>
          <w:sz w:val="24"/>
          <w:szCs w:val="24"/>
        </w:rPr>
        <w:t xml:space="preserve"> problémy a nedostatky z I. výzvy;</w:t>
      </w:r>
    </w:p>
    <w:p w:rsidR="002C4667" w:rsidRPr="006D3088" w:rsidRDefault="002C4667" w:rsidP="00996F17">
      <w:pPr>
        <w:pStyle w:val="Odstavecseseznamem"/>
        <w:numPr>
          <w:ilvl w:val="0"/>
          <w:numId w:val="45"/>
        </w:numPr>
        <w:spacing w:after="120" w:line="266" w:lineRule="auto"/>
        <w:ind w:left="993"/>
        <w:contextualSpacing w:val="0"/>
        <w:rPr>
          <w:b/>
          <w:color w:val="272154"/>
          <w:sz w:val="24"/>
          <w:szCs w:val="24"/>
        </w:rPr>
      </w:pPr>
      <w:r w:rsidRPr="006D3088">
        <w:rPr>
          <w:b/>
          <w:color w:val="272154"/>
          <w:sz w:val="24"/>
          <w:szCs w:val="24"/>
        </w:rPr>
        <w:t>požadují informaci o výsledku jednání vlády či digitálního koordinátora, jak resorty zvýšily předkládání žádosti v SC3.2 IROP.</w:t>
      </w:r>
    </w:p>
    <w:p w:rsidR="000E006F" w:rsidRPr="006D3088" w:rsidRDefault="000E006F" w:rsidP="000E006F">
      <w:pPr>
        <w:spacing w:after="20" w:line="266" w:lineRule="auto"/>
        <w:rPr>
          <w:b/>
          <w:color w:val="272154"/>
          <w:sz w:val="24"/>
          <w:szCs w:val="24"/>
        </w:rPr>
      </w:pPr>
    </w:p>
    <w:p w:rsidR="00CF73EB" w:rsidRDefault="00CF73EB" w:rsidP="00CF73EB"/>
    <w:sectPr w:rsidR="00CF73EB" w:rsidSect="00B7159B">
      <w:headerReference w:type="first" r:id="rId8"/>
      <w:pgSz w:w="11906" w:h="16838"/>
      <w:pgMar w:top="1418" w:right="1134" w:bottom="993" w:left="1134" w:header="709" w:footer="154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208" w:rsidRDefault="00131208" w:rsidP="005F7548">
      <w:pPr>
        <w:spacing w:after="0" w:line="240" w:lineRule="auto"/>
      </w:pPr>
      <w:r>
        <w:separator/>
      </w:r>
    </w:p>
    <w:p w:rsidR="00131208" w:rsidRDefault="00131208"/>
  </w:endnote>
  <w:endnote w:type="continuationSeparator" w:id="0">
    <w:p w:rsidR="00131208" w:rsidRDefault="00131208" w:rsidP="005F7548">
      <w:pPr>
        <w:spacing w:after="0" w:line="240" w:lineRule="auto"/>
      </w:pPr>
      <w:r>
        <w:continuationSeparator/>
      </w:r>
    </w:p>
    <w:p w:rsidR="00131208" w:rsidRDefault="0013120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208" w:rsidRDefault="00131208" w:rsidP="005F7548">
      <w:pPr>
        <w:spacing w:after="0" w:line="240" w:lineRule="auto"/>
      </w:pPr>
      <w:r>
        <w:separator/>
      </w:r>
    </w:p>
    <w:p w:rsidR="00131208" w:rsidRDefault="00131208"/>
  </w:footnote>
  <w:footnote w:type="continuationSeparator" w:id="0">
    <w:p w:rsidR="00131208" w:rsidRDefault="00131208" w:rsidP="005F7548">
      <w:pPr>
        <w:spacing w:after="0" w:line="240" w:lineRule="auto"/>
      </w:pPr>
      <w:r>
        <w:continuationSeparator/>
      </w:r>
    </w:p>
    <w:p w:rsidR="00131208" w:rsidRDefault="0013120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82E" w:rsidRDefault="00AC582E">
    <w:pPr>
      <w:pStyle w:val="Zhlav"/>
    </w:pPr>
    <w:r w:rsidRPr="00AC582E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235585</wp:posOffset>
          </wp:positionV>
          <wp:extent cx="2352675" cy="719455"/>
          <wp:effectExtent l="0" t="0" r="0" b="444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44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9pt;height:9pt" o:bullet="t">
        <v:imagedata r:id="rId1" o:title="BD15136_"/>
      </v:shape>
    </w:pict>
  </w:numPicBullet>
  <w:abstractNum w:abstractNumId="0">
    <w:nsid w:val="07AE5773"/>
    <w:multiLevelType w:val="hybridMultilevel"/>
    <w:tmpl w:val="9EE8C608"/>
    <w:lvl w:ilvl="0" w:tplc="F6720F4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71A62"/>
    <w:multiLevelType w:val="hybridMultilevel"/>
    <w:tmpl w:val="9F2CD014"/>
    <w:lvl w:ilvl="0" w:tplc="A6FA62D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93D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8A5311"/>
    <w:multiLevelType w:val="hybridMultilevel"/>
    <w:tmpl w:val="0DA4AFDA"/>
    <w:lvl w:ilvl="0" w:tplc="4A5894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36E9A"/>
    <w:multiLevelType w:val="hybridMultilevel"/>
    <w:tmpl w:val="D35AB89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393F68"/>
    <w:multiLevelType w:val="hybridMultilevel"/>
    <w:tmpl w:val="69427B4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D97986"/>
    <w:multiLevelType w:val="hybridMultilevel"/>
    <w:tmpl w:val="AB0422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432FA"/>
    <w:multiLevelType w:val="hybridMultilevel"/>
    <w:tmpl w:val="2F308C66"/>
    <w:lvl w:ilvl="0" w:tplc="6180080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E61C7"/>
    <w:multiLevelType w:val="hybridMultilevel"/>
    <w:tmpl w:val="D1D45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52399"/>
    <w:multiLevelType w:val="hybridMultilevel"/>
    <w:tmpl w:val="BD3C19D6"/>
    <w:lvl w:ilvl="0" w:tplc="A6FA62D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93D6"/>
      </w:rPr>
    </w:lvl>
    <w:lvl w:ilvl="1" w:tplc="A6FA62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93D6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EE211B"/>
    <w:multiLevelType w:val="hybridMultilevel"/>
    <w:tmpl w:val="9EA25840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86A232B"/>
    <w:multiLevelType w:val="hybridMultilevel"/>
    <w:tmpl w:val="E174C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557E8"/>
    <w:multiLevelType w:val="hybridMultilevel"/>
    <w:tmpl w:val="3DAC6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E6494"/>
    <w:multiLevelType w:val="hybridMultilevel"/>
    <w:tmpl w:val="B8A897C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B13F91"/>
    <w:multiLevelType w:val="hybridMultilevel"/>
    <w:tmpl w:val="E260118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A935AF8"/>
    <w:multiLevelType w:val="hybridMultilevel"/>
    <w:tmpl w:val="3A205466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>
    <w:nsid w:val="3E0C2477"/>
    <w:multiLevelType w:val="hybridMultilevel"/>
    <w:tmpl w:val="3B9C421C"/>
    <w:lvl w:ilvl="0" w:tplc="78444902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>
    <w:nsid w:val="4353163D"/>
    <w:multiLevelType w:val="hybridMultilevel"/>
    <w:tmpl w:val="C9C4D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C0444"/>
    <w:multiLevelType w:val="hybridMultilevel"/>
    <w:tmpl w:val="1976043A"/>
    <w:lvl w:ilvl="0" w:tplc="769EFC12">
      <w:start w:val="1"/>
      <w:numFmt w:val="ordinal"/>
      <w:pStyle w:val="Nadpis2"/>
      <w:lvlText w:val="1.%1"/>
      <w:lvlJc w:val="left"/>
      <w:pPr>
        <w:ind w:left="36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8">
    <w:nsid w:val="4A461BA7"/>
    <w:multiLevelType w:val="hybridMultilevel"/>
    <w:tmpl w:val="0E44C5D8"/>
    <w:lvl w:ilvl="0" w:tplc="4A5894D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A5F6BF4"/>
    <w:multiLevelType w:val="hybridMultilevel"/>
    <w:tmpl w:val="92902A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203E5"/>
    <w:multiLevelType w:val="hybridMultilevel"/>
    <w:tmpl w:val="3D8EED3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03E19B9"/>
    <w:multiLevelType w:val="hybridMultilevel"/>
    <w:tmpl w:val="0394BFCA"/>
    <w:lvl w:ilvl="0" w:tplc="A6FA62D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0093D6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0E40DC7"/>
    <w:multiLevelType w:val="hybridMultilevel"/>
    <w:tmpl w:val="811C9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638D8"/>
    <w:multiLevelType w:val="hybridMultilevel"/>
    <w:tmpl w:val="C884F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AB7623"/>
    <w:multiLevelType w:val="hybridMultilevel"/>
    <w:tmpl w:val="C30AEFA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>
    <w:nsid w:val="5CE632F1"/>
    <w:multiLevelType w:val="hybridMultilevel"/>
    <w:tmpl w:val="BD20E8AC"/>
    <w:lvl w:ilvl="0" w:tplc="94587A3C">
      <w:start w:val="1"/>
      <w:numFmt w:val="decimal"/>
      <w:lvlText w:val="%1."/>
      <w:lvlJc w:val="left"/>
      <w:pPr>
        <w:ind w:left="1069" w:hanging="360"/>
      </w:pPr>
      <w:rPr>
        <w:rFonts w:cs="Arial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377996"/>
    <w:multiLevelType w:val="hybridMultilevel"/>
    <w:tmpl w:val="687611F4"/>
    <w:lvl w:ilvl="0" w:tplc="3A40FA0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783684"/>
    <w:multiLevelType w:val="hybridMultilevel"/>
    <w:tmpl w:val="6A70A83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2C86A68"/>
    <w:multiLevelType w:val="hybridMultilevel"/>
    <w:tmpl w:val="92C89BB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EB4945"/>
    <w:multiLevelType w:val="hybridMultilevel"/>
    <w:tmpl w:val="264ED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0B3256"/>
    <w:multiLevelType w:val="hybridMultilevel"/>
    <w:tmpl w:val="79809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890D15"/>
    <w:multiLevelType w:val="hybridMultilevel"/>
    <w:tmpl w:val="94D07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981FA5"/>
    <w:multiLevelType w:val="hybridMultilevel"/>
    <w:tmpl w:val="4EFEC7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CD11E7"/>
    <w:multiLevelType w:val="hybridMultilevel"/>
    <w:tmpl w:val="1920550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6F021CB"/>
    <w:multiLevelType w:val="multilevel"/>
    <w:tmpl w:val="88CEEC3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5">
    <w:nsid w:val="77A11AE4"/>
    <w:multiLevelType w:val="hybridMultilevel"/>
    <w:tmpl w:val="CBFABC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91C0A41"/>
    <w:multiLevelType w:val="hybridMultilevel"/>
    <w:tmpl w:val="2D56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0"/>
  </w:num>
  <w:num w:numId="3">
    <w:abstractNumId w:val="0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36"/>
  </w:num>
  <w:num w:numId="11">
    <w:abstractNumId w:val="17"/>
  </w:num>
  <w:num w:numId="12">
    <w:abstractNumId w:val="30"/>
  </w:num>
  <w:num w:numId="13">
    <w:abstractNumId w:val="35"/>
  </w:num>
  <w:num w:numId="14">
    <w:abstractNumId w:val="32"/>
  </w:num>
  <w:num w:numId="15">
    <w:abstractNumId w:val="29"/>
  </w:num>
  <w:num w:numId="16">
    <w:abstractNumId w:val="28"/>
  </w:num>
  <w:num w:numId="17">
    <w:abstractNumId w:val="11"/>
  </w:num>
  <w:num w:numId="18">
    <w:abstractNumId w:val="23"/>
  </w:num>
  <w:num w:numId="19">
    <w:abstractNumId w:val="16"/>
  </w:num>
  <w:num w:numId="20">
    <w:abstractNumId w:val="9"/>
  </w:num>
  <w:num w:numId="21">
    <w:abstractNumId w:val="12"/>
  </w:num>
  <w:num w:numId="22">
    <w:abstractNumId w:val="4"/>
  </w:num>
  <w:num w:numId="23">
    <w:abstractNumId w:val="26"/>
  </w:num>
  <w:num w:numId="24">
    <w:abstractNumId w:val="22"/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8"/>
  </w:num>
  <w:num w:numId="28">
    <w:abstractNumId w:val="15"/>
  </w:num>
  <w:num w:numId="29">
    <w:abstractNumId w:val="31"/>
  </w:num>
  <w:num w:numId="30">
    <w:abstractNumId w:val="20"/>
  </w:num>
  <w:num w:numId="31">
    <w:abstractNumId w:val="14"/>
  </w:num>
  <w:num w:numId="32">
    <w:abstractNumId w:val="27"/>
  </w:num>
  <w:num w:numId="33">
    <w:abstractNumId w:val="24"/>
  </w:num>
  <w:num w:numId="34">
    <w:abstractNumId w:val="3"/>
  </w:num>
  <w:num w:numId="35">
    <w:abstractNumId w:val="33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"/>
  </w:num>
  <w:num w:numId="41">
    <w:abstractNumId w:val="19"/>
  </w:num>
  <w:num w:numId="42">
    <w:abstractNumId w:val="5"/>
  </w:num>
  <w:num w:numId="43">
    <w:abstractNumId w:val="17"/>
  </w:num>
  <w:num w:numId="44">
    <w:abstractNumId w:val="17"/>
  </w:num>
  <w:num w:numId="45">
    <w:abstractNumId w:val="1"/>
  </w:num>
  <w:num w:numId="46">
    <w:abstractNumId w:val="8"/>
  </w:num>
  <w:num w:numId="47">
    <w:abstractNumId w:val="25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F7548"/>
    <w:rsid w:val="00000194"/>
    <w:rsid w:val="0000029C"/>
    <w:rsid w:val="00036EE6"/>
    <w:rsid w:val="00056AD5"/>
    <w:rsid w:val="000776E8"/>
    <w:rsid w:val="00096890"/>
    <w:rsid w:val="000B79F9"/>
    <w:rsid w:val="000D00C8"/>
    <w:rsid w:val="000E006F"/>
    <w:rsid w:val="000E4716"/>
    <w:rsid w:val="000F7426"/>
    <w:rsid w:val="00131208"/>
    <w:rsid w:val="001367E1"/>
    <w:rsid w:val="00143C58"/>
    <w:rsid w:val="0014429F"/>
    <w:rsid w:val="00146FAC"/>
    <w:rsid w:val="001758E8"/>
    <w:rsid w:val="001A5C0A"/>
    <w:rsid w:val="001B7503"/>
    <w:rsid w:val="001D010A"/>
    <w:rsid w:val="001E2CE8"/>
    <w:rsid w:val="001F2728"/>
    <w:rsid w:val="00201BB3"/>
    <w:rsid w:val="00201ECA"/>
    <w:rsid w:val="00202261"/>
    <w:rsid w:val="002056C6"/>
    <w:rsid w:val="00212916"/>
    <w:rsid w:val="00220238"/>
    <w:rsid w:val="00242B47"/>
    <w:rsid w:val="00270E83"/>
    <w:rsid w:val="0029012B"/>
    <w:rsid w:val="002A19C7"/>
    <w:rsid w:val="002C3EA8"/>
    <w:rsid w:val="002C4667"/>
    <w:rsid w:val="002C71B0"/>
    <w:rsid w:val="002E44CC"/>
    <w:rsid w:val="0032321F"/>
    <w:rsid w:val="00324F4C"/>
    <w:rsid w:val="003632C1"/>
    <w:rsid w:val="003672B7"/>
    <w:rsid w:val="003749CC"/>
    <w:rsid w:val="00381218"/>
    <w:rsid w:val="003F4993"/>
    <w:rsid w:val="00407D5A"/>
    <w:rsid w:val="00414747"/>
    <w:rsid w:val="00425052"/>
    <w:rsid w:val="00426677"/>
    <w:rsid w:val="0044442B"/>
    <w:rsid w:val="00445C8D"/>
    <w:rsid w:val="004534AE"/>
    <w:rsid w:val="00457432"/>
    <w:rsid w:val="00495C61"/>
    <w:rsid w:val="004A612B"/>
    <w:rsid w:val="004B15D8"/>
    <w:rsid w:val="004B1A1B"/>
    <w:rsid w:val="004B2742"/>
    <w:rsid w:val="004B33DA"/>
    <w:rsid w:val="004D2962"/>
    <w:rsid w:val="004E6BEE"/>
    <w:rsid w:val="0051212E"/>
    <w:rsid w:val="00515E31"/>
    <w:rsid w:val="00533194"/>
    <w:rsid w:val="00537CEC"/>
    <w:rsid w:val="005429A6"/>
    <w:rsid w:val="00550B5F"/>
    <w:rsid w:val="00566CBB"/>
    <w:rsid w:val="00581B23"/>
    <w:rsid w:val="005B348D"/>
    <w:rsid w:val="005C3F24"/>
    <w:rsid w:val="005F3811"/>
    <w:rsid w:val="005F7548"/>
    <w:rsid w:val="0061279F"/>
    <w:rsid w:val="00644695"/>
    <w:rsid w:val="00654EAF"/>
    <w:rsid w:val="006A0EFB"/>
    <w:rsid w:val="006B17C2"/>
    <w:rsid w:val="006C252E"/>
    <w:rsid w:val="006D3088"/>
    <w:rsid w:val="006F1B70"/>
    <w:rsid w:val="0070243A"/>
    <w:rsid w:val="00740791"/>
    <w:rsid w:val="007500A9"/>
    <w:rsid w:val="00765D32"/>
    <w:rsid w:val="00773BCF"/>
    <w:rsid w:val="007D01A7"/>
    <w:rsid w:val="007E7A9A"/>
    <w:rsid w:val="007F5E38"/>
    <w:rsid w:val="00820FF9"/>
    <w:rsid w:val="008722D3"/>
    <w:rsid w:val="0087434E"/>
    <w:rsid w:val="0087452E"/>
    <w:rsid w:val="00890954"/>
    <w:rsid w:val="008B4F71"/>
    <w:rsid w:val="008B7F7D"/>
    <w:rsid w:val="008D2973"/>
    <w:rsid w:val="008D2EEB"/>
    <w:rsid w:val="008D499F"/>
    <w:rsid w:val="008E197E"/>
    <w:rsid w:val="008E7292"/>
    <w:rsid w:val="008F648D"/>
    <w:rsid w:val="00915632"/>
    <w:rsid w:val="009317AD"/>
    <w:rsid w:val="00945BF2"/>
    <w:rsid w:val="009652E4"/>
    <w:rsid w:val="009722D6"/>
    <w:rsid w:val="00996F17"/>
    <w:rsid w:val="009A0A91"/>
    <w:rsid w:val="009A2276"/>
    <w:rsid w:val="009C4E37"/>
    <w:rsid w:val="009E4596"/>
    <w:rsid w:val="009E5D00"/>
    <w:rsid w:val="009F5D4A"/>
    <w:rsid w:val="009F669A"/>
    <w:rsid w:val="00A01FA4"/>
    <w:rsid w:val="00A06E94"/>
    <w:rsid w:val="00A14B0E"/>
    <w:rsid w:val="00A43F21"/>
    <w:rsid w:val="00A45171"/>
    <w:rsid w:val="00AA09C1"/>
    <w:rsid w:val="00AA3FCA"/>
    <w:rsid w:val="00AA4996"/>
    <w:rsid w:val="00AC582E"/>
    <w:rsid w:val="00AD40A6"/>
    <w:rsid w:val="00B06DAB"/>
    <w:rsid w:val="00B261DB"/>
    <w:rsid w:val="00B31757"/>
    <w:rsid w:val="00B678AE"/>
    <w:rsid w:val="00B7159B"/>
    <w:rsid w:val="00B94F79"/>
    <w:rsid w:val="00BF2FC8"/>
    <w:rsid w:val="00C0671D"/>
    <w:rsid w:val="00C414F8"/>
    <w:rsid w:val="00C718D2"/>
    <w:rsid w:val="00CA3691"/>
    <w:rsid w:val="00CD3020"/>
    <w:rsid w:val="00CF73EB"/>
    <w:rsid w:val="00D04F19"/>
    <w:rsid w:val="00D1604B"/>
    <w:rsid w:val="00D22F7E"/>
    <w:rsid w:val="00D42468"/>
    <w:rsid w:val="00D63FF4"/>
    <w:rsid w:val="00D64AD2"/>
    <w:rsid w:val="00D759BA"/>
    <w:rsid w:val="00D8419E"/>
    <w:rsid w:val="00D93F7E"/>
    <w:rsid w:val="00DA53BB"/>
    <w:rsid w:val="00DD0E85"/>
    <w:rsid w:val="00DF5FC4"/>
    <w:rsid w:val="00DF6D58"/>
    <w:rsid w:val="00E07F09"/>
    <w:rsid w:val="00E3636E"/>
    <w:rsid w:val="00E50AB9"/>
    <w:rsid w:val="00E63E9C"/>
    <w:rsid w:val="00E65D7C"/>
    <w:rsid w:val="00EA1B4B"/>
    <w:rsid w:val="00EB0741"/>
    <w:rsid w:val="00EB4960"/>
    <w:rsid w:val="00ED0935"/>
    <w:rsid w:val="00EF75DB"/>
    <w:rsid w:val="00F107C6"/>
    <w:rsid w:val="00F16865"/>
    <w:rsid w:val="00F225CE"/>
    <w:rsid w:val="00F23C20"/>
    <w:rsid w:val="00F44C83"/>
    <w:rsid w:val="00F53DF4"/>
    <w:rsid w:val="00F61A26"/>
    <w:rsid w:val="00FB642E"/>
    <w:rsid w:val="00FD50AB"/>
    <w:rsid w:val="00FE2751"/>
    <w:rsid w:val="00FF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40A6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40A6"/>
    <w:pPr>
      <w:keepNext/>
      <w:keepLines/>
      <w:numPr>
        <w:numId w:val="1"/>
      </w:numPr>
      <w:spacing w:before="480" w:after="0"/>
      <w:ind w:left="357" w:hanging="357"/>
      <w:outlineLvl w:val="0"/>
    </w:pPr>
    <w:rPr>
      <w:rFonts w:ascii="Calibri" w:eastAsiaTheme="majorEastAsia" w:hAnsi="Calibri" w:cstheme="majorBidi"/>
      <w:bCs/>
      <w:color w:val="0093D6"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FB642E"/>
    <w:pPr>
      <w:keepLines/>
      <w:numPr>
        <w:numId w:val="4"/>
      </w:numPr>
      <w:spacing w:before="200" w:after="60" w:line="240" w:lineRule="auto"/>
      <w:outlineLvl w:val="1"/>
    </w:pPr>
    <w:rPr>
      <w:rFonts w:ascii="Calibri" w:eastAsiaTheme="majorEastAsia" w:hAnsi="Calibri" w:cstheme="majorBidi"/>
      <w:b/>
      <w:bCs/>
      <w:color w:val="272154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1B4B"/>
    <w:pPr>
      <w:keepNext/>
      <w:keepLines/>
      <w:spacing w:after="0"/>
      <w:ind w:left="567"/>
      <w:outlineLvl w:val="2"/>
    </w:pPr>
    <w:rPr>
      <w:rFonts w:ascii="Calibri" w:eastAsiaTheme="majorEastAsia" w:hAnsi="Calibri" w:cstheme="majorBidi"/>
      <w:b/>
      <w:bCs/>
      <w:color w:val="272154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94F79"/>
    <w:pPr>
      <w:keepNext/>
      <w:keepLines/>
      <w:pBdr>
        <w:bottom w:val="single" w:sz="4" w:space="1" w:color="auto"/>
      </w:pBdr>
      <w:spacing w:after="0"/>
      <w:outlineLvl w:val="3"/>
    </w:pPr>
    <w:rPr>
      <w:rFonts w:ascii="Calibri" w:eastAsiaTheme="majorEastAsia" w:hAnsi="Calibri" w:cstheme="majorBidi"/>
      <w:b/>
      <w:bCs/>
      <w:iCs/>
      <w:color w:val="272154"/>
      <w:sz w:val="26"/>
    </w:rPr>
  </w:style>
  <w:style w:type="paragraph" w:styleId="Nadpis5">
    <w:name w:val="heading 5"/>
    <w:basedOn w:val="Nadpis3"/>
    <w:next w:val="Normln"/>
    <w:link w:val="Nadpis5Char"/>
    <w:uiPriority w:val="9"/>
    <w:unhideWhenUsed/>
    <w:qFormat/>
    <w:rsid w:val="00E50AB9"/>
    <w:pPr>
      <w:spacing w:before="200"/>
      <w:ind w:left="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7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7548"/>
  </w:style>
  <w:style w:type="paragraph" w:styleId="Zpat">
    <w:name w:val="footer"/>
    <w:basedOn w:val="Normln"/>
    <w:link w:val="ZpatChar"/>
    <w:uiPriority w:val="99"/>
    <w:unhideWhenUsed/>
    <w:rsid w:val="005F7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7548"/>
  </w:style>
  <w:style w:type="paragraph" w:styleId="Textbubliny">
    <w:name w:val="Balloon Text"/>
    <w:basedOn w:val="Normln"/>
    <w:link w:val="TextbublinyChar"/>
    <w:uiPriority w:val="99"/>
    <w:semiHidden/>
    <w:unhideWhenUsed/>
    <w:rsid w:val="005F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54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AA09C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Bezmezer">
    <w:name w:val="No Spacing"/>
    <w:uiPriority w:val="1"/>
    <w:qFormat/>
    <w:rsid w:val="002A19C7"/>
    <w:pPr>
      <w:spacing w:after="0" w:line="240" w:lineRule="auto"/>
    </w:pPr>
  </w:style>
  <w:style w:type="paragraph" w:styleId="Prosttext">
    <w:name w:val="Plain Text"/>
    <w:basedOn w:val="Normln"/>
    <w:link w:val="ProsttextChar"/>
    <w:uiPriority w:val="99"/>
    <w:semiHidden/>
    <w:unhideWhenUsed/>
    <w:rsid w:val="002A19C7"/>
    <w:pPr>
      <w:spacing w:after="0" w:line="240" w:lineRule="auto"/>
    </w:pPr>
    <w:rPr>
      <w:rFonts w:eastAsia="Times New Roman" w:cs="Times New Roman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A19C7"/>
    <w:rPr>
      <w:rFonts w:eastAsia="Times New Roman" w:cs="Times New Roman"/>
      <w:szCs w:val="21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B1A1B"/>
    <w:pPr>
      <w:pBdr>
        <w:bottom w:val="single" w:sz="8" w:space="4" w:color="4F81BD" w:themeColor="accent1"/>
      </w:pBdr>
      <w:spacing w:after="240" w:line="240" w:lineRule="auto"/>
      <w:contextualSpacing/>
    </w:pPr>
    <w:rPr>
      <w:rFonts w:ascii="Calibri" w:eastAsiaTheme="majorEastAsia" w:hAnsi="Calibri" w:cstheme="majorBidi"/>
      <w:caps/>
      <w:color w:val="0093D6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B1A1B"/>
    <w:rPr>
      <w:rFonts w:ascii="Calibri" w:eastAsiaTheme="majorEastAsia" w:hAnsi="Calibri" w:cstheme="majorBidi"/>
      <w:caps/>
      <w:color w:val="0093D6"/>
      <w:spacing w:val="5"/>
      <w:kern w:val="28"/>
      <w:sz w:val="40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AD40A6"/>
    <w:rPr>
      <w:rFonts w:ascii="Calibri" w:eastAsiaTheme="majorEastAsia" w:hAnsi="Calibri" w:cstheme="majorBidi"/>
      <w:bCs/>
      <w:color w:val="0093D6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B642E"/>
    <w:rPr>
      <w:rFonts w:ascii="Calibri" w:eastAsiaTheme="majorEastAsia" w:hAnsi="Calibri" w:cstheme="majorBidi"/>
      <w:b/>
      <w:bCs/>
      <w:color w:val="272154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A1B4B"/>
    <w:rPr>
      <w:rFonts w:ascii="Calibri" w:eastAsiaTheme="majorEastAsia" w:hAnsi="Calibri" w:cstheme="majorBidi"/>
      <w:b/>
      <w:bCs/>
      <w:color w:val="272154"/>
      <w:sz w:val="24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22023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B94F79"/>
    <w:rPr>
      <w:rFonts w:ascii="Calibri" w:eastAsiaTheme="majorEastAsia" w:hAnsi="Calibri" w:cstheme="majorBidi"/>
      <w:b/>
      <w:bCs/>
      <w:iCs/>
      <w:color w:val="272154"/>
      <w:sz w:val="26"/>
    </w:rPr>
  </w:style>
  <w:style w:type="character" w:customStyle="1" w:styleId="Nadpis5Char">
    <w:name w:val="Nadpis 5 Char"/>
    <w:basedOn w:val="Standardnpsmoodstavce"/>
    <w:link w:val="Nadpis5"/>
    <w:uiPriority w:val="9"/>
    <w:rsid w:val="00E50AB9"/>
    <w:rPr>
      <w:rFonts w:ascii="Calibri" w:eastAsiaTheme="majorEastAsia" w:hAnsi="Calibri" w:cstheme="majorBidi"/>
      <w:b/>
      <w:bCs/>
      <w:color w:val="272154"/>
      <w:sz w:val="24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locked/>
    <w:rsid w:val="00D759B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59BA"/>
    <w:pPr>
      <w:spacing w:after="0" w:line="240" w:lineRule="auto"/>
      <w:jc w:val="left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59BA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759BA"/>
    <w:rPr>
      <w:vertAlign w:val="superscript"/>
    </w:rPr>
  </w:style>
  <w:style w:type="character" w:styleId="Hypertextovodkaz">
    <w:name w:val="Hyperlink"/>
    <w:uiPriority w:val="99"/>
    <w:rsid w:val="00F16865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F16865"/>
    <w:pPr>
      <w:suppressAutoHyphens/>
      <w:spacing w:before="180" w:after="120" w:line="280" w:lineRule="exact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F16865"/>
    <w:rPr>
      <w:rFonts w:ascii="Calibri" w:eastAsia="Times New Roman" w:hAnsi="Calibri" w:cs="Times New Roman"/>
      <w:sz w:val="24"/>
      <w:szCs w:val="24"/>
      <w:lang w:eastAsia="ar-SA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F16865"/>
    <w:pPr>
      <w:spacing w:before="180" w:line="280" w:lineRule="exact"/>
    </w:pPr>
    <w:rPr>
      <w:rFonts w:ascii="Arial" w:eastAsia="Times New Roman" w:hAnsi="Arial" w:cs="Times New Roman"/>
      <w:b/>
      <w:bCs/>
      <w:sz w:val="18"/>
      <w:szCs w:val="18"/>
      <w:lang w:bidi="en-US"/>
    </w:rPr>
  </w:style>
  <w:style w:type="character" w:customStyle="1" w:styleId="TitulekChar">
    <w:name w:val="Titulek Char"/>
    <w:link w:val="Titulek"/>
    <w:uiPriority w:val="35"/>
    <w:rsid w:val="00F16865"/>
    <w:rPr>
      <w:rFonts w:ascii="Arial" w:eastAsia="Times New Roman" w:hAnsi="Arial" w:cs="Times New Roman"/>
      <w:b/>
      <w:bCs/>
      <w:sz w:val="18"/>
      <w:szCs w:val="18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3F49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B3D4-4841-4356-B893-616A4074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1221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Foom</dc:creator>
  <cp:lastModifiedBy>Petra Jezkova</cp:lastModifiedBy>
  <cp:revision>9</cp:revision>
  <cp:lastPrinted>2017-05-29T07:07:00Z</cp:lastPrinted>
  <dcterms:created xsi:type="dcterms:W3CDTF">2017-05-24T09:36:00Z</dcterms:created>
  <dcterms:modified xsi:type="dcterms:W3CDTF">2017-05-25T06:32:00Z</dcterms:modified>
</cp:coreProperties>
</file>