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E4" w:rsidRPr="00B5674D" w:rsidRDefault="00E27AD6" w:rsidP="00A745E4">
      <w:pPr>
        <w:jc w:val="center"/>
        <w:rPr>
          <w:rFonts w:asciiTheme="minorHAnsi" w:hAnsiTheme="minorHAnsi"/>
          <w:b/>
          <w:sz w:val="32"/>
          <w:szCs w:val="32"/>
        </w:rPr>
      </w:pPr>
      <w:r w:rsidRPr="00B5674D">
        <w:rPr>
          <w:rFonts w:asciiTheme="minorHAnsi" w:hAnsiTheme="minorHAnsi"/>
          <w:b/>
          <w:sz w:val="32"/>
          <w:szCs w:val="32"/>
        </w:rPr>
        <w:t xml:space="preserve">Stanovisko k </w:t>
      </w:r>
      <w:r w:rsidR="00A745E4" w:rsidRPr="00B5674D">
        <w:rPr>
          <w:rFonts w:asciiTheme="minorHAnsi" w:hAnsiTheme="minorHAnsi"/>
          <w:b/>
          <w:sz w:val="32"/>
          <w:szCs w:val="32"/>
        </w:rPr>
        <w:t>Návrh</w:t>
      </w:r>
      <w:r w:rsidRPr="00B5674D">
        <w:rPr>
          <w:rFonts w:asciiTheme="minorHAnsi" w:hAnsiTheme="minorHAnsi"/>
          <w:b/>
          <w:sz w:val="32"/>
          <w:szCs w:val="32"/>
        </w:rPr>
        <w:t>u</w:t>
      </w:r>
      <w:r w:rsidR="00A745E4" w:rsidRPr="00B5674D">
        <w:rPr>
          <w:rFonts w:asciiTheme="minorHAnsi" w:hAnsiTheme="minorHAnsi"/>
          <w:b/>
          <w:sz w:val="32"/>
          <w:szCs w:val="32"/>
        </w:rPr>
        <w:t xml:space="preserve"> státního rozpočtu na rok 2015</w:t>
      </w:r>
    </w:p>
    <w:p w:rsidR="00E27AD6" w:rsidRPr="007D6C84" w:rsidRDefault="007D6C84" w:rsidP="00A745E4">
      <w:pPr>
        <w:jc w:val="center"/>
        <w:rPr>
          <w:rFonts w:asciiTheme="minorHAnsi" w:hAnsiTheme="minorHAnsi"/>
          <w:i/>
          <w:sz w:val="24"/>
          <w:szCs w:val="24"/>
        </w:rPr>
      </w:pPr>
      <w:r w:rsidRPr="007D6C84">
        <w:rPr>
          <w:rFonts w:asciiTheme="minorHAnsi" w:hAnsiTheme="minorHAnsi"/>
          <w:i/>
          <w:sz w:val="24"/>
          <w:szCs w:val="24"/>
        </w:rPr>
        <w:t xml:space="preserve">(V Praze dne </w:t>
      </w:r>
      <w:proofErr w:type="gramStart"/>
      <w:r w:rsidRPr="007D6C84">
        <w:rPr>
          <w:rFonts w:asciiTheme="minorHAnsi" w:hAnsiTheme="minorHAnsi"/>
          <w:i/>
          <w:sz w:val="24"/>
          <w:szCs w:val="24"/>
        </w:rPr>
        <w:t>17.9.2014</w:t>
      </w:r>
      <w:proofErr w:type="gramEnd"/>
      <w:r w:rsidRPr="007D6C84">
        <w:rPr>
          <w:rFonts w:asciiTheme="minorHAnsi" w:hAnsiTheme="minorHAnsi"/>
          <w:i/>
          <w:sz w:val="24"/>
          <w:szCs w:val="24"/>
        </w:rPr>
        <w:t>)</w:t>
      </w:r>
    </w:p>
    <w:p w:rsidR="0076545A" w:rsidRPr="00B5674D" w:rsidRDefault="00E27AD6" w:rsidP="00E27AD6">
      <w:pPr>
        <w:rPr>
          <w:rFonts w:asciiTheme="minorHAnsi" w:hAnsiTheme="minorHAnsi"/>
          <w:sz w:val="24"/>
          <w:szCs w:val="24"/>
        </w:rPr>
      </w:pPr>
      <w:r w:rsidRPr="00B5674D">
        <w:rPr>
          <w:rFonts w:asciiTheme="minorHAnsi" w:hAnsiTheme="minorHAnsi"/>
          <w:sz w:val="24"/>
          <w:szCs w:val="24"/>
        </w:rPr>
        <w:t>Způsob projednávání návrhu zákona o státním rozpočtu se výrazněji neliší od předchozích let. Předložený materiál je strukturou a postupem v řadě bodů obdobný materiálům předchozích vlád, a tak některé připomínky</w:t>
      </w:r>
      <w:r w:rsidR="0076545A" w:rsidRPr="00B5674D">
        <w:rPr>
          <w:rFonts w:asciiTheme="minorHAnsi" w:hAnsiTheme="minorHAnsi"/>
          <w:sz w:val="24"/>
          <w:szCs w:val="24"/>
        </w:rPr>
        <w:t xml:space="preserve"> lze zachovat. Ke koncepčním změnám a odrazu všech priorit hospodářské politiky vlády zatím nedochází. </w:t>
      </w:r>
      <w:r w:rsidRPr="00B5674D">
        <w:rPr>
          <w:rFonts w:asciiTheme="minorHAnsi" w:hAnsiTheme="minorHAnsi"/>
          <w:sz w:val="24"/>
          <w:szCs w:val="24"/>
        </w:rPr>
        <w:t xml:space="preserve">Jednotlivé základní informace a připomínky jsou shrnuty ve formě bodů níže v rámci materiálu. </w:t>
      </w:r>
    </w:p>
    <w:p w:rsidR="00E27AD6" w:rsidRPr="00B5674D" w:rsidRDefault="0076545A" w:rsidP="00E27AD6">
      <w:pPr>
        <w:rPr>
          <w:rFonts w:asciiTheme="minorHAnsi" w:hAnsiTheme="minorHAnsi"/>
          <w:sz w:val="24"/>
          <w:szCs w:val="24"/>
        </w:rPr>
      </w:pPr>
      <w:r w:rsidRPr="00B5674D">
        <w:rPr>
          <w:rFonts w:asciiTheme="minorHAnsi" w:hAnsiTheme="minorHAnsi"/>
          <w:sz w:val="24"/>
          <w:szCs w:val="24"/>
        </w:rPr>
        <w:t xml:space="preserve">Materiál je shrnujícím podkladem. </w:t>
      </w:r>
      <w:r w:rsidR="005C1CD3" w:rsidRPr="00B5674D">
        <w:rPr>
          <w:rFonts w:asciiTheme="minorHAnsi" w:hAnsiTheme="minorHAnsi"/>
          <w:sz w:val="24"/>
          <w:szCs w:val="24"/>
        </w:rPr>
        <w:t xml:space="preserve">Vybrané připomínky </w:t>
      </w:r>
      <w:r w:rsidRPr="00B5674D">
        <w:rPr>
          <w:rFonts w:asciiTheme="minorHAnsi" w:hAnsiTheme="minorHAnsi"/>
          <w:sz w:val="24"/>
          <w:szCs w:val="24"/>
        </w:rPr>
        <w:t xml:space="preserve">k předloženému návrhu </w:t>
      </w:r>
      <w:r w:rsidR="005C1CD3" w:rsidRPr="00B5674D">
        <w:rPr>
          <w:rFonts w:asciiTheme="minorHAnsi" w:hAnsiTheme="minorHAnsi"/>
          <w:sz w:val="24"/>
          <w:szCs w:val="24"/>
        </w:rPr>
        <w:t xml:space="preserve">následují ve struktuře Východiska, Příjmy, Výdaje a Výhled rozpočtu. </w:t>
      </w:r>
    </w:p>
    <w:p w:rsidR="00A745E4" w:rsidRPr="00B5674D" w:rsidRDefault="00A745E4" w:rsidP="00A745E4">
      <w:pPr>
        <w:rPr>
          <w:rFonts w:asciiTheme="minorHAnsi" w:hAnsiTheme="minorHAnsi"/>
        </w:rPr>
      </w:pPr>
    </w:p>
    <w:p w:rsidR="00A745E4" w:rsidRPr="00B5674D" w:rsidRDefault="00A745E4" w:rsidP="00A745E4">
      <w:pPr>
        <w:pStyle w:val="Odstavecseseznamem"/>
        <w:numPr>
          <w:ilvl w:val="0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Východiska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Základní parametry: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Celkové výdaje = 1 218, 5 mld.</w:t>
      </w:r>
      <w:r w:rsidR="00E27AD6" w:rsidRPr="00203A48">
        <w:rPr>
          <w:rFonts w:asciiTheme="minorHAnsi" w:hAnsiTheme="minorHAnsi"/>
        </w:rPr>
        <w:t xml:space="preserve"> </w:t>
      </w:r>
      <w:r w:rsidRPr="00203A48">
        <w:rPr>
          <w:rFonts w:asciiTheme="minorHAnsi" w:hAnsiTheme="minorHAnsi"/>
        </w:rPr>
        <w:t>Kč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Celkové příjmy = 1 118,</w:t>
      </w:r>
      <w:r w:rsidR="00E27AD6" w:rsidRPr="00203A48">
        <w:rPr>
          <w:rFonts w:asciiTheme="minorHAnsi" w:hAnsiTheme="minorHAnsi"/>
        </w:rPr>
        <w:t xml:space="preserve"> </w:t>
      </w:r>
      <w:r w:rsidRPr="00203A48">
        <w:rPr>
          <w:rFonts w:asciiTheme="minorHAnsi" w:hAnsiTheme="minorHAnsi"/>
        </w:rPr>
        <w:t>5 mld. Kč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Schodek = 100 mld. Kč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Makroekonomický rámec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V současnosti i přes vybrané odlišné hodnoty ve vybraných parametrech celkově výrazněji makroekonomické předpoklady nerozporujeme. 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spacing w:after="0"/>
        <w:rPr>
          <w:rFonts w:asciiTheme="minorHAnsi" w:hAnsiTheme="minorHAnsi"/>
        </w:rPr>
      </w:pPr>
      <w:r w:rsidRPr="00203A48">
        <w:rPr>
          <w:rFonts w:asciiTheme="minorHAnsi" w:hAnsiTheme="minorHAnsi"/>
        </w:rPr>
        <w:t>V souvislosti s nejistotami a riziky požadujeme informaci o případném alternativním scénáři, které výdaje by byly zmraženy (jde nám o to, aby některé zásadní investice/výdaje v případě horšího než očekávaného vývoje nebyly zastaveny)</w:t>
      </w:r>
      <w:bookmarkStart w:id="0" w:name="_Ref238698767"/>
      <w:bookmarkStart w:id="1" w:name="_Ref238698802"/>
    </w:p>
    <w:bookmarkEnd w:id="0"/>
    <w:bookmarkEnd w:id="1"/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  <w:b/>
        </w:rPr>
        <w:t>Fiskální cíl vlády</w:t>
      </w:r>
      <w:r w:rsidRPr="00203A48">
        <w:rPr>
          <w:rFonts w:asciiTheme="minorHAnsi" w:hAnsiTheme="minorHAnsi"/>
        </w:rPr>
        <w:t xml:space="preserve"> – udržet deficit vládního sektoru pod 3 % HDP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  <w:b/>
        </w:rPr>
        <w:t>S deficitem ve výši 100 mld. Kč pro rok 2015</w:t>
      </w:r>
      <w:r w:rsidRPr="00203A48">
        <w:rPr>
          <w:rFonts w:asciiTheme="minorHAnsi" w:hAnsiTheme="minorHAnsi"/>
        </w:rPr>
        <w:t xml:space="preserve"> a s udržením deficitu ve výhledu pod 3 % </w:t>
      </w:r>
      <w:r w:rsidRPr="00203A48">
        <w:rPr>
          <w:rFonts w:asciiTheme="minorHAnsi" w:hAnsiTheme="minorHAnsi"/>
          <w:b/>
        </w:rPr>
        <w:t>HDP problém nemáme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Plnění rozpočtu 2013 a 2014 (nižší než původně schválený deficit)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</w:rPr>
        <w:t xml:space="preserve">Návrh uvádí, že skutečný deficit SR v roce 2014 lze očekávat v rozmezí 80-90 mld. Kč oproti schváleným 112 mld. Kč v Zákoně o SR. </w:t>
      </w:r>
      <w:r w:rsidRPr="00203A48">
        <w:rPr>
          <w:rFonts w:asciiTheme="minorHAnsi" w:hAnsiTheme="minorHAnsi"/>
          <w:b/>
        </w:rPr>
        <w:t xml:space="preserve">SPČR požaduje po MF ČR a vládě analýzu příčin a návrh řešení tak, aby prostředky mohly být využity v souladu s národohospodářskými prioritami účelně, efektivně a hospodárně. 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Požadujeme informaci o naložení s „nedočerpanými“ plánovanými výdaji z roku 2014 - jaká suma bude přesunuta v rámci jednotlivých kapitol do příštího roku (zvýšení disponibilních prostředků pro rok 2015) a jaká suma přesunuta nebude a bude použita ke snížení nárůstu dluhu?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 xml:space="preserve">Požadujeme, aby nebylo cílem letošního roku peníze „utratit“, ale důkladně analyzovat možnosti převedení výdajů na prioritní oblasti a zajistit efektivní využití plánovaných prostředků. 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Klíčová opatření hospodářské politiky se v návrhu příliš neodráží 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</w:rPr>
        <w:t xml:space="preserve">Hned v úvodu Zpráva k návrhu Zákona o SR uvádí, že v rámci SR jsou vytvořeny základní předpoklady pro naplnění hlavních politických a ekonomických priorit. </w:t>
      </w:r>
      <w:r w:rsidRPr="00203A48">
        <w:rPr>
          <w:rFonts w:asciiTheme="minorHAnsi" w:hAnsiTheme="minorHAnsi"/>
          <w:b/>
        </w:rPr>
        <w:t>V návrhu rozpočtu ale není například vidět, kde se projevuje zefektivnění systému financování vědy či efektivnější využívání informačních a komunikačních technologií a podpora internetové ekonomiky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lastRenderedPageBreak/>
        <w:t>Řada připravovaných opatření není přímo komunikována s MF, zůstává komunikační bariéra opatření HP s MF</w:t>
      </w:r>
    </w:p>
    <w:p w:rsidR="00A745E4" w:rsidRPr="00203A48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Na úřadu vlády formulován „Akční plán vlády na podporu hospodářského růstu a zaměstnanosti ČR“, kde je řada opatření ve vazbě na SR. Z návrhu není patrné, zda všechna zmíněná hlavní opatření jsou v rozpočtu zohledněna a jakým konkrétním způsobem. 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</w:rPr>
        <w:t xml:space="preserve">Z návrhu není patrné, jak se odráží i ostatní definované priority přímo v konkrétních položkách rozpočtu. </w:t>
      </w:r>
      <w:r w:rsidRPr="00203A48">
        <w:rPr>
          <w:rFonts w:asciiTheme="minorHAnsi" w:hAnsiTheme="minorHAnsi"/>
          <w:b/>
        </w:rPr>
        <w:t xml:space="preserve">Materiál ponechává podobu z minulých let a neobsahuje popis opatření v prioritách a jejich konkrétní odraz a vyčíslení do rozpočtu. 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Předložený materiál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Předloženo v obdobné struktuře jako v minulých letech. Stále postrádáme </w:t>
      </w:r>
      <w:proofErr w:type="spellStart"/>
      <w:r w:rsidRPr="00203A48">
        <w:rPr>
          <w:rFonts w:asciiTheme="minorHAnsi" w:hAnsiTheme="minorHAnsi"/>
          <w:b/>
        </w:rPr>
        <w:t>rozklikávací</w:t>
      </w:r>
      <w:proofErr w:type="spellEnd"/>
      <w:r w:rsidRPr="00203A48">
        <w:rPr>
          <w:rFonts w:asciiTheme="minorHAnsi" w:hAnsiTheme="minorHAnsi"/>
          <w:b/>
        </w:rPr>
        <w:t xml:space="preserve"> rozpočet, který by umožnil ověřit zaměření výdajů průřezově či dle kapitol na konkrétní aktivity. Některé příjmy a výdaje nelze přesně ověřit či tabulky nejsou plně srovnatelné. To zásadním způsobem ztěžuje naše hodnocení.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Materiál v některých částech není přehledný, neumožňuje ověřovat konkrétní průřezové položky</w:t>
      </w:r>
    </w:p>
    <w:p w:rsidR="00A745E4" w:rsidRPr="00203A48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I přes velmi detailní tabulky výdajů dle druhu a účelu nelze</w:t>
      </w:r>
      <w:r w:rsidR="00B5674D" w:rsidRPr="00203A48">
        <w:rPr>
          <w:rFonts w:asciiTheme="minorHAnsi" w:hAnsiTheme="minorHAnsi"/>
        </w:rPr>
        <w:t xml:space="preserve"> vždy</w:t>
      </w:r>
      <w:r w:rsidRPr="00203A48">
        <w:rPr>
          <w:rFonts w:asciiTheme="minorHAnsi" w:hAnsiTheme="minorHAnsi"/>
        </w:rPr>
        <w:t xml:space="preserve"> rozpoznat detail zaměření výdaje – na jaké konkrétní opatření je výdaj zaměřen. Tabulky jednak nejsou propojeny a jednak druhové členění neumožňuje vždy rozpoznat zaměření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Není uvedena u většiny tabulek očekávaná skutečnost roku 2014, většinou se jedná pouze schválený rozpočet.</w:t>
      </w:r>
    </w:p>
    <w:p w:rsidR="00A745E4" w:rsidRPr="00B5674D" w:rsidRDefault="00A745E4" w:rsidP="00A745E4">
      <w:pPr>
        <w:pStyle w:val="Odstavecseseznamem"/>
        <w:numPr>
          <w:ilvl w:val="0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Příjmy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Celkově stranu odhadu příjmů, s určitými výjimkami, v současné době výrazněji nerozporujeme. 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Boj proti daňovým únikům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color w:val="404040" w:themeColor="text1" w:themeTint="BF"/>
        </w:rPr>
      </w:pPr>
      <w:r w:rsidRPr="00203A48">
        <w:rPr>
          <w:rFonts w:asciiTheme="minorHAnsi" w:hAnsiTheme="minorHAnsi"/>
          <w:b/>
        </w:rPr>
        <w:t xml:space="preserve">Obecná podpora, nicméně zaváděno stále více nástrojů, které přinášejí dodatečnou administrativu i náklady pro poctivé plátce. </w:t>
      </w:r>
      <w:r w:rsidRPr="00203A48">
        <w:rPr>
          <w:rFonts w:asciiTheme="minorHAnsi" w:hAnsiTheme="minorHAnsi"/>
        </w:rPr>
        <w:t xml:space="preserve">Požadujeme detailní analýzu a zaměření se pouze na několik vybraných nejefektivnějších nástrojů s minimem dopadů na poctivé plátce. 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Daňové příjmy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 xml:space="preserve">Celkově odhad daňových příjmů vidíme jako základní variantu, tedy ani přestřelený ani </w:t>
      </w:r>
      <w:proofErr w:type="spellStart"/>
      <w:r w:rsidRPr="00203A48">
        <w:rPr>
          <w:rFonts w:asciiTheme="minorHAnsi" w:hAnsiTheme="minorHAnsi"/>
        </w:rPr>
        <w:t>podstřelený</w:t>
      </w:r>
      <w:proofErr w:type="spellEnd"/>
      <w:r w:rsidRPr="00203A48">
        <w:rPr>
          <w:rFonts w:asciiTheme="minorHAnsi" w:hAnsiTheme="minorHAnsi"/>
        </w:rPr>
        <w:t xml:space="preserve"> - při pohledu na současný vývoj daňového výběru, makroekonomický vývoj a změny v daňové oblasti. 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Ostatní příjmy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>Nedořešena problematika zvýšení úhrad z dobývacího prostoru a za vydobyté nerosty</w:t>
      </w:r>
    </w:p>
    <w:p w:rsidR="00A745E4" w:rsidRPr="00203A48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  <w:b/>
        </w:rPr>
      </w:pPr>
      <w:r w:rsidRPr="00203A48">
        <w:rPr>
          <w:rFonts w:asciiTheme="minorHAnsi" w:hAnsiTheme="minorHAnsi"/>
          <w:b/>
        </w:rPr>
        <w:t xml:space="preserve">V návrhu počítáno s navýšením příjmů v kapitole MPO o </w:t>
      </w:r>
      <w:r w:rsidR="00E748C0" w:rsidRPr="00203A48">
        <w:rPr>
          <w:rFonts w:asciiTheme="minorHAnsi" w:hAnsiTheme="minorHAnsi"/>
          <w:b/>
        </w:rPr>
        <w:t xml:space="preserve">cca </w:t>
      </w:r>
      <w:r w:rsidRPr="00203A48">
        <w:rPr>
          <w:rFonts w:asciiTheme="minorHAnsi" w:hAnsiTheme="minorHAnsi"/>
          <w:b/>
        </w:rPr>
        <w:t>2,4 mld.</w:t>
      </w:r>
      <w:r w:rsidR="00B5674D" w:rsidRPr="00203A48">
        <w:rPr>
          <w:rFonts w:asciiTheme="minorHAnsi" w:hAnsiTheme="minorHAnsi"/>
          <w:b/>
        </w:rPr>
        <w:t xml:space="preserve"> </w:t>
      </w:r>
      <w:r w:rsidRPr="00203A48">
        <w:rPr>
          <w:rFonts w:asciiTheme="minorHAnsi" w:hAnsiTheme="minorHAnsi"/>
          <w:b/>
        </w:rPr>
        <w:t>Kč. Pokud se jedná o nárůst z titulu navýšení úhrad z dobývacího prostoru a za vydobyté nerosty dle původního návrhu MF, který obsahoval řadu chyb a kde analýzy ukazují na jeho nekoncepčnost a rizika, vyjadřujeme s tímto zásadní nesouhlas. Tento problém považujeme za neuzavřený. Vláda přislíbila, že se problematikou bude zabývat na tripartitě. Požadujeme pracovní skupinu a upravit oproti původnímu návrhu MF na základě analýz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lastRenderedPageBreak/>
        <w:t xml:space="preserve">Oproti předchozímu návrhu již není </w:t>
      </w:r>
      <w:r w:rsidR="0076545A" w:rsidRPr="00203A48">
        <w:rPr>
          <w:rFonts w:asciiTheme="minorHAnsi" w:hAnsiTheme="minorHAnsi"/>
        </w:rPr>
        <w:t xml:space="preserve">v materiálu </w:t>
      </w:r>
      <w:r w:rsidRPr="00203A48">
        <w:rPr>
          <w:rFonts w:asciiTheme="minorHAnsi" w:hAnsiTheme="minorHAnsi"/>
        </w:rPr>
        <w:t xml:space="preserve">uvedeno plánované navýšení poplatků za přístup k technickým normám ČSN, kde byl diskutabilní přínos tohoto opatření do státního rozpočtu v porovnání se záměrem </w:t>
      </w:r>
      <w:r w:rsidR="00B5674D" w:rsidRPr="00203A48">
        <w:rPr>
          <w:rFonts w:asciiTheme="minorHAnsi" w:hAnsiTheme="minorHAnsi"/>
        </w:rPr>
        <w:t xml:space="preserve">vlády na </w:t>
      </w:r>
      <w:r w:rsidRPr="00203A48">
        <w:rPr>
          <w:rFonts w:asciiTheme="minorHAnsi" w:hAnsiTheme="minorHAnsi"/>
        </w:rPr>
        <w:t>podpor</w:t>
      </w:r>
      <w:r w:rsidR="00B5674D" w:rsidRPr="00203A48">
        <w:rPr>
          <w:rFonts w:asciiTheme="minorHAnsi" w:hAnsiTheme="minorHAnsi"/>
        </w:rPr>
        <w:t>u</w:t>
      </w:r>
      <w:r w:rsidRPr="00203A48">
        <w:rPr>
          <w:rFonts w:asciiTheme="minorHAnsi" w:hAnsiTheme="minorHAnsi"/>
        </w:rPr>
        <w:t xml:space="preserve"> podnikání a </w:t>
      </w:r>
      <w:r w:rsidR="00B5674D" w:rsidRPr="00203A48">
        <w:rPr>
          <w:rFonts w:asciiTheme="minorHAnsi" w:hAnsiTheme="minorHAnsi"/>
        </w:rPr>
        <w:t>ne</w:t>
      </w:r>
      <w:r w:rsidRPr="00203A48">
        <w:rPr>
          <w:rFonts w:asciiTheme="minorHAnsi" w:hAnsiTheme="minorHAnsi"/>
        </w:rPr>
        <w:t>zvyšování nákladů firem. V současném návrhu o tomto není zmínka. Předpokládáme a vítáme, že o</w:t>
      </w:r>
      <w:r w:rsidR="0076545A" w:rsidRPr="00203A48">
        <w:rPr>
          <w:rFonts w:asciiTheme="minorHAnsi" w:hAnsiTheme="minorHAnsi"/>
        </w:rPr>
        <w:t>d tohoto záměru bylo odstoupeno</w:t>
      </w:r>
      <w:r w:rsidR="00B5674D" w:rsidRPr="00203A48">
        <w:rPr>
          <w:rFonts w:asciiTheme="minorHAnsi" w:hAnsiTheme="minorHAnsi"/>
        </w:rPr>
        <w:t>. Požadujeme tuto informaci potvrdit.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 xml:space="preserve">Příjmy z emisních povolenek v kapitole MŽP pro rok 2015 </w:t>
      </w:r>
      <w:r w:rsidR="00B5674D" w:rsidRPr="00203A48">
        <w:rPr>
          <w:rFonts w:asciiTheme="minorHAnsi" w:hAnsiTheme="minorHAnsi"/>
        </w:rPr>
        <w:t xml:space="preserve">rozpočtovány na </w:t>
      </w:r>
      <w:r w:rsidRPr="00203A48">
        <w:rPr>
          <w:rFonts w:asciiTheme="minorHAnsi" w:hAnsiTheme="minorHAnsi"/>
        </w:rPr>
        <w:t xml:space="preserve">cca 2 mld. Kč </w:t>
      </w:r>
    </w:p>
    <w:p w:rsidR="00A745E4" w:rsidRPr="00203A48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Dlouhodobě požadujeme, aby šly prostředky zpět do průmyslu na inovace.</w:t>
      </w:r>
    </w:p>
    <w:p w:rsidR="00A745E4" w:rsidRPr="00203A48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</w:rPr>
        <w:t>Příjmy z rozpočtu EU</w:t>
      </w:r>
    </w:p>
    <w:p w:rsidR="00A745E4" w:rsidRPr="00203A48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203A48">
        <w:rPr>
          <w:rFonts w:asciiTheme="minorHAnsi" w:hAnsiTheme="minorHAnsi"/>
          <w:b/>
        </w:rPr>
        <w:t xml:space="preserve">Celkové příjmy z rozpočtu EU uvedeny ve výši 86,7 mld. Kč, kde v návrhu není uvedeno, zda uvedená částka již pracuje s očekávanou skutečností zohledňující riziko nedočerpání. Požadujeme do návrhu zohlednit předpokládané nedočerpání za rok 2015 </w:t>
      </w:r>
      <w:r w:rsidRPr="00203A48">
        <w:rPr>
          <w:rFonts w:asciiTheme="minorHAnsi" w:hAnsiTheme="minorHAnsi"/>
        </w:rPr>
        <w:t>(cca 10 mld. Kč), stejně tak i předpokládané náklady na korekce v roce 2015 (lze vyjít z objemu korekcí v letech 2013 resp. 2014).</w:t>
      </w:r>
    </w:p>
    <w:p w:rsidR="00A745E4" w:rsidRPr="00B5674D" w:rsidRDefault="00A745E4" w:rsidP="00A745E4">
      <w:pPr>
        <w:pStyle w:val="Odstavecseseznamem"/>
        <w:numPr>
          <w:ilvl w:val="0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Výdaje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Návrh rozpočtu nevyužívá maximální možnou výši schváleného výdajového rámce (který byl navýšen v květnu 2014 vládou s cílem zajistit výdajové priority vlády, rámec na rok 2015 bez prostředků EU činí 1169 mld.</w:t>
      </w:r>
      <w:r w:rsidR="00B5674D" w:rsidRPr="00BC773A">
        <w:rPr>
          <w:rFonts w:asciiTheme="minorHAnsi" w:hAnsiTheme="minorHAnsi"/>
        </w:rPr>
        <w:t xml:space="preserve"> </w:t>
      </w:r>
      <w:r w:rsidRPr="00BC773A">
        <w:rPr>
          <w:rFonts w:asciiTheme="minorHAnsi" w:hAnsiTheme="minorHAnsi"/>
        </w:rPr>
        <w:t>Kč, návrh rozpočtu počítá se sumou výdajů 1129,8 mld. Kč)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Vláda deklarovala důraz na vybrané oblasti hospodářské politiky – výdaje SR by tomuto měly odpovídat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Kapitálové výdaje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 xml:space="preserve">Kapitálové výdaje SR jsou v návrhu meziročně navyšovány pouze o 1,3 </w:t>
      </w:r>
      <w:proofErr w:type="spellStart"/>
      <w:proofErr w:type="gramStart"/>
      <w:r w:rsidRPr="00BC773A">
        <w:rPr>
          <w:rFonts w:asciiTheme="minorHAnsi" w:hAnsiTheme="minorHAnsi"/>
        </w:rPr>
        <w:t>mld.Kč</w:t>
      </w:r>
      <w:proofErr w:type="spellEnd"/>
      <w:proofErr w:type="gramEnd"/>
      <w:r w:rsidRPr="00BC773A">
        <w:rPr>
          <w:rFonts w:asciiTheme="minorHAnsi" w:hAnsiTheme="minorHAnsi"/>
        </w:rPr>
        <w:t xml:space="preserve">. </w:t>
      </w:r>
      <w:r w:rsidRPr="00BC773A">
        <w:rPr>
          <w:rFonts w:asciiTheme="minorHAnsi" w:hAnsiTheme="minorHAnsi"/>
          <w:b/>
        </w:rPr>
        <w:t>Z návrhu nelze posoudit, kolik bude vynaloženo skutečných prostředků na uvedené priority vlády</w:t>
      </w:r>
      <w:r w:rsidRPr="00BC773A">
        <w:rPr>
          <w:rFonts w:asciiTheme="minorHAnsi" w:hAnsiTheme="minorHAnsi"/>
        </w:rPr>
        <w:t xml:space="preserve"> (o kolik bude vynaloženo více oproti očekávané skutečnosti 2014). </w:t>
      </w:r>
      <w:r w:rsidRPr="00BC773A">
        <w:rPr>
          <w:rFonts w:asciiTheme="minorHAnsi" w:hAnsiTheme="minorHAnsi"/>
          <w:b/>
        </w:rPr>
        <w:t xml:space="preserve">Navrhujeme kromě </w:t>
      </w:r>
      <w:proofErr w:type="spellStart"/>
      <w:r w:rsidRPr="00BC773A">
        <w:rPr>
          <w:rFonts w:asciiTheme="minorHAnsi" w:hAnsiTheme="minorHAnsi"/>
          <w:b/>
        </w:rPr>
        <w:t>prioritizace</w:t>
      </w:r>
      <w:proofErr w:type="spellEnd"/>
      <w:r w:rsidRPr="00BC773A">
        <w:rPr>
          <w:rFonts w:asciiTheme="minorHAnsi" w:hAnsiTheme="minorHAnsi"/>
          <w:b/>
        </w:rPr>
        <w:t xml:space="preserve"> klíčových investic v samotném základním scénáři SR i možnost stanovit do zákona o SR i návrh navýšení výdajů na investice v dílčích oblastech v souvislosti s lepším než očekávaným vývojem daňových příjmů</w:t>
      </w:r>
      <w:r w:rsidRPr="00BC773A">
        <w:rPr>
          <w:rFonts w:asciiTheme="minorHAnsi" w:hAnsiTheme="minorHAnsi"/>
        </w:rPr>
        <w:t xml:space="preserve"> (ukazatele vývoje ekonomiky apod.), kde v případě dobrého vývoje ekonomiky by tyto výdaje byly spuštěny (navýšeny ve schváleném rozsahu). Tedy připravit plán navýšení investičních výdajů, které by byly z rozpočtu uvolněny na základě několika indikátorů z výsledků ekonomiky. Zajistit připravenost investic.</w:t>
      </w:r>
    </w:p>
    <w:p w:rsidR="00A745E4" w:rsidRPr="00B5674D" w:rsidRDefault="00A745E4" w:rsidP="00A745E4">
      <w:pPr>
        <w:pStyle w:val="Odstavecseseznamem"/>
        <w:numPr>
          <w:ilvl w:val="1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Fungování veřejného sektoru a mandatorních výdajů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 xml:space="preserve">Racionalizace výdajů v provozní oblastí 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  <w:sz w:val="24"/>
          <w:szCs w:val="24"/>
        </w:rPr>
      </w:pPr>
      <w:r w:rsidRPr="00BC773A">
        <w:rPr>
          <w:rFonts w:asciiTheme="minorHAnsi" w:hAnsiTheme="minorHAnsi"/>
          <w:b/>
        </w:rPr>
        <w:t>Materiál předložený v červnu obsahoval záměr vlády zefektivnění činnosti státní správy a snížení výdajů na provoz formou snižování výdajů na externí služby (konzultační, poradenské, právní, telekomunikační, školení a ostatní), výdajů na materiál, ostatní nákupy apod.</w:t>
      </w:r>
    </w:p>
    <w:p w:rsidR="00A745E4" w:rsidRPr="00BC773A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  <w:b/>
        </w:rPr>
        <w:t>Tento záměr jsme uvítali s tím, že MF konečně usiluje o nápravu neschopnosti optimalizovat a snižovat výdaje.</w:t>
      </w:r>
      <w:r w:rsidRPr="00BC773A">
        <w:rPr>
          <w:rFonts w:asciiTheme="minorHAnsi" w:hAnsiTheme="minorHAnsi"/>
        </w:rPr>
        <w:t xml:space="preserve"> Zároveň jsme vyjádřili obavy z rezistence úředníků, hledání výmluv, (ne)schopnosti určení priorit na všech úrovních. V této souvislosti by bylo třeba zajistit, aby nedošlo k ohrožení funkčnosti systémů, a zabezpečit řízení. Hrozila by i absence kvalifikovaných </w:t>
      </w:r>
      <w:r w:rsidRPr="00BC773A">
        <w:rPr>
          <w:rFonts w:asciiTheme="minorHAnsi" w:hAnsiTheme="minorHAnsi"/>
        </w:rPr>
        <w:lastRenderedPageBreak/>
        <w:t xml:space="preserve">podkladů pro klíčová rozhodnutí (například v environmentální regulaci apod.). </w:t>
      </w:r>
    </w:p>
    <w:p w:rsidR="00A745E4" w:rsidRPr="00BC773A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Současný návrh ale původní záměr nenaplňuje a dochází naopak k dalšímu růstu výdajů na nákup služeb (+0,3 %), materiálu (+ 13,4 %) či ostatních nákupů (+7,3 %) - nenacházíme tedy slibovanou 5% úsporu na nákup služeb zmiňovanou v původním materiálu!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Celkový počet zaměstnanců v organizačních složkách státu</w:t>
      </w:r>
    </w:p>
    <w:p w:rsidR="00A745E4" w:rsidRPr="00BC773A" w:rsidRDefault="00A745E4" w:rsidP="00A745E4">
      <w:pPr>
        <w:pStyle w:val="Odstavecseseznamem"/>
        <w:numPr>
          <w:ilvl w:val="2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  <w:b/>
        </w:rPr>
        <w:t xml:space="preserve">Vítáme mírný meziroční pokles oproti rozpočtu </w:t>
      </w:r>
      <w:proofErr w:type="gramStart"/>
      <w:r w:rsidRPr="00BC773A">
        <w:rPr>
          <w:rFonts w:asciiTheme="minorHAnsi" w:hAnsiTheme="minorHAnsi"/>
          <w:b/>
        </w:rPr>
        <w:t>2014</w:t>
      </w:r>
      <w:r w:rsidRPr="00BC773A">
        <w:rPr>
          <w:rFonts w:asciiTheme="minorHAnsi" w:hAnsiTheme="minorHAnsi"/>
        </w:rPr>
        <w:t xml:space="preserve"> (z 424 306</w:t>
      </w:r>
      <w:proofErr w:type="gramEnd"/>
      <w:r w:rsidRPr="00BC773A">
        <w:rPr>
          <w:rFonts w:asciiTheme="minorHAnsi" w:hAnsiTheme="minorHAnsi"/>
        </w:rPr>
        <w:t xml:space="preserve"> na 422 965). </w:t>
      </w:r>
      <w:r w:rsidRPr="00BC773A">
        <w:rPr>
          <w:rFonts w:asciiTheme="minorHAnsi" w:hAnsiTheme="minorHAnsi"/>
          <w:b/>
        </w:rPr>
        <w:t>Požadujeme dodržení snižování počtu míst a</w:t>
      </w:r>
      <w:bookmarkStart w:id="2" w:name="_GoBack"/>
      <w:bookmarkEnd w:id="2"/>
      <w:r w:rsidRPr="00BC773A">
        <w:rPr>
          <w:rFonts w:asciiTheme="minorHAnsi" w:hAnsiTheme="minorHAnsi"/>
          <w:b/>
        </w:rPr>
        <w:t xml:space="preserve"> pokračování v racionalizaci činností veřejných institucí. Nárůsty v kapitole MPSV a MF v souvislosti s úřady práce a finanční správou podporujeme. Požadujeme ale vyhodnocené výsledků a zjištění efektivity vynaložených zdrojů</w:t>
      </w:r>
      <w:r w:rsidRPr="00BC773A">
        <w:rPr>
          <w:rFonts w:asciiTheme="minorHAnsi" w:hAnsiTheme="minorHAnsi"/>
        </w:rPr>
        <w:t xml:space="preserve"> při zohlednění minimální administrativy pro podniky</w:t>
      </w:r>
      <w:r w:rsidRPr="00BC773A">
        <w:rPr>
          <w:rFonts w:asciiTheme="minorHAnsi" w:hAnsiTheme="minorHAnsi"/>
          <w:highlight w:val="yellow"/>
        </w:rPr>
        <w:t xml:space="preserve"> </w:t>
      </w:r>
    </w:p>
    <w:p w:rsidR="00A745E4" w:rsidRPr="00B5674D" w:rsidRDefault="00A745E4" w:rsidP="00A745E4">
      <w:pPr>
        <w:pStyle w:val="Odstavecseseznamem"/>
        <w:numPr>
          <w:ilvl w:val="1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Výdaje v souvislosti s hospodářskou politikou a podnikatelským prostředím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proofErr w:type="spellStart"/>
      <w:r w:rsidRPr="00BC773A">
        <w:rPr>
          <w:rFonts w:asciiTheme="minorHAnsi" w:hAnsiTheme="minorHAnsi"/>
          <w:b/>
        </w:rPr>
        <w:t>VaVaI</w:t>
      </w:r>
      <w:proofErr w:type="spellEnd"/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 xml:space="preserve">Státní rozpočet uvádí růst výdajů na </w:t>
      </w:r>
      <w:proofErr w:type="spellStart"/>
      <w:r w:rsidRPr="00BC773A">
        <w:rPr>
          <w:rFonts w:asciiTheme="minorHAnsi" w:hAnsiTheme="minorHAnsi"/>
          <w:b/>
        </w:rPr>
        <w:t>VaVaI</w:t>
      </w:r>
      <w:proofErr w:type="spellEnd"/>
      <w:r w:rsidRPr="00BC773A">
        <w:rPr>
          <w:rFonts w:asciiTheme="minorHAnsi" w:hAnsiTheme="minorHAnsi"/>
          <w:b/>
        </w:rPr>
        <w:t xml:space="preserve"> pro rok 2015 oproti současnému </w:t>
      </w:r>
      <w:proofErr w:type="gramStart"/>
      <w:r w:rsidRPr="00BC773A">
        <w:rPr>
          <w:rFonts w:asciiTheme="minorHAnsi" w:hAnsiTheme="minorHAnsi"/>
          <w:b/>
        </w:rPr>
        <w:t>roku o cca</w:t>
      </w:r>
      <w:proofErr w:type="gramEnd"/>
      <w:r w:rsidRPr="00BC773A">
        <w:rPr>
          <w:rFonts w:asciiTheme="minorHAnsi" w:hAnsiTheme="minorHAnsi"/>
          <w:b/>
        </w:rPr>
        <w:t xml:space="preserve">. 200 mil Kč. Zvýšení podpory se týká všech rozpočtových kapitol (včetně Ministerstva kultury či Úřadu </w:t>
      </w:r>
      <w:proofErr w:type="gramStart"/>
      <w:r w:rsidRPr="00BC773A">
        <w:rPr>
          <w:rFonts w:asciiTheme="minorHAnsi" w:hAnsiTheme="minorHAnsi"/>
          <w:b/>
        </w:rPr>
        <w:t xml:space="preserve">vlády, ...) </w:t>
      </w:r>
      <w:r w:rsidRPr="00BC773A">
        <w:rPr>
          <w:rFonts w:asciiTheme="minorHAnsi" w:hAnsiTheme="minorHAnsi"/>
          <w:b/>
          <w:u w:val="single"/>
        </w:rPr>
        <w:t>kromě</w:t>
      </w:r>
      <w:proofErr w:type="gramEnd"/>
      <w:r w:rsidRPr="00BC773A">
        <w:rPr>
          <w:rFonts w:asciiTheme="minorHAnsi" w:hAnsiTheme="minorHAnsi"/>
          <w:b/>
          <w:u w:val="single"/>
        </w:rPr>
        <w:t xml:space="preserve"> MPO, TA ČR a MV, kde však je snížení cíleně omezováno</w:t>
      </w:r>
      <w:r w:rsidRPr="00BC773A">
        <w:rPr>
          <w:rFonts w:asciiTheme="minorHAnsi" w:hAnsiTheme="minorHAnsi"/>
          <w:b/>
        </w:rPr>
        <w:t>. Pro TA ČR jsou plánovány výdaje na úrovni 96,7 % roku 2014 (pokles o 100 mil. Kč) a u MPO dokonce dojde ke snížení na 80 % roku 2014 (pokles o 700 mil. Kč). Obě tyto instituce reprezentují výdaje do aplikovaného výzkumu, kterému tak bude snížena celková podpora o 800 mil. Kč.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 xml:space="preserve">Poklesem výdajů MPO a současným poklesem rozpočtu TA ČR nedojde k naplnění reformy </w:t>
      </w:r>
      <w:proofErr w:type="spellStart"/>
      <w:r w:rsidRPr="00BC773A">
        <w:rPr>
          <w:rFonts w:asciiTheme="minorHAnsi" w:hAnsiTheme="minorHAnsi"/>
        </w:rPr>
        <w:t>VaVaI</w:t>
      </w:r>
      <w:proofErr w:type="spellEnd"/>
      <w:r w:rsidRPr="00BC773A">
        <w:rPr>
          <w:rFonts w:asciiTheme="minorHAnsi" w:hAnsiTheme="minorHAnsi"/>
        </w:rPr>
        <w:t xml:space="preserve"> z roku 2008, která počítala s přesunem prostředků na </w:t>
      </w:r>
      <w:proofErr w:type="spellStart"/>
      <w:r w:rsidRPr="00BC773A">
        <w:rPr>
          <w:rFonts w:asciiTheme="minorHAnsi" w:hAnsiTheme="minorHAnsi"/>
        </w:rPr>
        <w:t>VaVaI</w:t>
      </w:r>
      <w:proofErr w:type="spellEnd"/>
      <w:r w:rsidRPr="00BC773A">
        <w:rPr>
          <w:rFonts w:asciiTheme="minorHAnsi" w:hAnsiTheme="minorHAnsi"/>
        </w:rPr>
        <w:t xml:space="preserve"> z MPO na TA ČR. 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Pokles podpory průmyslového výzkumu je v rozporu s větou uvedenou ve Zprávě k návrhu zákona o státním rozpočtu ČR na rok 2015, kde je uvedeno: „</w:t>
      </w:r>
      <w:r w:rsidRPr="00BC773A">
        <w:rPr>
          <w:rFonts w:asciiTheme="minorHAnsi" w:hAnsiTheme="minorHAnsi"/>
          <w:i/>
        </w:rPr>
        <w:t>Podpora programových projektů průmyslového výzkumu a vývoje je jedním z předpokladů konkurenceschopnosti průmyslové výroby</w:t>
      </w:r>
      <w:r w:rsidRPr="00BC773A">
        <w:rPr>
          <w:rFonts w:asciiTheme="minorHAnsi" w:hAnsiTheme="minorHAnsi"/>
        </w:rPr>
        <w:t>.“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  <w:b/>
        </w:rPr>
        <w:t>Požadujeme navýšení rozpočtu TA ČR minimálně o 700 mil. Kč, aby byl podpořen program EPSILON, který představuje jediný nový program na podporu průmyslového výzkumu.</w:t>
      </w:r>
      <w:r w:rsidRPr="00BC773A">
        <w:rPr>
          <w:rFonts w:asciiTheme="minorHAnsi" w:hAnsiTheme="minorHAnsi"/>
        </w:rPr>
        <w:t xml:space="preserve"> Se stagnujícím rozpočtovým výhledem u kapitoly TA ČR se situace bude o to více zhoršovat.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Prostředky na aktivní politiku zaměstnanosti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eastAsia="Times New Roman" w:hAnsiTheme="minorHAnsi"/>
        </w:rPr>
      </w:pPr>
      <w:r w:rsidRPr="00BC773A">
        <w:rPr>
          <w:rFonts w:asciiTheme="minorHAnsi" w:hAnsiTheme="minorHAnsi"/>
        </w:rPr>
        <w:t xml:space="preserve">Výdaje v kapitole MPSV navýšeny z cca 4,59 mld. Kč na cca 6,66 mld. Kč (bez prostředků EU je zachována suma 3 </w:t>
      </w:r>
      <w:proofErr w:type="spellStart"/>
      <w:proofErr w:type="gramStart"/>
      <w:r w:rsidRPr="00BC773A">
        <w:rPr>
          <w:rFonts w:asciiTheme="minorHAnsi" w:hAnsiTheme="minorHAnsi"/>
        </w:rPr>
        <w:t>mld.Kč</w:t>
      </w:r>
      <w:proofErr w:type="spellEnd"/>
      <w:proofErr w:type="gramEnd"/>
      <w:r w:rsidRPr="00BC773A">
        <w:rPr>
          <w:rFonts w:asciiTheme="minorHAnsi" w:hAnsiTheme="minorHAnsi"/>
        </w:rPr>
        <w:t>). Návrh neodpovídá požadavkům z materiálu MPSV „Aktivizační opatření k řešení nepříznivé situace na trhu práce“, kde jedním z hlavních opatření je „</w:t>
      </w:r>
      <w:r w:rsidRPr="00BC773A">
        <w:rPr>
          <w:rFonts w:asciiTheme="minorHAnsi" w:eastAsia="Times New Roman" w:hAnsiTheme="minorHAnsi"/>
        </w:rPr>
        <w:t xml:space="preserve">zajistit průběžné navyšování rozpočtu APZ do roku 2018 </w:t>
      </w:r>
      <w:r w:rsidRPr="00BC773A">
        <w:rPr>
          <w:rFonts w:asciiTheme="minorHAnsi" w:eastAsia="Times New Roman" w:hAnsiTheme="minorHAnsi"/>
          <w:u w:val="single"/>
        </w:rPr>
        <w:t>z národních prostředků</w:t>
      </w:r>
      <w:r w:rsidRPr="00BC773A">
        <w:rPr>
          <w:rFonts w:asciiTheme="minorHAnsi" w:eastAsia="Times New Roman" w:hAnsiTheme="minorHAnsi"/>
        </w:rPr>
        <w:t xml:space="preserve"> a to s ohledem na situaci na trhu práce" </w:t>
      </w:r>
    </w:p>
    <w:p w:rsidR="00A745E4" w:rsidRPr="00BC773A" w:rsidRDefault="00136350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 xml:space="preserve">Podpora exportu 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Celková pojistná kapacita EGAP zůstává 300 mld. Kč. EGAP</w:t>
      </w:r>
      <w:r w:rsidR="006D11EE" w:rsidRPr="00BC773A">
        <w:rPr>
          <w:rFonts w:asciiTheme="minorHAnsi" w:hAnsiTheme="minorHAnsi"/>
        </w:rPr>
        <w:t xml:space="preserve"> dle Zprávy o rozpočtu nepožádal o navýšení pojistné</w:t>
      </w:r>
      <w:r w:rsidRPr="00BC773A">
        <w:rPr>
          <w:rFonts w:asciiTheme="minorHAnsi" w:hAnsiTheme="minorHAnsi"/>
        </w:rPr>
        <w:t xml:space="preserve"> kapacity</w:t>
      </w:r>
      <w:r w:rsidR="00C81575" w:rsidRPr="00BC773A">
        <w:rPr>
          <w:rFonts w:asciiTheme="minorHAnsi" w:hAnsiTheme="minorHAnsi"/>
        </w:rPr>
        <w:t xml:space="preserve"> a</w:t>
      </w:r>
      <w:r w:rsidRPr="00BC773A">
        <w:rPr>
          <w:rFonts w:asciiTheme="minorHAnsi" w:hAnsiTheme="minorHAnsi"/>
        </w:rPr>
        <w:t xml:space="preserve"> ze SR není </w:t>
      </w:r>
      <w:r w:rsidR="00C81575" w:rsidRPr="00BC773A">
        <w:rPr>
          <w:rFonts w:asciiTheme="minorHAnsi" w:hAnsiTheme="minorHAnsi"/>
        </w:rPr>
        <w:t xml:space="preserve">tedy </w:t>
      </w:r>
      <w:r w:rsidRPr="00BC773A">
        <w:rPr>
          <w:rFonts w:asciiTheme="minorHAnsi" w:hAnsiTheme="minorHAnsi"/>
        </w:rPr>
        <w:t xml:space="preserve">rozpočtována na rok 2015 žádná částka. </w:t>
      </w:r>
      <w:r w:rsidR="00C81575" w:rsidRPr="00BC773A">
        <w:rPr>
          <w:rFonts w:asciiTheme="minorHAnsi" w:hAnsiTheme="minorHAnsi"/>
        </w:rPr>
        <w:t xml:space="preserve">S ohledem na </w:t>
      </w:r>
      <w:r w:rsidR="006D11EE" w:rsidRPr="00BC773A">
        <w:rPr>
          <w:rFonts w:asciiTheme="minorHAnsi" w:hAnsiTheme="minorHAnsi"/>
        </w:rPr>
        <w:t>záměr z</w:t>
      </w:r>
      <w:r w:rsidR="00C81575" w:rsidRPr="00BC773A">
        <w:rPr>
          <w:rFonts w:asciiTheme="minorHAnsi" w:hAnsiTheme="minorHAnsi"/>
        </w:rPr>
        <w:t xml:space="preserve">vyšování teritoriálních limitů </w:t>
      </w:r>
      <w:r w:rsidR="006D11EE" w:rsidRPr="00BC773A">
        <w:rPr>
          <w:rFonts w:asciiTheme="minorHAnsi" w:hAnsiTheme="minorHAnsi"/>
        </w:rPr>
        <w:t xml:space="preserve">(u zemí, které by se </w:t>
      </w:r>
      <w:r w:rsidR="006D11EE" w:rsidRPr="00BC773A">
        <w:rPr>
          <w:rFonts w:asciiTheme="minorHAnsi" w:hAnsiTheme="minorHAnsi"/>
        </w:rPr>
        <w:lastRenderedPageBreak/>
        <w:t xml:space="preserve">mohly stát alternativními odbytišti pro export podléhající sankčnímu režimu původně směřovaný do Ruské federace) </w:t>
      </w:r>
      <w:r w:rsidR="00C81575" w:rsidRPr="00BC773A">
        <w:rPr>
          <w:rFonts w:asciiTheme="minorHAnsi" w:hAnsiTheme="minorHAnsi"/>
        </w:rPr>
        <w:t>požadujeme navýšení o 1 mld. Kč</w:t>
      </w:r>
      <w:r w:rsidR="006D11EE" w:rsidRPr="00BC773A">
        <w:rPr>
          <w:rFonts w:asciiTheme="minorHAnsi" w:hAnsiTheme="minorHAnsi"/>
        </w:rPr>
        <w:t xml:space="preserve"> (v kapitole všeobecná pokladní správa na doplnění pojistných fondů EGAP, a.s.)</w:t>
      </w:r>
      <w:r w:rsidR="00C81575" w:rsidRPr="00BC773A">
        <w:rPr>
          <w:rFonts w:asciiTheme="minorHAnsi" w:hAnsiTheme="minorHAnsi"/>
        </w:rPr>
        <w:t>. SP ČR například nepožaduje kompenzace vyplývající z geopolitických problémů (sankce vůči Rusku), ale podporuje systémová řešení. Podpora EGAP je jedním z nich.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Navýšení Dotace na podporu exportu pro ČEB na 1,54 mld. Kč a zvýšení základního kapitálu o 1 mld.</w:t>
      </w:r>
      <w:r w:rsidR="00C81575" w:rsidRPr="00BC773A">
        <w:rPr>
          <w:rFonts w:asciiTheme="minorHAnsi" w:hAnsiTheme="minorHAnsi"/>
        </w:rPr>
        <w:t xml:space="preserve"> </w:t>
      </w:r>
      <w:r w:rsidRPr="00BC773A">
        <w:rPr>
          <w:rFonts w:asciiTheme="minorHAnsi" w:hAnsiTheme="minorHAnsi"/>
        </w:rPr>
        <w:t>Kč, zvýšena také suma na dorovnání úrokových rozdílů u vývozních úvěrů ze 100 na 250 mil.</w:t>
      </w:r>
      <w:r w:rsidR="00C81575" w:rsidRPr="00BC773A">
        <w:rPr>
          <w:rFonts w:asciiTheme="minorHAnsi" w:hAnsiTheme="minorHAnsi"/>
        </w:rPr>
        <w:t xml:space="preserve"> </w:t>
      </w:r>
      <w:r w:rsidRPr="00BC773A">
        <w:rPr>
          <w:rFonts w:asciiTheme="minorHAnsi" w:hAnsiTheme="minorHAnsi"/>
        </w:rPr>
        <w:t>Kč. Toto navýšení je v souladu se záměry vlády navyšovat výdaje na podporu exportu, zejména skrze ČEB a EGAP.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Výdaje kapitoly Ministerstva dopravy a SFDI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  <w:b/>
        </w:rPr>
        <w:t>Není možné z tabulek ověřit, zda pokles je kompenzován přesunem disponibilních prostředků minulých let a z EU a zda dojde k navrženému finálnímu navýšení rozpočtu SFDI</w:t>
      </w:r>
      <w:r w:rsidRPr="00BC773A">
        <w:rPr>
          <w:rFonts w:asciiTheme="minorHAnsi" w:hAnsiTheme="minorHAnsi"/>
        </w:rPr>
        <w:t xml:space="preserve"> (a naplnění předpokladu rozpočtu na rozšíření výstavby a obnovy dopravní infrastruktury). Zpráva pouze uvádí, že SFDI má k dispozici vyšší disponibilní prostředky akumulované z minulých let a že objem prostředků pro SFDI je dostačující.</w:t>
      </w:r>
      <w:r w:rsidR="003D6B1A" w:rsidRPr="00BC773A">
        <w:rPr>
          <w:rFonts w:asciiTheme="minorHAnsi" w:hAnsiTheme="minorHAnsi"/>
        </w:rPr>
        <w:t xml:space="preserve"> Otázkou (mimo rozpočet) zůstává reálná schopnost tyto prostředky opět využít!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</w:rPr>
        <w:t>Výdaje Kapitoly Ministerstva spravedlnosti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Požadujeme potvrdit, zda jsou v nárůstu běžných výdajů MS zohledněny požadavky na řešení „</w:t>
      </w:r>
      <w:proofErr w:type="spellStart"/>
      <w:r w:rsidRPr="00BC773A">
        <w:rPr>
          <w:rFonts w:asciiTheme="minorHAnsi" w:hAnsiTheme="minorHAnsi"/>
          <w:b/>
        </w:rPr>
        <w:t>insolvenční</w:t>
      </w:r>
      <w:proofErr w:type="spellEnd"/>
      <w:r w:rsidRPr="00BC773A">
        <w:rPr>
          <w:rFonts w:asciiTheme="minorHAnsi" w:hAnsiTheme="minorHAnsi"/>
          <w:b/>
        </w:rPr>
        <w:t xml:space="preserve"> mafie“ a nejistého právního prostředí. Jaká částka byla na toto vyčleněna. Při jednání PT RHSD jsme byly upozorněny na limity rozpočtu a sociální partneři podpořili nalezení prostředků na tyto aktivity.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Dotace na obnovitelné zdroje energie</w:t>
      </w:r>
    </w:p>
    <w:p w:rsidR="002C3431" w:rsidRPr="00BC773A" w:rsidRDefault="00596B7E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V návrhu je v rámci kapitoly MPO uvedena pro roky 2015 (a následující roky 2016 a 2017) r</w:t>
      </w:r>
      <w:r w:rsidR="00A745E4" w:rsidRPr="00BC773A">
        <w:rPr>
          <w:rFonts w:asciiTheme="minorHAnsi" w:hAnsiTheme="minorHAnsi"/>
          <w:b/>
        </w:rPr>
        <w:t xml:space="preserve">oční dotace </w:t>
      </w:r>
      <w:r w:rsidRPr="00BC773A">
        <w:rPr>
          <w:rFonts w:asciiTheme="minorHAnsi" w:hAnsiTheme="minorHAnsi"/>
          <w:b/>
        </w:rPr>
        <w:t xml:space="preserve">pouze ve výši </w:t>
      </w:r>
      <w:r w:rsidR="00A745E4" w:rsidRPr="00BC773A">
        <w:rPr>
          <w:rFonts w:asciiTheme="minorHAnsi" w:hAnsiTheme="minorHAnsi"/>
          <w:b/>
        </w:rPr>
        <w:t>15,7 mld. Kč ze SR</w:t>
      </w:r>
      <w:r w:rsidRPr="00BC773A">
        <w:rPr>
          <w:rFonts w:asciiTheme="minorHAnsi" w:hAnsiTheme="minorHAnsi"/>
        </w:rPr>
        <w:t>, která je</w:t>
      </w:r>
      <w:r w:rsidR="00A745E4" w:rsidRPr="00BC773A">
        <w:rPr>
          <w:rFonts w:asciiTheme="minorHAnsi" w:hAnsiTheme="minorHAnsi"/>
        </w:rPr>
        <w:t xml:space="preserve"> v souladu s</w:t>
      </w:r>
      <w:r w:rsidRPr="00BC773A">
        <w:rPr>
          <w:rFonts w:asciiTheme="minorHAnsi" w:hAnsiTheme="minorHAnsi"/>
        </w:rPr>
        <w:t xml:space="preserve"> původní </w:t>
      </w:r>
      <w:r w:rsidR="00A745E4" w:rsidRPr="00BC773A">
        <w:rPr>
          <w:rFonts w:asciiTheme="minorHAnsi" w:hAnsiTheme="minorHAnsi"/>
        </w:rPr>
        <w:t>dohodou</w:t>
      </w:r>
      <w:r w:rsidRPr="00BC773A">
        <w:rPr>
          <w:rFonts w:asciiTheme="minorHAnsi" w:hAnsiTheme="minorHAnsi"/>
        </w:rPr>
        <w:t xml:space="preserve"> </w:t>
      </w:r>
      <w:r w:rsidR="002C3431" w:rsidRPr="00BC773A">
        <w:rPr>
          <w:rFonts w:asciiTheme="minorHAnsi" w:hAnsiTheme="minorHAnsi"/>
        </w:rPr>
        <w:t xml:space="preserve">z minulého roku </w:t>
      </w:r>
      <w:r w:rsidRPr="00BC773A">
        <w:rPr>
          <w:rFonts w:asciiTheme="minorHAnsi" w:hAnsiTheme="minorHAnsi"/>
        </w:rPr>
        <w:t>(</w:t>
      </w:r>
      <w:r w:rsidR="001F3DDD" w:rsidRPr="00BC773A">
        <w:rPr>
          <w:rFonts w:asciiTheme="minorHAnsi" w:hAnsiTheme="minorHAnsi"/>
        </w:rPr>
        <w:t>pro rok 2014 činila</w:t>
      </w:r>
      <w:r w:rsidRPr="00BC773A">
        <w:rPr>
          <w:rFonts w:asciiTheme="minorHAnsi" w:hAnsiTheme="minorHAnsi"/>
        </w:rPr>
        <w:t xml:space="preserve"> 14,7 mld. Kč, což bylo </w:t>
      </w:r>
      <w:r w:rsidR="00A745E4" w:rsidRPr="00BC773A">
        <w:rPr>
          <w:rFonts w:asciiTheme="minorHAnsi" w:hAnsiTheme="minorHAnsi"/>
        </w:rPr>
        <w:t>dáno posunem výplat dotace).</w:t>
      </w:r>
      <w:r w:rsidRPr="00BC773A">
        <w:rPr>
          <w:rFonts w:asciiTheme="minorHAnsi" w:hAnsiTheme="minorHAnsi"/>
        </w:rPr>
        <w:t xml:space="preserve"> </w:t>
      </w:r>
      <w:r w:rsidRPr="00BC773A">
        <w:rPr>
          <w:rFonts w:asciiTheme="minorHAnsi" w:hAnsiTheme="minorHAnsi"/>
          <w:b/>
        </w:rPr>
        <w:t xml:space="preserve">Návrh nezahrnuje potřebu zdrojů dle </w:t>
      </w:r>
      <w:r w:rsidR="003D6B1A" w:rsidRPr="00BC773A">
        <w:rPr>
          <w:rFonts w:asciiTheme="minorHAnsi" w:hAnsiTheme="minorHAnsi"/>
          <w:b/>
        </w:rPr>
        <w:t xml:space="preserve">připravovaného </w:t>
      </w:r>
      <w:r w:rsidRPr="00BC773A">
        <w:rPr>
          <w:rFonts w:asciiTheme="minorHAnsi" w:hAnsiTheme="minorHAnsi"/>
          <w:b/>
        </w:rPr>
        <w:t>modelu financování OZE ve výši 5 mld. Kč ročně</w:t>
      </w:r>
      <w:r w:rsidR="001F3DDD" w:rsidRPr="00BC773A">
        <w:rPr>
          <w:rFonts w:asciiTheme="minorHAnsi" w:hAnsiTheme="minorHAnsi"/>
          <w:b/>
        </w:rPr>
        <w:t xml:space="preserve">, pro rok 2015 </w:t>
      </w:r>
      <w:r w:rsidR="002C3431" w:rsidRPr="00BC773A">
        <w:rPr>
          <w:rFonts w:asciiTheme="minorHAnsi" w:hAnsiTheme="minorHAnsi"/>
          <w:b/>
        </w:rPr>
        <w:t xml:space="preserve">pak </w:t>
      </w:r>
      <w:r w:rsidR="001F3DDD" w:rsidRPr="00BC773A">
        <w:rPr>
          <w:rFonts w:asciiTheme="minorHAnsi" w:hAnsiTheme="minorHAnsi"/>
          <w:b/>
        </w:rPr>
        <w:t>ve výši 2,5 mld. Kč vzhledem k</w:t>
      </w:r>
      <w:r w:rsidR="00E56B31" w:rsidRPr="00BC773A">
        <w:rPr>
          <w:rFonts w:asciiTheme="minorHAnsi" w:hAnsiTheme="minorHAnsi"/>
          <w:b/>
        </w:rPr>
        <w:t xml:space="preserve"> předpokládané </w:t>
      </w:r>
      <w:r w:rsidR="001F3DDD" w:rsidRPr="00BC773A">
        <w:rPr>
          <w:rFonts w:asciiTheme="minorHAnsi" w:hAnsiTheme="minorHAnsi"/>
          <w:b/>
        </w:rPr>
        <w:t xml:space="preserve">účinnosti </w:t>
      </w:r>
      <w:r w:rsidRPr="00BC773A">
        <w:rPr>
          <w:rFonts w:asciiTheme="minorHAnsi" w:hAnsiTheme="minorHAnsi"/>
          <w:b/>
        </w:rPr>
        <w:t xml:space="preserve">od </w:t>
      </w:r>
      <w:proofErr w:type="gramStart"/>
      <w:r w:rsidRPr="00BC773A">
        <w:rPr>
          <w:rFonts w:asciiTheme="minorHAnsi" w:hAnsiTheme="minorHAnsi"/>
          <w:b/>
        </w:rPr>
        <w:t>1.7.2015</w:t>
      </w:r>
      <w:proofErr w:type="gramEnd"/>
      <w:r w:rsidRPr="00BC773A">
        <w:rPr>
          <w:rFonts w:asciiTheme="minorHAnsi" w:hAnsiTheme="minorHAnsi"/>
          <w:b/>
        </w:rPr>
        <w:t xml:space="preserve">. 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Programy financované ze Strukturálních fondů EU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</w:rPr>
      </w:pPr>
      <w:r w:rsidRPr="00BC773A">
        <w:rPr>
          <w:rFonts w:asciiTheme="minorHAnsi" w:hAnsiTheme="minorHAnsi"/>
          <w:b/>
        </w:rPr>
        <w:t xml:space="preserve">Celkové výdaje ze SR na financování programů částečně hrazených ze SF pro rok 2015 činí 57 </w:t>
      </w:r>
      <w:proofErr w:type="spellStart"/>
      <w:proofErr w:type="gramStart"/>
      <w:r w:rsidRPr="00BC773A">
        <w:rPr>
          <w:rFonts w:asciiTheme="minorHAnsi" w:hAnsiTheme="minorHAnsi"/>
          <w:b/>
        </w:rPr>
        <w:t>mld.Kč</w:t>
      </w:r>
      <w:proofErr w:type="spellEnd"/>
      <w:proofErr w:type="gramEnd"/>
      <w:r w:rsidRPr="00BC773A">
        <w:rPr>
          <w:rFonts w:asciiTheme="minorHAnsi" w:hAnsiTheme="minorHAnsi"/>
          <w:b/>
        </w:rPr>
        <w:t xml:space="preserve">, kde podíl SR činí pouze 6,2 mld. Kč. Požadujeme doplnit, jak je zohledněna očekávané nedočerpání v roce 2015 </w:t>
      </w:r>
      <w:r w:rsidRPr="00BC773A">
        <w:rPr>
          <w:rFonts w:asciiTheme="minorHAnsi" w:hAnsiTheme="minorHAnsi"/>
        </w:rPr>
        <w:t>(cca 10 mld. Kč). Zároveň požadujeme vyčlenění předpokládaných nákladů na korekce v roce 2015 (lze vyjít z objemu korekcí v letech 2013 resp. 2014).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V návrhu nevidíme zohlednění priority ICT a internetové ekonomiky</w:t>
      </w:r>
    </w:p>
    <w:p w:rsidR="00A745E4" w:rsidRPr="00BC773A" w:rsidRDefault="00A745E4" w:rsidP="00A745E4">
      <w:pPr>
        <w:pStyle w:val="Odstavecseseznamem"/>
        <w:numPr>
          <w:ilvl w:val="1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Požadujeme zefektivnění využívání systémů k možnosti využití získávaných dat ke snižování administrativní zátěže (například systémy daňové správy, správy sociálního zabezpečení apod.), propojení jednotlivých systému k lepší správě a analýze získaných dat</w:t>
      </w:r>
    </w:p>
    <w:p w:rsidR="00A745E4" w:rsidRPr="00B5674D" w:rsidRDefault="00A745E4" w:rsidP="00A745E4">
      <w:pPr>
        <w:pStyle w:val="Odstavecseseznamem"/>
        <w:numPr>
          <w:ilvl w:val="0"/>
          <w:numId w:val="14"/>
        </w:numPr>
        <w:rPr>
          <w:rFonts w:asciiTheme="minorHAnsi" w:hAnsiTheme="minorHAnsi"/>
          <w:b/>
          <w:sz w:val="28"/>
          <w:szCs w:val="28"/>
        </w:rPr>
      </w:pPr>
      <w:r w:rsidRPr="00B5674D">
        <w:rPr>
          <w:rFonts w:asciiTheme="minorHAnsi" w:hAnsiTheme="minorHAnsi"/>
          <w:b/>
          <w:sz w:val="28"/>
          <w:szCs w:val="28"/>
        </w:rPr>
        <w:t>Z výhledu pro roky 2016,2017</w:t>
      </w:r>
    </w:p>
    <w:p w:rsidR="00A745E4" w:rsidRPr="00BC773A" w:rsidRDefault="00A745E4" w:rsidP="00A745E4">
      <w:pPr>
        <w:pStyle w:val="Odstavecseseznamem"/>
        <w:numPr>
          <w:ilvl w:val="0"/>
          <w:numId w:val="13"/>
        </w:numPr>
        <w:rPr>
          <w:rFonts w:asciiTheme="minorHAnsi" w:hAnsiTheme="minorHAnsi"/>
          <w:b/>
        </w:rPr>
      </w:pPr>
      <w:r w:rsidRPr="00BC773A">
        <w:rPr>
          <w:rFonts w:asciiTheme="minorHAnsi" w:hAnsiTheme="minorHAnsi"/>
          <w:b/>
        </w:rPr>
        <w:t>V návrhu střednědobého výhledu není na první pohled vidět promítnutí deklarovaných priorit vlády. Snižuje se rozpočet SFDI, dále se snižují výdaje kapitoly Ministerstva průmyslu a obchodu, stagnují výdaje na TAČR</w:t>
      </w:r>
    </w:p>
    <w:sectPr w:rsidR="00A745E4" w:rsidRPr="00BC773A" w:rsidSect="00467081">
      <w:footerReference w:type="default" r:id="rId8"/>
      <w:headerReference w:type="first" r:id="rId9"/>
      <w:footerReference w:type="first" r:id="rId10"/>
      <w:pgSz w:w="11906" w:h="16838"/>
      <w:pgMar w:top="1701" w:right="1418" w:bottom="1135" w:left="1418" w:header="992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F26" w:rsidRDefault="00CA3F26" w:rsidP="008946EE">
      <w:r>
        <w:separator/>
      </w:r>
    </w:p>
  </w:endnote>
  <w:endnote w:type="continuationSeparator" w:id="0">
    <w:p w:rsidR="00CA3F26" w:rsidRDefault="00CA3F26" w:rsidP="00894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Segoe UI"/>
    <w:charset w:val="EE"/>
    <w:family w:val="swiss"/>
    <w:pitch w:val="variable"/>
    <w:sig w:usb0="00000007" w:usb1="00000000" w:usb2="00000000" w:usb3="00000000" w:csb0="00000093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75" w:rsidRDefault="00C8157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6C84">
      <w:rPr>
        <w:noProof/>
      </w:rPr>
      <w:t>2</w:t>
    </w:r>
    <w:r>
      <w:fldChar w:fldCharType="end"/>
    </w:r>
  </w:p>
  <w:p w:rsidR="00C81575" w:rsidRDefault="00C8157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75" w:rsidRDefault="00C81575" w:rsidP="00C81575">
    <w:pPr>
      <w:pStyle w:val="Zpat"/>
      <w:tabs>
        <w:tab w:val="left" w:pos="6804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noProof/>
        <w:color w:val="005FA4"/>
        <w:sz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130810</wp:posOffset>
          </wp:positionV>
          <wp:extent cx="1543685" cy="373380"/>
          <wp:effectExtent l="19050" t="0" r="0" b="0"/>
          <wp:wrapNone/>
          <wp:docPr id="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94002">
      <w:rPr>
        <w:rFonts w:ascii="CG Omega" w:hAnsi="CG Omega"/>
        <w:noProof/>
        <w:color w:val="005FA4"/>
        <w:sz w:val="16"/>
      </w:rPr>
      <w:t>Freyova 948/11, 190 05  Praha 9</w:t>
    </w:r>
    <w:r>
      <w:rPr>
        <w:rFonts w:ascii="CG Omega" w:hAnsi="CG Omega"/>
        <w:color w:val="005FA4"/>
        <w:sz w:val="16"/>
      </w:rPr>
      <w:tab/>
    </w:r>
    <w:r>
      <w:rPr>
        <w:rFonts w:ascii="CG Omega" w:hAnsi="CG Omega"/>
        <w:color w:val="005FA4"/>
        <w:sz w:val="16"/>
      </w:rPr>
      <w:tab/>
    </w:r>
  </w:p>
  <w:p w:rsidR="00C81575" w:rsidRDefault="00C81575" w:rsidP="00C81575">
    <w:pPr>
      <w:pStyle w:val="Zpat"/>
      <w:tabs>
        <w:tab w:val="left" w:pos="6663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color w:val="005FA4"/>
        <w:sz w:val="16"/>
      </w:rPr>
      <w:t>Tel.: +420 225 279 111, Fax: +420 225 279 100</w:t>
    </w:r>
  </w:p>
  <w:p w:rsidR="00C81575" w:rsidRPr="00587D54" w:rsidRDefault="00C81575" w:rsidP="00C81575">
    <w:pPr>
      <w:pStyle w:val="Zpat"/>
      <w:tabs>
        <w:tab w:val="left" w:pos="6663"/>
      </w:tabs>
      <w:spacing w:line="240" w:lineRule="atLeast"/>
    </w:pPr>
    <w:r>
      <w:rPr>
        <w:rFonts w:ascii="CG Omega" w:hAnsi="CG Omega"/>
        <w:color w:val="005FA4"/>
        <w:sz w:val="16"/>
      </w:rPr>
      <w:t xml:space="preserve">e-mail: </w:t>
    </w:r>
    <w:proofErr w:type="spellStart"/>
    <w:r>
      <w:rPr>
        <w:rFonts w:ascii="CG Omega" w:hAnsi="CG Omega"/>
        <w:color w:val="005FA4"/>
        <w:sz w:val="16"/>
      </w:rPr>
      <w:t>spcr</w:t>
    </w:r>
    <w:proofErr w:type="spellEnd"/>
    <w:r w:rsidRPr="001F5E2B">
      <w:rPr>
        <w:rFonts w:ascii="CG Omega" w:hAnsi="CG Omega"/>
        <w:color w:val="005FA4"/>
        <w:sz w:val="16"/>
      </w:rPr>
      <w:t>@spcr.cz</w:t>
    </w:r>
    <w:r>
      <w:rPr>
        <w:rFonts w:ascii="CG Omega" w:hAnsi="CG Omega"/>
        <w:color w:val="005FA4"/>
        <w:sz w:val="16"/>
      </w:rPr>
      <w:t xml:space="preserve">, </w:t>
    </w:r>
    <w:r w:rsidRPr="001F5E2B">
      <w:rPr>
        <w:rFonts w:ascii="CG Omega" w:hAnsi="CG Omega"/>
        <w:color w:val="005FA4"/>
        <w:sz w:val="16"/>
      </w:rPr>
      <w:t>www.spcr.cz</w:t>
    </w:r>
  </w:p>
  <w:p w:rsidR="00C81575" w:rsidRDefault="00C8157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F26" w:rsidRDefault="00CA3F26" w:rsidP="008946EE">
      <w:r>
        <w:separator/>
      </w:r>
    </w:p>
  </w:footnote>
  <w:footnote w:type="continuationSeparator" w:id="0">
    <w:p w:rsidR="00CA3F26" w:rsidRDefault="00CA3F26" w:rsidP="00894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75" w:rsidRPr="00EF65E4" w:rsidRDefault="00C81575" w:rsidP="00C81575">
    <w:pPr>
      <w:pStyle w:val="Zhlav"/>
      <w:tabs>
        <w:tab w:val="clear" w:pos="4536"/>
        <w:tab w:val="left" w:pos="1134"/>
        <w:tab w:val="left" w:pos="6663"/>
      </w:tabs>
      <w:rPr>
        <w:rFonts w:ascii="CG Omega" w:hAnsi="CG Omega" w:cs="Raavi"/>
        <w:color w:val="005FA4"/>
        <w:sz w:val="24"/>
        <w:szCs w:val="24"/>
      </w:rPr>
    </w:pPr>
    <w:r>
      <w:rPr>
        <w:rFonts w:ascii="CG Omega" w:hAnsi="CG Omega" w:cs="Raavi"/>
        <w:noProof/>
        <w:color w:val="005FA4"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28575</wp:posOffset>
          </wp:positionV>
          <wp:extent cx="626110" cy="464820"/>
          <wp:effectExtent l="19050" t="0" r="2540" b="0"/>
          <wp:wrapNone/>
          <wp:docPr id="1" name="obrázek 10" descr="sp2005mod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sp2005mod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G Omega" w:hAnsi="CG Omega" w:cs="Raavi"/>
        <w:color w:val="005FA4"/>
        <w:sz w:val="24"/>
        <w:szCs w:val="24"/>
      </w:rPr>
      <w:tab/>
    </w:r>
    <w:r w:rsidRPr="00EF65E4">
      <w:rPr>
        <w:rFonts w:ascii="CG Omega" w:hAnsi="CG Omega" w:cs="Raavi"/>
        <w:color w:val="005FA4"/>
        <w:sz w:val="24"/>
        <w:szCs w:val="24"/>
      </w:rPr>
      <w:t>Svaz průmyslu a dopravy České republiky</w:t>
    </w:r>
  </w:p>
  <w:p w:rsidR="00C81575" w:rsidRPr="00EF65E4" w:rsidRDefault="00C81575" w:rsidP="00C81575">
    <w:pPr>
      <w:pStyle w:val="Zhlav"/>
      <w:tabs>
        <w:tab w:val="clear" w:pos="4536"/>
        <w:tab w:val="left" w:pos="1134"/>
        <w:tab w:val="left" w:pos="6663"/>
      </w:tabs>
      <w:ind w:firstLine="1134"/>
      <w:rPr>
        <w:rFonts w:ascii="CG Omega" w:hAnsi="CG Omega" w:cs="Raavi"/>
        <w:color w:val="005FA4"/>
        <w:sz w:val="24"/>
        <w:szCs w:val="24"/>
      </w:rPr>
    </w:pPr>
    <w:proofErr w:type="spellStart"/>
    <w:r w:rsidRPr="00EF65E4">
      <w:rPr>
        <w:rFonts w:ascii="CG Omega" w:hAnsi="CG Omega" w:cs="Raavi"/>
        <w:color w:val="005FA4"/>
        <w:sz w:val="24"/>
        <w:szCs w:val="24"/>
      </w:rPr>
      <w:t>Confederation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of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Industry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of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the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Czech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Republic</w:t>
    </w:r>
    <w:proofErr w:type="spellEnd"/>
  </w:p>
  <w:p w:rsidR="00C81575" w:rsidRDefault="00C8157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44B7"/>
    <w:multiLevelType w:val="hybridMultilevel"/>
    <w:tmpl w:val="B96CE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5E21"/>
    <w:multiLevelType w:val="hybridMultilevel"/>
    <w:tmpl w:val="34AC1734"/>
    <w:lvl w:ilvl="0" w:tplc="040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242C530A"/>
    <w:multiLevelType w:val="hybridMultilevel"/>
    <w:tmpl w:val="2ED4F922"/>
    <w:lvl w:ilvl="0" w:tplc="BF640488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2BD96F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DD57B31"/>
    <w:multiLevelType w:val="hybridMultilevel"/>
    <w:tmpl w:val="011C08C2"/>
    <w:lvl w:ilvl="0" w:tplc="04050017">
      <w:start w:val="1"/>
      <w:numFmt w:val="lowerLetter"/>
      <w:pStyle w:val="Textodstavce"/>
      <w:lvlText w:val="%1)"/>
      <w:lvlJc w:val="left"/>
      <w:pPr>
        <w:tabs>
          <w:tab w:val="num" w:pos="900"/>
        </w:tabs>
        <w:ind w:left="9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F2E91"/>
    <w:multiLevelType w:val="hybridMultilevel"/>
    <w:tmpl w:val="566A9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97660"/>
    <w:multiLevelType w:val="hybridMultilevel"/>
    <w:tmpl w:val="EE8889F0"/>
    <w:lvl w:ilvl="0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629AF"/>
    <w:multiLevelType w:val="hybridMultilevel"/>
    <w:tmpl w:val="413A9CD8"/>
    <w:lvl w:ilvl="0" w:tplc="A5DEC162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4C312E0F"/>
    <w:multiLevelType w:val="hybridMultilevel"/>
    <w:tmpl w:val="D5EAEF2A"/>
    <w:lvl w:ilvl="0" w:tplc="04050011">
      <w:start w:val="1"/>
      <w:numFmt w:val="decimal"/>
      <w:lvlText w:val="%1)"/>
      <w:lvlJc w:val="left"/>
      <w:pPr>
        <w:tabs>
          <w:tab w:val="num" w:pos="-2869"/>
        </w:tabs>
      </w:pPr>
      <w:rPr>
        <w:rFonts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-3556"/>
        </w:tabs>
        <w:ind w:left="-3556" w:hanging="360"/>
      </w:pPr>
      <w:rPr>
        <w:rFonts w:cs="Times New Roman"/>
      </w:rPr>
    </w:lvl>
    <w:lvl w:ilvl="2" w:tplc="D9FA040C">
      <w:start w:val="1"/>
      <w:numFmt w:val="lowerLetter"/>
      <w:lvlText w:val="%3)"/>
      <w:lvlJc w:val="left"/>
      <w:pPr>
        <w:tabs>
          <w:tab w:val="num" w:pos="-2656"/>
        </w:tabs>
        <w:ind w:left="-265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-2116"/>
        </w:tabs>
        <w:ind w:left="-211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-1396"/>
        </w:tabs>
        <w:ind w:left="-139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-676"/>
        </w:tabs>
        <w:ind w:left="-67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4"/>
        </w:tabs>
        <w:ind w:left="4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764"/>
        </w:tabs>
        <w:ind w:left="76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1484"/>
        </w:tabs>
        <w:ind w:left="1484" w:hanging="180"/>
      </w:pPr>
      <w:rPr>
        <w:rFonts w:cs="Times New Roman"/>
      </w:rPr>
    </w:lvl>
  </w:abstractNum>
  <w:abstractNum w:abstractNumId="9">
    <w:nsid w:val="51806AE4"/>
    <w:multiLevelType w:val="hybridMultilevel"/>
    <w:tmpl w:val="72BC349C"/>
    <w:lvl w:ilvl="0" w:tplc="9A1C9260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D6B81"/>
    <w:multiLevelType w:val="hybridMultilevel"/>
    <w:tmpl w:val="22B49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92337"/>
    <w:multiLevelType w:val="hybridMultilevel"/>
    <w:tmpl w:val="404C3380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7AE44609"/>
    <w:multiLevelType w:val="hybridMultilevel"/>
    <w:tmpl w:val="D17ABB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25078"/>
    <w:multiLevelType w:val="hybridMultilevel"/>
    <w:tmpl w:val="14B4A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081"/>
    <w:rsid w:val="00015691"/>
    <w:rsid w:val="00084B66"/>
    <w:rsid w:val="000C0720"/>
    <w:rsid w:val="00136350"/>
    <w:rsid w:val="001D3B69"/>
    <w:rsid w:val="001F3DDD"/>
    <w:rsid w:val="00203A48"/>
    <w:rsid w:val="002425B5"/>
    <w:rsid w:val="0026612F"/>
    <w:rsid w:val="002C3431"/>
    <w:rsid w:val="002E4FE7"/>
    <w:rsid w:val="003318E8"/>
    <w:rsid w:val="00373A9E"/>
    <w:rsid w:val="003D6B1A"/>
    <w:rsid w:val="00467081"/>
    <w:rsid w:val="00485C89"/>
    <w:rsid w:val="004E0CA5"/>
    <w:rsid w:val="00596B7E"/>
    <w:rsid w:val="005C1CD3"/>
    <w:rsid w:val="00601D48"/>
    <w:rsid w:val="00605511"/>
    <w:rsid w:val="00653F30"/>
    <w:rsid w:val="00671931"/>
    <w:rsid w:val="006B76FB"/>
    <w:rsid w:val="006D11EE"/>
    <w:rsid w:val="006E1B14"/>
    <w:rsid w:val="00755AA2"/>
    <w:rsid w:val="0076545A"/>
    <w:rsid w:val="007D6C84"/>
    <w:rsid w:val="0084676C"/>
    <w:rsid w:val="00850ED5"/>
    <w:rsid w:val="008946EE"/>
    <w:rsid w:val="008A4026"/>
    <w:rsid w:val="008D0763"/>
    <w:rsid w:val="00A745E4"/>
    <w:rsid w:val="00AF1D0F"/>
    <w:rsid w:val="00AF4922"/>
    <w:rsid w:val="00B5674D"/>
    <w:rsid w:val="00B64A21"/>
    <w:rsid w:val="00B83E12"/>
    <w:rsid w:val="00BC773A"/>
    <w:rsid w:val="00C14310"/>
    <w:rsid w:val="00C73E1E"/>
    <w:rsid w:val="00C81575"/>
    <w:rsid w:val="00CA3F26"/>
    <w:rsid w:val="00CB6D3D"/>
    <w:rsid w:val="00D93BB8"/>
    <w:rsid w:val="00D94FE0"/>
    <w:rsid w:val="00DB3163"/>
    <w:rsid w:val="00E27AD6"/>
    <w:rsid w:val="00E41D66"/>
    <w:rsid w:val="00E54141"/>
    <w:rsid w:val="00E56B31"/>
    <w:rsid w:val="00E62E1F"/>
    <w:rsid w:val="00E748C0"/>
    <w:rsid w:val="00EA14B5"/>
    <w:rsid w:val="00EF36A8"/>
    <w:rsid w:val="00F425A1"/>
    <w:rsid w:val="00FD727C"/>
    <w:rsid w:val="00FF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7081"/>
    <w:pPr>
      <w:spacing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70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70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670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70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670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dpiszkona">
    <w:name w:val="nadpis zákona"/>
    <w:basedOn w:val="Normln"/>
    <w:next w:val="Normln"/>
    <w:uiPriority w:val="99"/>
    <w:rsid w:val="00467081"/>
    <w:pPr>
      <w:keepNext/>
      <w:keepLines/>
      <w:spacing w:before="120"/>
      <w:jc w:val="center"/>
      <w:outlineLvl w:val="0"/>
    </w:pPr>
    <w:rPr>
      <w:b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67081"/>
    <w:rPr>
      <w:rFonts w:ascii="Calibri" w:eastAsia="Calibri" w:hAnsi="Calibri" w:cs="Times New Roman"/>
    </w:rPr>
  </w:style>
  <w:style w:type="paragraph" w:customStyle="1" w:styleId="Textpsmene">
    <w:name w:val="Text písmene"/>
    <w:basedOn w:val="Normln"/>
    <w:link w:val="TextpsmeneChar"/>
    <w:uiPriority w:val="99"/>
    <w:rsid w:val="00FD727C"/>
    <w:pPr>
      <w:numPr>
        <w:ilvl w:val="1"/>
        <w:numId w:val="6"/>
      </w:numPr>
      <w:tabs>
        <w:tab w:val="num" w:pos="425"/>
      </w:tabs>
      <w:ind w:left="425" w:hanging="425"/>
      <w:jc w:val="both"/>
      <w:outlineLvl w:val="7"/>
    </w:pPr>
    <w:rPr>
      <w:sz w:val="24"/>
    </w:rPr>
  </w:style>
  <w:style w:type="character" w:customStyle="1" w:styleId="TextpsmeneChar">
    <w:name w:val="Text písmene Char"/>
    <w:link w:val="Textpsmene"/>
    <w:uiPriority w:val="99"/>
    <w:locked/>
    <w:rsid w:val="00C1431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Normln"/>
    <w:next w:val="Normln"/>
    <w:link w:val="NadpisparagrafuChar"/>
    <w:uiPriority w:val="99"/>
    <w:rsid w:val="00850ED5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NadpisparagrafuChar">
    <w:name w:val="Nadpis paragrafu Char"/>
    <w:link w:val="Nadpisparagrafu"/>
    <w:uiPriority w:val="99"/>
    <w:locked/>
    <w:rsid w:val="00850ED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E41D66"/>
    <w:pPr>
      <w:jc w:val="center"/>
    </w:pPr>
    <w:rPr>
      <w:b/>
      <w:sz w:val="24"/>
      <w:szCs w:val="15"/>
    </w:rPr>
  </w:style>
  <w:style w:type="character" w:customStyle="1" w:styleId="NzevChar">
    <w:name w:val="Název Char"/>
    <w:basedOn w:val="Standardnpsmoodstavce"/>
    <w:link w:val="Nzev"/>
    <w:uiPriority w:val="99"/>
    <w:rsid w:val="00E41D66"/>
    <w:rPr>
      <w:rFonts w:ascii="Times New Roman" w:eastAsia="Times New Roman" w:hAnsi="Times New Roman" w:cs="Times New Roman"/>
      <w:b/>
      <w:sz w:val="24"/>
      <w:szCs w:val="15"/>
      <w:lang w:eastAsia="cs-CZ"/>
    </w:rPr>
  </w:style>
  <w:style w:type="character" w:customStyle="1" w:styleId="TextodstavceChar">
    <w:name w:val="Text odstavce Char"/>
    <w:basedOn w:val="Standardnpsmoodstavce"/>
    <w:link w:val="Textodstavce"/>
    <w:locked/>
    <w:rsid w:val="00E41D66"/>
    <w:rPr>
      <w:rFonts w:ascii="Calibri" w:hAnsi="Calibri"/>
    </w:rPr>
  </w:style>
  <w:style w:type="paragraph" w:customStyle="1" w:styleId="Textodstavce">
    <w:name w:val="Text odstavce"/>
    <w:basedOn w:val="Normln"/>
    <w:link w:val="TextodstavceChar"/>
    <w:rsid w:val="00E41D66"/>
    <w:pPr>
      <w:numPr>
        <w:numId w:val="9"/>
      </w:numPr>
      <w:spacing w:before="120" w:after="120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3F30"/>
    <w:rPr>
      <w:rFonts w:ascii="Calibri" w:eastAsiaTheme="minorHAnsi" w:hAnsi="Calibri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3F30"/>
    <w:rPr>
      <w:rFonts w:ascii="Calibri" w:hAnsi="Calibri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F30"/>
    <w:rPr>
      <w:rFonts w:ascii="Calibri" w:eastAsiaTheme="minorHAnsi" w:hAnsi="Calibri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3F30"/>
    <w:rPr>
      <w:rFonts w:ascii="Calibri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53F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5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5E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6EE85-F5FB-4BE7-8166-427A16B2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1992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Bohuslav Cizek</dc:creator>
  <cp:lastModifiedBy>Bohuslav Cizek</cp:lastModifiedBy>
  <cp:revision>5</cp:revision>
  <cp:lastPrinted>2014-09-17T12:04:00Z</cp:lastPrinted>
  <dcterms:created xsi:type="dcterms:W3CDTF">2014-09-17T12:28:00Z</dcterms:created>
  <dcterms:modified xsi:type="dcterms:W3CDTF">2014-09-17T12:50:00Z</dcterms:modified>
</cp:coreProperties>
</file>