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9E9B" w14:textId="77777777" w:rsidR="00573809" w:rsidRDefault="00573809" w:rsidP="002A3538">
      <w:pPr>
        <w:pStyle w:val="nadpisI"/>
        <w:numPr>
          <w:ilvl w:val="0"/>
          <w:numId w:val="0"/>
        </w:numPr>
        <w:spacing w:before="120" w:after="120"/>
        <w:ind w:left="720"/>
        <w:jc w:val="center"/>
      </w:pPr>
      <w:r>
        <w:t>Odvody za porušení podmínek a povinností při čerpání dotace</w:t>
      </w:r>
    </w:p>
    <w:p w14:paraId="20109EA4" w14:textId="77777777" w:rsidR="008920B2" w:rsidRDefault="008920B2" w:rsidP="002A3538">
      <w:pPr>
        <w:pStyle w:val="nadpisI"/>
        <w:numPr>
          <w:ilvl w:val="0"/>
          <w:numId w:val="0"/>
        </w:numPr>
        <w:spacing w:before="120" w:after="120"/>
        <w:ind w:left="720"/>
        <w:jc w:val="center"/>
      </w:pPr>
      <w:r>
        <w:t>Část I.</w:t>
      </w:r>
    </w:p>
    <w:p w14:paraId="38A2B6A5" w14:textId="77777777" w:rsidR="008920B2" w:rsidRPr="00B92A23" w:rsidRDefault="008920B2" w:rsidP="002A3538">
      <w:pPr>
        <w:pStyle w:val="nadpisI"/>
        <w:numPr>
          <w:ilvl w:val="0"/>
          <w:numId w:val="0"/>
        </w:numPr>
        <w:spacing w:before="120" w:after="120"/>
        <w:jc w:val="center"/>
        <w:rPr>
          <w:sz w:val="26"/>
          <w:szCs w:val="26"/>
        </w:rPr>
      </w:pPr>
      <w:r w:rsidRPr="00B92A23">
        <w:rPr>
          <w:sz w:val="26"/>
          <w:szCs w:val="26"/>
        </w:rPr>
        <w:t>Podmínky pro použití dotace</w:t>
      </w:r>
      <w:r w:rsidR="003B0C2E">
        <w:rPr>
          <w:sz w:val="26"/>
          <w:szCs w:val="26"/>
        </w:rPr>
        <w:t xml:space="preserve"> a povinnosti příjemce dotace</w:t>
      </w:r>
    </w:p>
    <w:p w14:paraId="5545B334" w14:textId="15B9C57F" w:rsidR="00FE75A2" w:rsidRPr="00DE3510" w:rsidRDefault="00FE75A2" w:rsidP="002A3538">
      <w:pPr>
        <w:pStyle w:val="lnek-body"/>
        <w:spacing w:before="120" w:after="120"/>
        <w:rPr>
          <w:color w:val="auto"/>
        </w:rPr>
      </w:pPr>
      <w:r w:rsidRPr="00DE3510">
        <w:rPr>
          <w:color w:val="auto"/>
        </w:rPr>
        <w:t>Poskytnutá dotace je účelovou dotací ke krytí nejvýše 70 % celkových nákladů</w:t>
      </w:r>
      <w:r w:rsidR="003F03F6">
        <w:rPr>
          <w:color w:val="auto"/>
        </w:rPr>
        <w:t>/výdajů</w:t>
      </w:r>
      <w:r w:rsidRPr="00DE3510">
        <w:rPr>
          <w:color w:val="auto"/>
        </w:rPr>
        <w:t xml:space="preserve"> projektu, na jehož realizaci je dotace poskytnuta. V rámci dotačních programů </w:t>
      </w:r>
      <w:r w:rsidRPr="00DE3510">
        <w:rPr>
          <w:b/>
          <w:color w:val="auto"/>
        </w:rPr>
        <w:t xml:space="preserve">Podpora veřejně prospěšných aktivit v oblasti rovnosti žen a </w:t>
      </w:r>
      <w:r w:rsidRPr="0009273D">
        <w:rPr>
          <w:b/>
          <w:color w:val="auto"/>
        </w:rPr>
        <w:t xml:space="preserve">mužů </w:t>
      </w:r>
      <w:r w:rsidR="0009273D" w:rsidRPr="0009273D">
        <w:rPr>
          <w:b/>
          <w:color w:val="auto"/>
        </w:rPr>
        <w:t>a prevence násilí</w:t>
      </w:r>
      <w:r w:rsidR="0009273D">
        <w:rPr>
          <w:color w:val="auto"/>
        </w:rPr>
        <w:t xml:space="preserve"> </w:t>
      </w:r>
      <w:r w:rsidRPr="00DE3510">
        <w:rPr>
          <w:color w:val="auto"/>
        </w:rPr>
        <w:t xml:space="preserve">za předpokladu, že je žadatelem obec, </w:t>
      </w:r>
      <w:r w:rsidRPr="00DE3510">
        <w:rPr>
          <w:b/>
          <w:color w:val="auto"/>
        </w:rPr>
        <w:t>Podpora implementace Evropské charty regionálních či menšinových jazyků</w:t>
      </w:r>
      <w:r w:rsidRPr="00DE3510">
        <w:rPr>
          <w:color w:val="auto"/>
        </w:rPr>
        <w:t xml:space="preserve">, za předpokladu, že je žadatelem obec, kraj nebo příspěvková organizace obce nebo kraje, </w:t>
      </w:r>
      <w:r w:rsidRPr="00DE3510">
        <w:rPr>
          <w:b/>
          <w:color w:val="auto"/>
        </w:rPr>
        <w:t>Podpora terénní práce a Podpora koordinátorů pro romské záležitosti</w:t>
      </w:r>
      <w:r w:rsidRPr="00DE3510">
        <w:rPr>
          <w:color w:val="auto"/>
        </w:rPr>
        <w:t xml:space="preserve"> může účelová dotace činit až 100 % celkových nákladů</w:t>
      </w:r>
      <w:r w:rsidR="003F03F6">
        <w:rPr>
          <w:color w:val="auto"/>
        </w:rPr>
        <w:t>/výdajů</w:t>
      </w:r>
      <w:r w:rsidRPr="00DE3510">
        <w:rPr>
          <w:color w:val="auto"/>
        </w:rPr>
        <w:t xml:space="preserve"> projektu.</w:t>
      </w:r>
    </w:p>
    <w:p w14:paraId="6DF8B4DE" w14:textId="47B689C0" w:rsidR="008920B2" w:rsidRDefault="008920B2" w:rsidP="002A3538">
      <w:pPr>
        <w:pStyle w:val="lnek-body"/>
        <w:spacing w:before="120" w:after="120"/>
      </w:pPr>
      <w:r>
        <w:t>Příjemce dotace je povinen finanční prostřed</w:t>
      </w:r>
      <w:r w:rsidR="0091386F">
        <w:t xml:space="preserve">ky uvedené v rozpočtu projektu, </w:t>
      </w:r>
      <w:r w:rsidR="006117F8">
        <w:t>jenž bude součástí rozhodnutí o poskytnutí dotace</w:t>
      </w:r>
      <w:r w:rsidR="00542D07">
        <w:t xml:space="preserve"> (dále jen „rozhodnutí“</w:t>
      </w:r>
      <w:r>
        <w:t>)</w:t>
      </w:r>
      <w:r w:rsidR="006A7296">
        <w:t>,</w:t>
      </w:r>
      <w:r>
        <w:t xml:space="preserve"> použít výhradně k realizaci projektu </w:t>
      </w:r>
      <w:r w:rsidR="00F56D65">
        <w:t>a naplnění výstupů uvedených v P</w:t>
      </w:r>
      <w:r>
        <w:t>řehledu výstupů projektu</w:t>
      </w:r>
      <w:r w:rsidR="0091386F">
        <w:t xml:space="preserve">, </w:t>
      </w:r>
      <w:r w:rsidR="006117F8">
        <w:t>jenž bude součástí rozhodnutí</w:t>
      </w:r>
      <w:r w:rsidR="008F120C">
        <w:t xml:space="preserve">, </w:t>
      </w:r>
      <w:r w:rsidR="00BE5C01">
        <w:t>které vedou k naplnění účelu, na který byla dotace poskytnuta.</w:t>
      </w:r>
      <w:r>
        <w:t xml:space="preserve"> </w:t>
      </w:r>
    </w:p>
    <w:p w14:paraId="793FA6D3" w14:textId="77777777" w:rsidR="008920B2" w:rsidRDefault="008920B2" w:rsidP="002A3538">
      <w:pPr>
        <w:pStyle w:val="lnek-body"/>
        <w:spacing w:before="120" w:after="120"/>
      </w:pPr>
      <w:r>
        <w:t xml:space="preserve">Příjemce dotace je povinen při realizaci projektu postupovat v souladu se strategickými a koncepčními dokumenty týkajícími se daného dotačního programu či jinými materiály, pokud jsou pro příjemce </w:t>
      </w:r>
      <w:r w:rsidR="00142B57">
        <w:t xml:space="preserve">dotace </w:t>
      </w:r>
      <w:r>
        <w:t>relevantní (např. strategické či koncepční dokumenty krajů</w:t>
      </w:r>
      <w:r w:rsidR="00BE5C01">
        <w:t>, obcí</w:t>
      </w:r>
      <w:r>
        <w:t>).</w:t>
      </w:r>
    </w:p>
    <w:p w14:paraId="19EFE85D" w14:textId="77777777" w:rsidR="008920B2" w:rsidRDefault="008920B2" w:rsidP="002A3538">
      <w:pPr>
        <w:pStyle w:val="lnek-body"/>
        <w:spacing w:before="120" w:after="120"/>
      </w:pPr>
      <w:r>
        <w:t>Příjemce dotace je dále povinen:</w:t>
      </w:r>
    </w:p>
    <w:p w14:paraId="7AFA4240" w14:textId="4FE66AC7" w:rsidR="008920B2" w:rsidRDefault="008920B2" w:rsidP="002A3538">
      <w:pPr>
        <w:pStyle w:val="lnek-body-psmeno"/>
        <w:numPr>
          <w:ilvl w:val="0"/>
          <w:numId w:val="6"/>
        </w:numPr>
        <w:spacing w:before="120" w:after="120"/>
        <w:ind w:left="714" w:hanging="357"/>
        <w:contextualSpacing w:val="0"/>
      </w:pPr>
      <w:r>
        <w:t>vést účetnictví</w:t>
      </w:r>
      <w:r w:rsidR="00AF5202">
        <w:t>, příp. jednoduché účetnictví (dále jen „účetnictví“)</w:t>
      </w:r>
      <w:r>
        <w:t xml:space="preserve"> </w:t>
      </w:r>
      <w:r w:rsidRPr="00C82999">
        <w:t>v</w:t>
      </w:r>
      <w:r>
        <w:t> </w:t>
      </w:r>
      <w:r w:rsidR="00BA51C7">
        <w:t>souladu se </w:t>
      </w:r>
      <w:r w:rsidRPr="00C82999">
        <w:t xml:space="preserve">zákonem </w:t>
      </w:r>
      <w:r>
        <w:t>č. </w:t>
      </w:r>
      <w:r w:rsidRPr="00C82999">
        <w:t>563/1991 Sb., o</w:t>
      </w:r>
      <w:r>
        <w:t> </w:t>
      </w:r>
      <w:r w:rsidRPr="00C82999">
        <w:t>účetnictví, ve znění pozdějších předpisů, a</w:t>
      </w:r>
      <w:r>
        <w:t> </w:t>
      </w:r>
      <w:r w:rsidRPr="00890BF4">
        <w:t>jeho prováděcí</w:t>
      </w:r>
      <w:r>
        <w:t>mi předpisy</w:t>
      </w:r>
      <w:r w:rsidR="00D007D5">
        <w:t>;</w:t>
      </w:r>
      <w:r w:rsidR="00AF5202">
        <w:rPr>
          <w:rStyle w:val="Znakapoznpodarou"/>
        </w:rPr>
        <w:footnoteReference w:id="1"/>
      </w:r>
    </w:p>
    <w:p w14:paraId="5BFAA0A1" w14:textId="307B226F" w:rsidR="008920B2" w:rsidRDefault="008920B2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 w:rsidRPr="00890BF4">
        <w:t xml:space="preserve">vést </w:t>
      </w:r>
      <w:r w:rsidR="00AF5202">
        <w:t xml:space="preserve">účetnictví </w:t>
      </w:r>
      <w:r w:rsidRPr="00890BF4">
        <w:t>úplně, průkazně a pravdivě tak,</w:t>
      </w:r>
      <w:r>
        <w:t xml:space="preserve"> aby jednotlivé uznateln</w:t>
      </w:r>
      <w:r w:rsidR="00AF5202">
        <w:t>é</w:t>
      </w:r>
      <w:r w:rsidR="00C10B5C">
        <w:t xml:space="preserve"> náklad</w:t>
      </w:r>
      <w:r w:rsidR="00AF5202">
        <w:t>y/výdaje</w:t>
      </w:r>
      <w:r w:rsidR="0052690F">
        <w:t xml:space="preserve"> hrazené z dotace</w:t>
      </w:r>
      <w:r w:rsidR="00C10B5C">
        <w:t xml:space="preserve"> byly vedeny odděleně</w:t>
      </w:r>
      <w:r>
        <w:t xml:space="preserve"> od ostatních nákladů</w:t>
      </w:r>
      <w:r w:rsidR="00AF5202">
        <w:t>/výdajů</w:t>
      </w:r>
      <w:r w:rsidR="00C652B9">
        <w:t>;</w:t>
      </w:r>
    </w:p>
    <w:p w14:paraId="38F118AE" w14:textId="77777777" w:rsidR="00C652B9" w:rsidRPr="00657661" w:rsidRDefault="00C652B9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>
        <w:t>vést účetnictví zvlášť</w:t>
      </w:r>
      <w:r w:rsidRPr="00142B57">
        <w:rPr>
          <w:color w:val="auto"/>
        </w:rPr>
        <w:t xml:space="preserve"> k projektu (celkové náklady</w:t>
      </w:r>
      <w:r w:rsidR="00AF5202">
        <w:rPr>
          <w:color w:val="auto"/>
        </w:rPr>
        <w:t>/výdaje</w:t>
      </w:r>
      <w:r w:rsidRPr="00142B57">
        <w:rPr>
          <w:color w:val="auto"/>
        </w:rPr>
        <w:t xml:space="preserve"> p</w:t>
      </w:r>
      <w:r w:rsidR="00BA51C7">
        <w:rPr>
          <w:color w:val="auto"/>
        </w:rPr>
        <w:t>rojektu vč. spolufinancování) a </w:t>
      </w:r>
      <w:r w:rsidRPr="00142B57">
        <w:rPr>
          <w:color w:val="auto"/>
        </w:rPr>
        <w:t>zvlášť k dotaci (náklady</w:t>
      </w:r>
      <w:r w:rsidR="00AF5202">
        <w:rPr>
          <w:color w:val="auto"/>
        </w:rPr>
        <w:t>/výdaje</w:t>
      </w:r>
      <w:r w:rsidRPr="00142B57">
        <w:rPr>
          <w:color w:val="auto"/>
        </w:rPr>
        <w:t xml:space="preserve"> hrazené z dotace poskytnuté Úřadem </w:t>
      </w:r>
      <w:r>
        <w:t>vlády</w:t>
      </w:r>
      <w:r w:rsidRPr="00142B57">
        <w:rPr>
          <w:color w:val="auto"/>
        </w:rPr>
        <w:t>) dokládající řádné zaúčtování nákladů</w:t>
      </w:r>
      <w:r w:rsidR="00AF5202">
        <w:rPr>
          <w:color w:val="auto"/>
        </w:rPr>
        <w:t>/výdajů</w:t>
      </w:r>
      <w:r w:rsidRPr="00142B57">
        <w:rPr>
          <w:color w:val="auto"/>
        </w:rPr>
        <w:t xml:space="preserve"> jednotlivých položek finančních prostředků</w:t>
      </w:r>
      <w:r w:rsidR="00142B57">
        <w:rPr>
          <w:color w:val="auto"/>
        </w:rPr>
        <w:t>;</w:t>
      </w:r>
    </w:p>
    <w:p w14:paraId="61701728" w14:textId="77777777" w:rsidR="00CE3CFA" w:rsidRDefault="008920B2" w:rsidP="002A3538">
      <w:pPr>
        <w:pStyle w:val="lnek-body-psmeno"/>
        <w:numPr>
          <w:ilvl w:val="0"/>
          <w:numId w:val="6"/>
        </w:numPr>
        <w:spacing w:before="120" w:after="120"/>
        <w:ind w:left="714" w:hanging="357"/>
        <w:contextualSpacing w:val="0"/>
      </w:pPr>
      <w:r w:rsidRPr="00C53786">
        <w:t>vynakládat poskytnuté finanční prostředky z</w:t>
      </w:r>
      <w:r>
        <w:t> </w:t>
      </w:r>
      <w:r w:rsidRPr="00C53786">
        <w:t xml:space="preserve">dotace </w:t>
      </w:r>
      <w:r>
        <w:t xml:space="preserve">účelně, </w:t>
      </w:r>
      <w:r w:rsidRPr="00C53786">
        <w:t>hospodárně</w:t>
      </w:r>
      <w:r>
        <w:t xml:space="preserve"> a</w:t>
      </w:r>
      <w:r w:rsidRPr="00C53786">
        <w:t xml:space="preserve"> efektivně, přičemž:</w:t>
      </w:r>
    </w:p>
    <w:p w14:paraId="243544D5" w14:textId="77777777" w:rsidR="00CE3CFA" w:rsidRDefault="008920B2" w:rsidP="002A3538">
      <w:pPr>
        <w:pStyle w:val="lnek-body-psmeno"/>
        <w:numPr>
          <w:ilvl w:val="0"/>
          <w:numId w:val="26"/>
        </w:numPr>
        <w:spacing w:before="120" w:after="120"/>
        <w:ind w:left="964" w:hanging="170"/>
        <w:contextualSpacing w:val="0"/>
      </w:pPr>
      <w:r w:rsidRPr="002D1FED">
        <w:rPr>
          <w:b/>
          <w:bCs/>
        </w:rPr>
        <w:t>účelností</w:t>
      </w:r>
      <w:r w:rsidRPr="00BF7C98">
        <w:t xml:space="preserve"> se rozumí použití finančních prostředků z</w:t>
      </w:r>
      <w:r>
        <w:t> </w:t>
      </w:r>
      <w:r w:rsidRPr="00BF7C98">
        <w:t xml:space="preserve">dotace, které zajistí optimální míru dosažení </w:t>
      </w:r>
      <w:r w:rsidR="00C652B9">
        <w:t>účelu, pro který je projekt realizován;</w:t>
      </w:r>
    </w:p>
    <w:p w14:paraId="2A9E570D" w14:textId="77777777" w:rsidR="00CE3CFA" w:rsidRDefault="008920B2" w:rsidP="002A3538">
      <w:pPr>
        <w:pStyle w:val="lnek-body-psmeno"/>
        <w:numPr>
          <w:ilvl w:val="0"/>
          <w:numId w:val="26"/>
        </w:numPr>
        <w:spacing w:before="120" w:after="120"/>
        <w:ind w:left="964" w:hanging="170"/>
        <w:contextualSpacing w:val="0"/>
      </w:pPr>
      <w:r w:rsidRPr="00CE3CFA">
        <w:rPr>
          <w:b/>
        </w:rPr>
        <w:t>hospodárností</w:t>
      </w:r>
      <w:r w:rsidRPr="00151303">
        <w:t xml:space="preserve"> se rozumí </w:t>
      </w:r>
      <w:r w:rsidR="00C652B9">
        <w:t>minimalizace</w:t>
      </w:r>
      <w:r w:rsidR="00C652B9" w:rsidRPr="00151303">
        <w:t xml:space="preserve"> </w:t>
      </w:r>
      <w:r w:rsidR="00FB2FC2">
        <w:t xml:space="preserve">výdajů </w:t>
      </w:r>
      <w:r w:rsidRPr="00151303">
        <w:t>finančních prostředků z</w:t>
      </w:r>
      <w:r>
        <w:t> </w:t>
      </w:r>
      <w:r w:rsidRPr="00151303">
        <w:t>dotace k</w:t>
      </w:r>
      <w:r>
        <w:t> </w:t>
      </w:r>
      <w:r w:rsidRPr="00151303">
        <w:t xml:space="preserve">zajištění </w:t>
      </w:r>
      <w:r w:rsidR="00FB2FC2">
        <w:t>cíle projektu</w:t>
      </w:r>
      <w:r w:rsidR="00C652B9">
        <w:t xml:space="preserve"> při dodržení odpovídající kvality</w:t>
      </w:r>
      <w:r w:rsidR="00FB2FC2">
        <w:t xml:space="preserve"> </w:t>
      </w:r>
      <w:r w:rsidR="00FB2FC2" w:rsidRPr="008579D3">
        <w:t>stanov</w:t>
      </w:r>
      <w:r w:rsidR="00CD1E5E" w:rsidRPr="008579D3">
        <w:t>en</w:t>
      </w:r>
      <w:r w:rsidR="00FB2FC2" w:rsidRPr="008579D3">
        <w:t>ého</w:t>
      </w:r>
      <w:r w:rsidR="00FB2FC2">
        <w:t xml:space="preserve"> cíle</w:t>
      </w:r>
      <w:r w:rsidR="00C652B9">
        <w:t>;</w:t>
      </w:r>
    </w:p>
    <w:p w14:paraId="177E65FE" w14:textId="77777777" w:rsidR="008920B2" w:rsidRPr="00BF7C98" w:rsidRDefault="008920B2" w:rsidP="002A3538">
      <w:pPr>
        <w:pStyle w:val="lnek-body-psmeno"/>
        <w:numPr>
          <w:ilvl w:val="0"/>
          <w:numId w:val="26"/>
        </w:numPr>
        <w:spacing w:before="120" w:after="120"/>
        <w:ind w:left="964" w:hanging="170"/>
        <w:contextualSpacing w:val="0"/>
      </w:pPr>
      <w:r w:rsidRPr="00CE3CFA">
        <w:rPr>
          <w:b/>
          <w:bCs/>
        </w:rPr>
        <w:lastRenderedPageBreak/>
        <w:t>efektivností</w:t>
      </w:r>
      <w:r w:rsidRPr="00BF7C98">
        <w:t xml:space="preserve"> se rozumí použití finančních prostředků z</w:t>
      </w:r>
      <w:r>
        <w:t> </w:t>
      </w:r>
      <w:r w:rsidRPr="00BF7C98">
        <w:t xml:space="preserve">dotace, </w:t>
      </w:r>
      <w:r w:rsidR="00FB2FC2">
        <w:t>kdy je dosaženo nejlepších možných výstupů (např. rozsah, kvalita) ve srovnání s objemem prostře</w:t>
      </w:r>
      <w:r w:rsidR="00C10B5C">
        <w:t>dků na zajištění těchto výstupů</w:t>
      </w:r>
      <w:r w:rsidRPr="00CE3CFA">
        <w:rPr>
          <w:bCs/>
        </w:rPr>
        <w:t>;</w:t>
      </w:r>
    </w:p>
    <w:p w14:paraId="671B73B3" w14:textId="74537C98" w:rsidR="008920B2" w:rsidRDefault="008920B2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 w:rsidRPr="00890BF4">
        <w:t>v</w:t>
      </w:r>
      <w:r>
        <w:t> </w:t>
      </w:r>
      <w:r w:rsidRPr="00890BF4">
        <w:t>kalendářním roce, na který byla dotace poskytnuta, použít dotaci pouze ke krytí uznatelných nákladů</w:t>
      </w:r>
      <w:r w:rsidR="00D1592B">
        <w:t>/výdajů</w:t>
      </w:r>
      <w:r>
        <w:t xml:space="preserve"> projektu</w:t>
      </w:r>
      <w:r w:rsidRPr="00890BF4">
        <w:t>, skutečně vynaložených v</w:t>
      </w:r>
      <w:r>
        <w:t> </w:t>
      </w:r>
      <w:r w:rsidRPr="00890BF4">
        <w:t>přímé a bezprostřední souvislosti s</w:t>
      </w:r>
      <w:r w:rsidR="00FB2FC2">
        <w:t xml:space="preserve"> realizací </w:t>
      </w:r>
      <w:r>
        <w:t>projektu. Poskytnuté finanční prostředky lze použít ke krytí uznatelných nákladů</w:t>
      </w:r>
      <w:r w:rsidR="00D1592B">
        <w:t>/výdajů</w:t>
      </w:r>
      <w:r>
        <w:t xml:space="preserve"> vzniklých od počátku kalendářního roku</w:t>
      </w:r>
      <w:r w:rsidR="00D1592B">
        <w:t xml:space="preserve"> do konce kalendářního roku, na který byla dotace poskytnuta</w:t>
      </w:r>
      <w:r>
        <w:t xml:space="preserve">. Uznatelnými náklady jsou také </w:t>
      </w:r>
      <w:r w:rsidR="00FB2FC2">
        <w:t xml:space="preserve">náklady </w:t>
      </w:r>
      <w:r>
        <w:t xml:space="preserve">zaúčtované v měsíci prosinci kalendářního roku, na který byla dotace poskytnuta, a které budou </w:t>
      </w:r>
      <w:r w:rsidR="00FB2FC2">
        <w:t xml:space="preserve">uhrazeny </w:t>
      </w:r>
      <w:r>
        <w:t>v lednu následujícího kalendářního roku. Jedná se zejména o osobní náklady projektu, te</w:t>
      </w:r>
      <w:r w:rsidR="00BA51C7">
        <w:t>lekomunikační služby, nájemné a </w:t>
      </w:r>
      <w:r>
        <w:t>energie</w:t>
      </w:r>
      <w:r w:rsidR="00D007D5">
        <w:t>;</w:t>
      </w:r>
      <w:r w:rsidR="00D1592B">
        <w:rPr>
          <w:rStyle w:val="Znakapoznpodarou"/>
        </w:rPr>
        <w:footnoteReference w:id="2"/>
      </w:r>
      <w:r>
        <w:t xml:space="preserve"> </w:t>
      </w:r>
    </w:p>
    <w:p w14:paraId="62FB2D27" w14:textId="24C862E2" w:rsidR="0052690F" w:rsidRDefault="008920B2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 w:rsidRPr="00C82999">
        <w:t xml:space="preserve">při financování projektu </w:t>
      </w:r>
      <w:r w:rsidR="00994430">
        <w:t xml:space="preserve">z různých zdrojů </w:t>
      </w:r>
      <w:r w:rsidR="00FB2FC2">
        <w:t xml:space="preserve">nepoužít </w:t>
      </w:r>
      <w:r w:rsidRPr="00C82999">
        <w:t>duplicitní úhrad</w:t>
      </w:r>
      <w:r w:rsidR="00FB2FC2">
        <w:t>u</w:t>
      </w:r>
      <w:r w:rsidRPr="00C82999">
        <w:t xml:space="preserve"> stejného nákladu</w:t>
      </w:r>
      <w:r w:rsidR="0052690F">
        <w:t>/výdaje</w:t>
      </w:r>
      <w:r>
        <w:t>;</w:t>
      </w:r>
    </w:p>
    <w:p w14:paraId="74EC1847" w14:textId="2D88F159" w:rsidR="0052690F" w:rsidRDefault="0052690F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>
        <w:t>dodržovat druhy vykonávané práce uvedené v žádosti o poskytnutí dotace</w:t>
      </w:r>
      <w:r w:rsidR="005A308A">
        <w:t xml:space="preserve"> (dále jen „žádost“)</w:t>
      </w:r>
      <w:r w:rsidR="00374982">
        <w:t xml:space="preserve">, příp. </w:t>
      </w:r>
      <w:r w:rsidR="0039598C">
        <w:t xml:space="preserve">v </w:t>
      </w:r>
      <w:r w:rsidR="00374982">
        <w:t>upravené žádosti</w:t>
      </w:r>
      <w:r>
        <w:t>;</w:t>
      </w:r>
    </w:p>
    <w:p w14:paraId="78FAECD4" w14:textId="7DF6BDD2" w:rsidR="008920B2" w:rsidRDefault="0052690F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>
        <w:t>nepoužívat dotaci za účelem tvorby zisku</w:t>
      </w:r>
      <w:r w:rsidR="008920B2">
        <w:t>;</w:t>
      </w:r>
    </w:p>
    <w:p w14:paraId="727CA027" w14:textId="77777777" w:rsidR="008920B2" w:rsidRDefault="0052690F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 w:rsidRPr="007443FB">
        <w:t>ne</w:t>
      </w:r>
      <w:r>
        <w:t xml:space="preserve">financovat z </w:t>
      </w:r>
      <w:r w:rsidR="008920B2" w:rsidRPr="007443FB">
        <w:t>prostředk</w:t>
      </w:r>
      <w:r>
        <w:t xml:space="preserve">ů </w:t>
      </w:r>
      <w:r w:rsidR="008920B2" w:rsidRPr="007443FB">
        <w:t>dotace jin</w:t>
      </w:r>
      <w:r>
        <w:t>é</w:t>
      </w:r>
      <w:r w:rsidR="008920B2" w:rsidRPr="007443FB">
        <w:t xml:space="preserve"> fyzick</w:t>
      </w:r>
      <w:r>
        <w:t>é</w:t>
      </w:r>
      <w:r w:rsidR="008920B2" w:rsidRPr="007443FB">
        <w:t xml:space="preserve"> nebo právnick</w:t>
      </w:r>
      <w:r>
        <w:t>é</w:t>
      </w:r>
      <w:r w:rsidR="008920B2" w:rsidRPr="007443FB">
        <w:t xml:space="preserve"> osob</w:t>
      </w:r>
      <w:r>
        <w:t>y</w:t>
      </w:r>
      <w:r w:rsidR="008920B2" w:rsidRPr="007443FB">
        <w:t xml:space="preserve">, </w:t>
      </w:r>
      <w:r>
        <w:t>s výjimkou těch, které poskytují výkony a služby spojené s realizací schváleného projektu</w:t>
      </w:r>
      <w:r w:rsidR="008920B2">
        <w:t>;</w:t>
      </w:r>
    </w:p>
    <w:p w14:paraId="00766370" w14:textId="77777777" w:rsidR="008920B2" w:rsidRDefault="008920B2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>
        <w:t>z</w:t>
      </w:r>
      <w:r w:rsidRPr="00EE39B0">
        <w:t> poskytnuté dotace</w:t>
      </w:r>
      <w:r w:rsidRPr="00B92A23">
        <w:rPr>
          <w:b/>
        </w:rPr>
        <w:t xml:space="preserve"> nehradit, tzn.</w:t>
      </w:r>
      <w:r w:rsidR="0052690F">
        <w:rPr>
          <w:b/>
        </w:rPr>
        <w:t>,</w:t>
      </w:r>
      <w:r w:rsidRPr="00B92A23">
        <w:rPr>
          <w:b/>
        </w:rPr>
        <w:t xml:space="preserve"> za neuznatelné náklady</w:t>
      </w:r>
      <w:r w:rsidR="0052690F">
        <w:rPr>
          <w:b/>
        </w:rPr>
        <w:t>/výdaje</w:t>
      </w:r>
      <w:r w:rsidRPr="00B92A23">
        <w:rPr>
          <w:b/>
        </w:rPr>
        <w:t xml:space="preserve"> </w:t>
      </w:r>
      <w:r w:rsidRPr="007B4877">
        <w:t>jsou považovány</w:t>
      </w:r>
      <w:r>
        <w:t>:</w:t>
      </w:r>
    </w:p>
    <w:p w14:paraId="6940AF1A" w14:textId="5849CE24" w:rsidR="005A6731" w:rsidRDefault="005A6731" w:rsidP="002A3538">
      <w:pPr>
        <w:pStyle w:val="lnek-body-psmeno"/>
        <w:numPr>
          <w:ilvl w:val="0"/>
          <w:numId w:val="27"/>
        </w:numPr>
        <w:spacing w:before="120" w:after="120"/>
        <w:ind w:left="993" w:hanging="142"/>
        <w:contextualSpacing w:val="0"/>
      </w:pPr>
      <w:r w:rsidRPr="008579D3">
        <w:t xml:space="preserve">část hrubých mezd nebo platů (včetně zákonných náhrad, které je zaměstnavatel povinen vyplácet), která v ročním průměru přesahuje maximální výši hrubé mzdy nebo platu stanovené ve </w:t>
      </w:r>
      <w:r w:rsidR="00E75C37" w:rsidRPr="008579D3">
        <w:t>v</w:t>
      </w:r>
      <w:r w:rsidRPr="008579D3">
        <w:t>ýzvě k podání žádosti o poskytnutí dotace</w:t>
      </w:r>
      <w:r w:rsidR="005A308A">
        <w:t xml:space="preserve"> (dále jen „výzva“</w:t>
      </w:r>
      <w:r w:rsidR="00DD32A5">
        <w:t>)</w:t>
      </w:r>
      <w:r w:rsidRPr="008579D3">
        <w:t>, přičemž zařazení člena realizačního týmu do třídy se určí analogicky podle nařízení vlády č. 341/2017 Sb., o platových poměrech zaměstnanců ve veřejných službách a správě</w:t>
      </w:r>
      <w:r w:rsidR="00E2359D" w:rsidRPr="008579D3">
        <w:t>, ve znění pozdějších předpisů</w:t>
      </w:r>
      <w:r w:rsidRPr="008579D3">
        <w:t>. Pokud člen realizačního týmu pracuje na projektu na méně než 1,0 úvazku a kratší dobu než celý rok, pak se poměrně krátí i výše limitu uznatelnosti nákladů</w:t>
      </w:r>
      <w:r w:rsidR="0052690F">
        <w:t>/výdajů</w:t>
      </w:r>
      <w:r w:rsidRPr="008579D3">
        <w:t xml:space="preserve"> na jeho mzdu nebo plat;</w:t>
      </w:r>
    </w:p>
    <w:p w14:paraId="718A5607" w14:textId="0A26F0DC" w:rsidR="005A6731" w:rsidRPr="008579D3" w:rsidRDefault="005A6731" w:rsidP="002A3538">
      <w:pPr>
        <w:pStyle w:val="lnek-body-psmeno"/>
        <w:numPr>
          <w:ilvl w:val="0"/>
          <w:numId w:val="27"/>
        </w:numPr>
        <w:spacing w:before="120" w:after="120"/>
        <w:ind w:left="993" w:hanging="142"/>
        <w:contextualSpacing w:val="0"/>
      </w:pPr>
      <w:r w:rsidRPr="008579D3">
        <w:t>část odměn z dohod o pracích konaných mimo pracovní poměr (DPČ, DPP)</w:t>
      </w:r>
      <w:r w:rsidR="00E2359D" w:rsidRPr="008579D3">
        <w:t>,</w:t>
      </w:r>
      <w:r w:rsidRPr="008579D3">
        <w:t xml:space="preserve"> včetně zákonných náhrad, které je zaměstnavatel povinen vyplácet, </w:t>
      </w:r>
      <w:r w:rsidR="00CF4929">
        <w:t>u kterých</w:t>
      </w:r>
      <w:r w:rsidR="00CF4929" w:rsidRPr="008579D3">
        <w:t xml:space="preserve"> </w:t>
      </w:r>
      <w:r w:rsidRPr="008579D3">
        <w:t xml:space="preserve">při přepočtu na hodinové odměny, při obdobném použití maximální výše hrubé mzdy nebo platu stanovené ve </w:t>
      </w:r>
      <w:r w:rsidR="00E75C37" w:rsidRPr="008579D3">
        <w:t>v</w:t>
      </w:r>
      <w:r w:rsidRPr="008579D3">
        <w:t>ýzvě</w:t>
      </w:r>
      <w:r w:rsidR="00AD68F7">
        <w:t xml:space="preserve"> </w:t>
      </w:r>
      <w:r w:rsidRPr="008579D3">
        <w:t>jako v </w:t>
      </w:r>
      <w:r w:rsidR="0052690F">
        <w:t>bodě</w:t>
      </w:r>
      <w:r w:rsidRPr="008579D3">
        <w:t xml:space="preserve"> </w:t>
      </w:r>
      <w:r w:rsidR="0052690F">
        <w:t>i</w:t>
      </w:r>
      <w:r w:rsidR="00A13019">
        <w:t>.</w:t>
      </w:r>
      <w:r w:rsidRPr="008579D3">
        <w:t>, dochází k překročení uvedeného limitu;</w:t>
      </w:r>
    </w:p>
    <w:p w14:paraId="7566BBB8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>
        <w:t xml:space="preserve">pojistné na sociální zabezpečení, pojistné na </w:t>
      </w:r>
      <w:r w:rsidR="00F748FD">
        <w:t>veřejné</w:t>
      </w:r>
      <w:r w:rsidR="0044111A">
        <w:t xml:space="preserve"> </w:t>
      </w:r>
      <w:r>
        <w:t xml:space="preserve">zdravotní pojištění, které hradí zaměstnavatel za své zaměstnance a pojistné na povinné zákonné pojištění zaměstnanců, </w:t>
      </w:r>
      <w:r w:rsidRPr="0099538F">
        <w:t>pokud přesahuj</w:t>
      </w:r>
      <w:r w:rsidR="0052690F">
        <w:t>e</w:t>
      </w:r>
      <w:r w:rsidRPr="0099538F">
        <w:t xml:space="preserve"> výši </w:t>
      </w:r>
      <w:r>
        <w:t>uznatelných nákladů</w:t>
      </w:r>
      <w:r w:rsidR="0052690F">
        <w:t>/výdajů</w:t>
      </w:r>
      <w:r w:rsidRPr="0099538F">
        <w:t xml:space="preserve"> </w:t>
      </w:r>
      <w:r>
        <w:t xml:space="preserve">požadovaných z dotace </w:t>
      </w:r>
      <w:r w:rsidRPr="0099538F">
        <w:t>na hrubé mzdy, platy nebo odměny</w:t>
      </w:r>
      <w:r>
        <w:t>;</w:t>
      </w:r>
    </w:p>
    <w:p w14:paraId="013C892B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náklady</w:t>
      </w:r>
      <w:r w:rsidR="0052690F">
        <w:t>/výdaje</w:t>
      </w:r>
      <w:r w:rsidRPr="0099538F">
        <w:t xml:space="preserve"> na stravování zaměstnanců, včetně poukázek na stravování</w:t>
      </w:r>
      <w:r>
        <w:t>;</w:t>
      </w:r>
    </w:p>
    <w:p w14:paraId="0A66EBE6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stipendia</w:t>
      </w:r>
      <w:r>
        <w:t>;</w:t>
      </w:r>
    </w:p>
    <w:p w14:paraId="29748FA7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odpisy majetku, tvorb</w:t>
      </w:r>
      <w:r w:rsidR="0052690F">
        <w:t>u</w:t>
      </w:r>
      <w:r w:rsidRPr="0099538F">
        <w:t xml:space="preserve"> rezerv a opravných položek</w:t>
      </w:r>
      <w:r>
        <w:t>;</w:t>
      </w:r>
    </w:p>
    <w:p w14:paraId="77B7C861" w14:textId="3A8B9210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lastRenderedPageBreak/>
        <w:t>náklady</w:t>
      </w:r>
      <w:r w:rsidR="0052690F">
        <w:t>/výdaje</w:t>
      </w:r>
      <w:r w:rsidRPr="0099538F">
        <w:t xml:space="preserve"> na reprezentaci, recepce a pod</w:t>
      </w:r>
      <w:r w:rsidR="00BA51C7">
        <w:t>obné akce s výjimkou nákladů</w:t>
      </w:r>
      <w:r w:rsidR="0052690F">
        <w:t>/výdajů</w:t>
      </w:r>
      <w:r w:rsidR="00BA51C7">
        <w:t xml:space="preserve"> na </w:t>
      </w:r>
      <w:r w:rsidRPr="0099538F">
        <w:t>občerstvení u akcí předem plánovaných v projektu, jako jsou odborné konference, workshopy, semináře a</w:t>
      </w:r>
      <w:r w:rsidR="00BA51C7">
        <w:t xml:space="preserve"> obdobné akce. </w:t>
      </w:r>
    </w:p>
    <w:p w14:paraId="608F171A" w14:textId="4F4E4946" w:rsidR="005A6731" w:rsidRPr="008579D3" w:rsidRDefault="005A6731" w:rsidP="002A3538">
      <w:pPr>
        <w:pStyle w:val="lnek-body-psmeno"/>
        <w:numPr>
          <w:ilvl w:val="0"/>
          <w:numId w:val="27"/>
        </w:numPr>
        <w:spacing w:before="120" w:after="120"/>
        <w:ind w:left="993" w:hanging="142"/>
        <w:contextualSpacing w:val="0"/>
      </w:pPr>
      <w:r w:rsidRPr="008579D3">
        <w:t>náklady</w:t>
      </w:r>
      <w:r w:rsidR="0052690F">
        <w:t>/výdaje</w:t>
      </w:r>
      <w:r w:rsidRPr="008579D3">
        <w:t xml:space="preserve"> na stravování a občerstvení osob z cílové skupiny, které přesáhnou limit pro stravování/občerstvení 2</w:t>
      </w:r>
      <w:r w:rsidR="00B72918">
        <w:t>40</w:t>
      </w:r>
      <w:r w:rsidRPr="008579D3">
        <w:t xml:space="preserve"> Kč na den a osobu v případě celodenní tuzemské akce (tj. akce, která se uskuteční v rámci jednoho dne a trvá minimálně 8 hodin). V případě, že se nebude jednat o celodenní akci, musí být limitní částka v odpovídajícím poměru zkrácena (za každou celou hodinu akce si příjemce dotace může nárokovat maximálně </w:t>
      </w:r>
      <w:r w:rsidR="00B72918">
        <w:t>30</w:t>
      </w:r>
      <w:r w:rsidRPr="008579D3">
        <w:t> Kč na osobu)</w:t>
      </w:r>
      <w:r w:rsidR="00E2359D" w:rsidRPr="008579D3">
        <w:t>;</w:t>
      </w:r>
    </w:p>
    <w:p w14:paraId="0C64D6F8" w14:textId="77777777" w:rsidR="005A6731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náklady</w:t>
      </w:r>
      <w:r w:rsidR="0052690F">
        <w:t>/výdaje</w:t>
      </w:r>
      <w:r w:rsidRPr="0099538F">
        <w:t xml:space="preserve"> na vzdělávání zaměstnanců zaměřené na administrativu a zajištění běžného chodu zaměstnavatele</w:t>
      </w:r>
      <w:r>
        <w:t>;</w:t>
      </w:r>
    </w:p>
    <w:p w14:paraId="1397907C" w14:textId="77777777" w:rsidR="005A6731" w:rsidRPr="008579D3" w:rsidRDefault="00F748FD" w:rsidP="002A3538">
      <w:pPr>
        <w:pStyle w:val="lnek-body-psmeno"/>
        <w:numPr>
          <w:ilvl w:val="0"/>
          <w:numId w:val="27"/>
        </w:numPr>
        <w:spacing w:before="120" w:after="120"/>
        <w:ind w:left="993" w:hanging="284"/>
        <w:contextualSpacing w:val="0"/>
      </w:pPr>
      <w:r w:rsidRPr="00F9371C">
        <w:t>náklady</w:t>
      </w:r>
      <w:r w:rsidR="0052690F">
        <w:t>/výdaje</w:t>
      </w:r>
      <w:r w:rsidRPr="00F9371C">
        <w:t xml:space="preserve"> na práce související s přímou lektorskou činností lektorů a dalších školitelů (náklady</w:t>
      </w:r>
      <w:r w:rsidR="0052690F">
        <w:t>/výdaje</w:t>
      </w:r>
      <w:r w:rsidRPr="00F9371C">
        <w:t xml:space="preserve"> na přípravu), jejichž rozsah překračuje 2násobek počtu hodin stanovených na přímou lektorskou činnost;</w:t>
      </w:r>
    </w:p>
    <w:p w14:paraId="50F144B0" w14:textId="77777777" w:rsidR="005A6731" w:rsidRPr="008579D3" w:rsidRDefault="001A073F" w:rsidP="002A3538">
      <w:pPr>
        <w:pStyle w:val="lnek-body-psmeno"/>
        <w:numPr>
          <w:ilvl w:val="0"/>
          <w:numId w:val="27"/>
        </w:numPr>
        <w:spacing w:before="120" w:after="120"/>
        <w:ind w:left="993" w:hanging="284"/>
        <w:contextualSpacing w:val="0"/>
      </w:pPr>
      <w:r>
        <w:t xml:space="preserve">na stravné </w:t>
      </w:r>
      <w:r w:rsidRPr="000B6662">
        <w:t xml:space="preserve">při poskytnutí cestovních náhrad při </w:t>
      </w:r>
      <w:r>
        <w:t xml:space="preserve">tuzemské </w:t>
      </w:r>
      <w:r w:rsidRPr="000B6662">
        <w:t>pracovní cestě</w:t>
      </w:r>
      <w:r>
        <w:t xml:space="preserve">, které přesáhnou výši stravného uvedenou v §163 zákona č. </w:t>
      </w:r>
      <w:r w:rsidRPr="000B6662">
        <w:t>262/2006 Sb.</w:t>
      </w:r>
      <w:r>
        <w:t xml:space="preserve">, zákoník práce, ve znění pozdějších předpisů nebo § 176 zákona č. </w:t>
      </w:r>
      <w:r w:rsidRPr="000B6662">
        <w:t>262/2006 Sb.</w:t>
      </w:r>
      <w:r>
        <w:t>, zákoník práce, ve znění pozdějších předpisů v případě, že se jedná o obec, kraj nebo příspěvkovou organizaci obce nebo kraje</w:t>
      </w:r>
      <w:r w:rsidR="005A6731" w:rsidRPr="008579D3">
        <w:t>;</w:t>
      </w:r>
    </w:p>
    <w:p w14:paraId="34F58C48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náklady</w:t>
      </w:r>
      <w:r w:rsidR="0052690F">
        <w:t>/výdaje</w:t>
      </w:r>
      <w:r w:rsidRPr="0099538F">
        <w:t xml:space="preserve"> na provedení účetního auditu</w:t>
      </w:r>
      <w:r>
        <w:t>;</w:t>
      </w:r>
      <w:r w:rsidRPr="0099538F">
        <w:t xml:space="preserve"> </w:t>
      </w:r>
    </w:p>
    <w:p w14:paraId="4B138504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náklady</w:t>
      </w:r>
      <w:r w:rsidR="0052690F">
        <w:t>/výdaje</w:t>
      </w:r>
      <w:r w:rsidRPr="0099538F">
        <w:t xml:space="preserve"> na sportovní, rekondiční a rekreační pobyty a vybavení na ně</w:t>
      </w:r>
      <w:r>
        <w:t>;</w:t>
      </w:r>
    </w:p>
    <w:p w14:paraId="46E2C2A5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náklady</w:t>
      </w:r>
      <w:r w:rsidR="0052690F">
        <w:t>/výdaje</w:t>
      </w:r>
      <w:r w:rsidRPr="0099538F">
        <w:t xml:space="preserve"> na tabákové výrobky a alkoholické nápoje</w:t>
      </w:r>
      <w:r>
        <w:t>;</w:t>
      </w:r>
    </w:p>
    <w:p w14:paraId="045205C4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daň z přidané hodnoty, u níž je možno uplatnit odpočet</w:t>
      </w:r>
      <w:r>
        <w:t>;</w:t>
      </w:r>
    </w:p>
    <w:p w14:paraId="59B3F12A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daně, soudní poplatky, penále a pokuty</w:t>
      </w:r>
      <w:r>
        <w:t>;</w:t>
      </w:r>
    </w:p>
    <w:p w14:paraId="6737C49A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náklady</w:t>
      </w:r>
      <w:r w:rsidR="0052690F">
        <w:t>/výdaje</w:t>
      </w:r>
      <w:r w:rsidRPr="0099538F">
        <w:t xml:space="preserve"> na zdravotní péči o klienty, pokud je hrazena z veřejného zdravotního pojištění</w:t>
      </w:r>
      <w:r>
        <w:t>;</w:t>
      </w:r>
    </w:p>
    <w:p w14:paraId="617E3ACF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pořízení dlouhodobého hmotného majet</w:t>
      </w:r>
      <w:r w:rsidR="00BA51C7">
        <w:t>ku s pořizovací cenou vyšší než </w:t>
      </w:r>
      <w:r w:rsidRPr="0099538F">
        <w:t xml:space="preserve">40.000 Kč a provozně technickou funkcí delší než 1 rok a dlouhodobého nehmotného majetku, s pořizovací cenou vyšší než 60.000 Kč a </w:t>
      </w:r>
      <w:r w:rsidR="00CE3CFA">
        <w:t>dobou použitelnosti delší než 1 </w:t>
      </w:r>
      <w:r w:rsidRPr="0099538F">
        <w:t>rok</w:t>
      </w:r>
      <w:r>
        <w:t>;</w:t>
      </w:r>
    </w:p>
    <w:p w14:paraId="42A3027F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tvorbu základního kapitálu</w:t>
      </w:r>
      <w:r>
        <w:t>;</w:t>
      </w:r>
    </w:p>
    <w:p w14:paraId="02A3A02D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náklady</w:t>
      </w:r>
      <w:r w:rsidR="0052690F">
        <w:t>/výdaje</w:t>
      </w:r>
      <w:r w:rsidRPr="0099538F">
        <w:t xml:space="preserve"> spojené s pojištěním majetku a s pořízením majetku formou leasingu</w:t>
      </w:r>
      <w:r>
        <w:t>;</w:t>
      </w:r>
    </w:p>
    <w:p w14:paraId="5A449040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náklady</w:t>
      </w:r>
      <w:r w:rsidR="0052690F">
        <w:t>/výdaje</w:t>
      </w:r>
      <w:r w:rsidRPr="0099538F">
        <w:t xml:space="preserve"> na pojištění odpovědnosti za škodu způsobenou provozem vozidla, tzv. povinné ručení</w:t>
      </w:r>
      <w:r>
        <w:t>;</w:t>
      </w:r>
    </w:p>
    <w:p w14:paraId="135EC00C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rozhlasové a televizní poplatky</w:t>
      </w:r>
      <w:r>
        <w:t>;</w:t>
      </w:r>
    </w:p>
    <w:p w14:paraId="34FA39D8" w14:textId="77777777" w:rsidR="00CE3CFA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bankovní poplatky</w:t>
      </w:r>
      <w:r>
        <w:t>;</w:t>
      </w:r>
    </w:p>
    <w:p w14:paraId="7E89D0C2" w14:textId="77777777" w:rsidR="002D17BD" w:rsidRDefault="002D17BD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99538F">
        <w:t>náklady</w:t>
      </w:r>
      <w:r w:rsidR="0052690F">
        <w:t>/výdaje</w:t>
      </w:r>
      <w:r w:rsidRPr="0099538F">
        <w:t>, jež nelze prokázat příslušnými účetními doklady</w:t>
      </w:r>
      <w:r w:rsidR="0052690F">
        <w:t>;</w:t>
      </w:r>
    </w:p>
    <w:p w14:paraId="081A92A6" w14:textId="77777777" w:rsidR="005A6731" w:rsidRPr="008579D3" w:rsidRDefault="005A6731" w:rsidP="002A3538">
      <w:pPr>
        <w:pStyle w:val="lnek-body-psmeno"/>
        <w:numPr>
          <w:ilvl w:val="0"/>
          <w:numId w:val="27"/>
        </w:numPr>
        <w:spacing w:before="120" w:after="120"/>
        <w:ind w:left="964" w:hanging="170"/>
        <w:contextualSpacing w:val="0"/>
      </w:pPr>
      <w:r w:rsidRPr="008579D3">
        <w:t>náklady</w:t>
      </w:r>
      <w:r w:rsidR="0052690F">
        <w:t>/výdaje</w:t>
      </w:r>
      <w:r w:rsidRPr="008579D3">
        <w:t xml:space="preserve"> spojené s výkonem funkce člena či členky poradních orgán</w:t>
      </w:r>
      <w:r w:rsidR="00E2359D" w:rsidRPr="008579D3">
        <w:t>ů</w:t>
      </w:r>
      <w:r w:rsidRPr="008579D3">
        <w:t xml:space="preserve"> vlády, kterými jsou Vládní výbor pro osoby se zdravotním postižením, Rada vlády pro záležitosti romské menšiny, Rada vlády pro národnostní menšiny, Rada vlády pro rovnost žen a mužů</w:t>
      </w:r>
      <w:r w:rsidR="0052690F">
        <w:t xml:space="preserve"> a </w:t>
      </w:r>
      <w:r w:rsidRPr="008579D3">
        <w:t>Rada vlády pro nestátní neziskové organizace</w:t>
      </w:r>
      <w:r w:rsidR="0052690F">
        <w:t xml:space="preserve">, </w:t>
      </w:r>
      <w:r w:rsidR="0052690F" w:rsidRPr="008579D3">
        <w:t>jej</w:t>
      </w:r>
      <w:r w:rsidR="0052690F">
        <w:t>i</w:t>
      </w:r>
      <w:r w:rsidR="0052690F" w:rsidRPr="008579D3">
        <w:t>ch výborů a pracovních skupin</w:t>
      </w:r>
      <w:r w:rsidR="0052690F">
        <w:t>;</w:t>
      </w:r>
    </w:p>
    <w:p w14:paraId="7E789AA1" w14:textId="77777777" w:rsidR="00373FC7" w:rsidRPr="00226CA4" w:rsidRDefault="00373FC7" w:rsidP="002A3538">
      <w:pPr>
        <w:pStyle w:val="lnek-body-psmeno"/>
        <w:numPr>
          <w:ilvl w:val="0"/>
          <w:numId w:val="6"/>
        </w:numPr>
        <w:spacing w:before="120" w:after="120"/>
        <w:ind w:left="714" w:hanging="357"/>
        <w:contextualSpacing w:val="0"/>
      </w:pPr>
      <w:r w:rsidRPr="00226CA4">
        <w:lastRenderedPageBreak/>
        <w:t>při vynakládání uznatelných nákladů</w:t>
      </w:r>
      <w:r w:rsidR="0052690F">
        <w:t>/výdajů</w:t>
      </w:r>
      <w:r w:rsidRPr="00226CA4">
        <w:t xml:space="preserve"> dodržovat příslušné právní předpisy</w:t>
      </w:r>
      <w:r>
        <w:t>,</w:t>
      </w:r>
      <w:r w:rsidRPr="00226CA4">
        <w:t xml:space="preserve"> </w:t>
      </w:r>
      <w:r>
        <w:t xml:space="preserve">včetně </w:t>
      </w:r>
      <w:r w:rsidRPr="00226CA4">
        <w:t>zákon</w:t>
      </w:r>
      <w:r>
        <w:t>a</w:t>
      </w:r>
      <w:r w:rsidRPr="00226CA4">
        <w:t xml:space="preserve"> č. 134/2016 Sb., o zadávání veřejných zakáze</w:t>
      </w:r>
      <w:r>
        <w:t>k, ve znění pozdějších předpisů</w:t>
      </w:r>
      <w:r w:rsidRPr="00226CA4">
        <w:t>;</w:t>
      </w:r>
    </w:p>
    <w:p w14:paraId="37AFB780" w14:textId="77777777" w:rsidR="008920B2" w:rsidRDefault="008920B2" w:rsidP="002A3538">
      <w:pPr>
        <w:pStyle w:val="lnek-body-psmeno"/>
        <w:numPr>
          <w:ilvl w:val="0"/>
          <w:numId w:val="6"/>
        </w:numPr>
        <w:spacing w:before="120" w:after="120"/>
        <w:ind w:left="714" w:hanging="357"/>
        <w:contextualSpacing w:val="0"/>
      </w:pPr>
      <w:r>
        <w:t>při vynakládání uznatelných nákladů</w:t>
      </w:r>
      <w:r w:rsidR="0052690F">
        <w:t>/výdajů</w:t>
      </w:r>
      <w:r w:rsidRPr="00E75BDC">
        <w:t xml:space="preserve"> </w:t>
      </w:r>
      <w:r w:rsidRPr="00657661">
        <w:rPr>
          <w:b/>
        </w:rPr>
        <w:t>dodrž</w:t>
      </w:r>
      <w:r w:rsidR="0052690F">
        <w:rPr>
          <w:b/>
        </w:rPr>
        <w:t>ovat</w:t>
      </w:r>
      <w:r w:rsidRPr="00657661">
        <w:rPr>
          <w:b/>
        </w:rPr>
        <w:t xml:space="preserve"> </w:t>
      </w:r>
      <w:r w:rsidR="00410816">
        <w:rPr>
          <w:b/>
        </w:rPr>
        <w:t xml:space="preserve">údaje uvedené ve </w:t>
      </w:r>
      <w:r w:rsidRPr="00657661">
        <w:rPr>
          <w:b/>
        </w:rPr>
        <w:t>sloup</w:t>
      </w:r>
      <w:r w:rsidR="00410816">
        <w:rPr>
          <w:b/>
        </w:rPr>
        <w:t>ci</w:t>
      </w:r>
      <w:r w:rsidRPr="00657661">
        <w:rPr>
          <w:b/>
        </w:rPr>
        <w:t xml:space="preserve"> rozpočtu</w:t>
      </w:r>
      <w:r>
        <w:t xml:space="preserve"> projektu s názvem </w:t>
      </w:r>
      <w:r w:rsidRPr="00657661">
        <w:rPr>
          <w:b/>
        </w:rPr>
        <w:t>Rozpočet dotace ÚV ČR (v Kč)</w:t>
      </w:r>
      <w:r w:rsidRPr="00E75BDC">
        <w:t xml:space="preserve"> </w:t>
      </w:r>
      <w:r>
        <w:t xml:space="preserve">a hradit pouze </w:t>
      </w:r>
      <w:r w:rsidRPr="00657661">
        <w:rPr>
          <w:b/>
        </w:rPr>
        <w:t>náklady</w:t>
      </w:r>
      <w:r w:rsidR="0052690F">
        <w:rPr>
          <w:b/>
        </w:rPr>
        <w:t>/výdaje</w:t>
      </w:r>
      <w:r w:rsidRPr="00657661">
        <w:rPr>
          <w:b/>
        </w:rPr>
        <w:t xml:space="preserve"> uvedené ve Specifikaci rozpočtu dotace</w:t>
      </w:r>
      <w:r>
        <w:t xml:space="preserve"> s touto možnou odchylkou:</w:t>
      </w:r>
    </w:p>
    <w:p w14:paraId="491CBB70" w14:textId="77777777" w:rsidR="00D007D5" w:rsidRPr="001E7035" w:rsidRDefault="00D007D5" w:rsidP="00D007D5">
      <w:pPr>
        <w:pStyle w:val="lnek-body-psmeno"/>
        <w:spacing w:before="240"/>
        <w:ind w:left="720"/>
        <w:contextualSpacing w:val="0"/>
      </w:pPr>
      <w:r w:rsidRPr="001E7035">
        <w:t>Při realizaci projektu mohou být při dodržení ostatních podmínek, za kterých je dotace poskytnuta, jednotlivé položky konečné podoby rozpočtu dotace překročeny v rozpětí do 20 %, a to při nezměněné výši poskytnuté dotace a za předpokladu, že ve stejném rozsahu (ve stejné absolutní částce), v jakém je určitá položka rozpočtu překročena,</w:t>
      </w:r>
      <w:r>
        <w:t xml:space="preserve"> jsou jiné položky</w:t>
      </w:r>
      <w:r w:rsidRPr="001E7035">
        <w:t xml:space="preserve"> uspořeny</w:t>
      </w:r>
      <w:r w:rsidRPr="001E7035">
        <w:rPr>
          <w:color w:val="auto"/>
        </w:rPr>
        <w:t>. Položky rozpočtu jsou součástí skupin položek</w:t>
      </w:r>
      <w:r>
        <w:rPr>
          <w:color w:val="auto"/>
        </w:rPr>
        <w:t>. Skupinami položek se rozumí: materiál celkem, energie celkem, o</w:t>
      </w:r>
      <w:r w:rsidRPr="001E7035">
        <w:rPr>
          <w:color w:val="auto"/>
        </w:rPr>
        <w:t>pr</w:t>
      </w:r>
      <w:r>
        <w:t>avy a udržování celkem, cestovné celkem, s</w:t>
      </w:r>
      <w:r w:rsidRPr="001E7035">
        <w:t xml:space="preserve">lužby celkem, </w:t>
      </w:r>
      <w:r>
        <w:t>osobní náklady celkem</w:t>
      </w:r>
      <w:r w:rsidRPr="001E7035">
        <w:t xml:space="preserve">. Při těchto změnách </w:t>
      </w:r>
      <w:r w:rsidRPr="001E7035">
        <w:rPr>
          <w:b/>
        </w:rPr>
        <w:t>je nutné zachovat strukturu</w:t>
      </w:r>
      <w:r w:rsidRPr="001E7035">
        <w:t xml:space="preserve"> </w:t>
      </w:r>
      <w:r w:rsidRPr="001E7035">
        <w:rPr>
          <w:b/>
        </w:rPr>
        <w:t>konečné podoby schváleného rozpočtu, tzn. hradit pouze náklady/výdaje uvedené ve Specifikaci rozpočtu dotace. Nelze tedy do rozpočtu dotace doplnit další náklady/výdaje nebo použít dotaci na položku s nulovou hodnotou.</w:t>
      </w:r>
      <w:r w:rsidRPr="001E7035">
        <w:t xml:space="preserve"> V případě skupiny položek </w:t>
      </w:r>
      <w:r>
        <w:t>osobní náklady celkem</w:t>
      </w:r>
      <w:r w:rsidRPr="001E7035">
        <w:t>, je možné, za předpokladu, že budou dodrženy ostatní podmínky, za kterých je dotace poskytnuta, z dotace hradit i druhy vykonávané práce, které byly uvedeny v </w:t>
      </w:r>
      <w:r>
        <w:t>ž</w:t>
      </w:r>
      <w:r w:rsidRPr="001E7035">
        <w:t xml:space="preserve">ádosti, </w:t>
      </w:r>
      <w:r>
        <w:t xml:space="preserve">příp. v upravené žádosti, </w:t>
      </w:r>
      <w:r w:rsidRPr="001E7035">
        <w:t>a na které si původně příjemce dotace nežádal</w:t>
      </w:r>
      <w:r>
        <w:t xml:space="preserve"> finanční prostředky z dotace</w:t>
      </w:r>
      <w:r w:rsidRPr="001E7035">
        <w:t>,</w:t>
      </w:r>
      <w:r>
        <w:t xml:space="preserve"> </w:t>
      </w:r>
      <w:r w:rsidRPr="001E7035">
        <w:t xml:space="preserve">a zároveň přesouvat prostředky mezi jednotlivými položkami nebo použít položku s nulovou hodnotou, avšak tak, aby v součtu nebyla skupina položek </w:t>
      </w:r>
      <w:r>
        <w:t>osobní náklady celkem</w:t>
      </w:r>
      <w:r w:rsidRPr="001E7035">
        <w:t xml:space="preserve"> navýšena o více než 20 %.</w:t>
      </w:r>
    </w:p>
    <w:p w14:paraId="309F7A3C" w14:textId="77777777" w:rsidR="008920B2" w:rsidRPr="003B579F" w:rsidRDefault="008920B2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 w:rsidRPr="003B579F">
        <w:t>v případě vratky dotace v průběhu kalendářního roku, na který byla dotace poskytnuta, dodržet tyto povinnosti:</w:t>
      </w:r>
    </w:p>
    <w:p w14:paraId="1F4FEF03" w14:textId="3E9DFE52" w:rsidR="00885EEF" w:rsidRPr="003B579F" w:rsidRDefault="00885EEF" w:rsidP="002A3538">
      <w:pPr>
        <w:pStyle w:val="lnek-body"/>
        <w:numPr>
          <w:ilvl w:val="0"/>
          <w:numId w:val="32"/>
        </w:numPr>
        <w:spacing w:before="120" w:after="120"/>
        <w:rPr>
          <w:color w:val="auto"/>
        </w:rPr>
      </w:pPr>
      <w:r w:rsidRPr="003B579F">
        <w:t xml:space="preserve">příjemce dotace, kterému v průběhu kalendářního roku, na který mu byla poskytnuta dotace, vznikne vratka, na základě rozhodnutí o změně rozhodnutí, vrátí tuto část dotace </w:t>
      </w:r>
      <w:r w:rsidRPr="003B579F">
        <w:rPr>
          <w:color w:val="auto"/>
        </w:rPr>
        <w:t>do 30 dní ode dne nabytí právní moci rozhodnutí o změně rozhodnutí na účet Úřadu vlády, z n</w:t>
      </w:r>
      <w:r w:rsidR="00116150">
        <w:rPr>
          <w:color w:val="auto"/>
        </w:rPr>
        <w:t>ěhož mu byla dotace poskytnuta;</w:t>
      </w:r>
    </w:p>
    <w:p w14:paraId="701E81FF" w14:textId="0300C0EE" w:rsidR="006230BB" w:rsidRPr="00885EEF" w:rsidRDefault="006230BB" w:rsidP="006230BB">
      <w:pPr>
        <w:pStyle w:val="lnek-body"/>
        <w:numPr>
          <w:ilvl w:val="0"/>
          <w:numId w:val="32"/>
        </w:numPr>
        <w:spacing w:before="120" w:after="120"/>
        <w:rPr>
          <w:color w:val="auto"/>
        </w:rPr>
      </w:pPr>
      <w:r>
        <w:t xml:space="preserve">příjemce dotace, který v průběhu kalendářního roku předčasně ukončí realizaci projektu, na který mu byla poskytnuta dotace, anebo s realizací projektu nezačne, oznámí spolu s odůvodněním tuto skutečnost </w:t>
      </w:r>
      <w:r>
        <w:rPr>
          <w:color w:val="auto"/>
        </w:rPr>
        <w:t xml:space="preserve">prostřednictvím datové schránky, nebo v listinné podobě </w:t>
      </w:r>
      <w:r>
        <w:t>Úřadu vlády do 14 dní ode dne předčasného ukončení projektu, resp. ode dne svého rozhodnutí projekt nerealizovat, a od téhož dne do 30 dní vrátí buď poměrnou část dotace, odpovídající období od skončení realizace projektu do konce kalendářního roku, anebo celou poskytnutou dotaci, a to na účet Úřadu vlády, z něhož mu byla dotace poskytnuta;</w:t>
      </w:r>
    </w:p>
    <w:p w14:paraId="4E107258" w14:textId="7CD70BB8" w:rsidR="00885EEF" w:rsidRPr="00885EEF" w:rsidRDefault="008920B2" w:rsidP="002A3538">
      <w:pPr>
        <w:pStyle w:val="lnek-body"/>
        <w:numPr>
          <w:ilvl w:val="0"/>
          <w:numId w:val="32"/>
        </w:numPr>
        <w:spacing w:before="120" w:after="120"/>
        <w:rPr>
          <w:color w:val="auto"/>
        </w:rPr>
      </w:pPr>
      <w:r>
        <w:t>příjemce dotace, který v průběhu kalendářního roku, na který mu byla poskytnuta dotace, zanikne nebo se transformuje na právní formu, která není</w:t>
      </w:r>
      <w:r w:rsidR="00ED0406">
        <w:t xml:space="preserve"> v rámci daného dotačního programu oprávněným </w:t>
      </w:r>
      <w:r w:rsidR="006F6DCB">
        <w:t>ž</w:t>
      </w:r>
      <w:r w:rsidR="00ED0406" w:rsidRPr="006F6DCB">
        <w:t>adatelem</w:t>
      </w:r>
      <w:r w:rsidRPr="006F6DCB">
        <w:t>,</w:t>
      </w:r>
      <w:r>
        <w:t xml:space="preserve"> vrátí nejpozději ke dni</w:t>
      </w:r>
      <w:r w:rsidR="00BA51C7">
        <w:t>, k němuž je </w:t>
      </w:r>
      <w:r>
        <w:t>povinen provést účetní závěrku, na účet Úřadu vlády, z něhož mu byla dotace poskytnuta, poměrnou část dotace, odpovídající období ode dne provedení účetní závěrky do konce kalendář</w:t>
      </w:r>
      <w:r w:rsidR="00BA51C7">
        <w:t xml:space="preserve">ního roku. K témuž dni oznámí </w:t>
      </w:r>
      <w:r w:rsidR="00CD4A12">
        <w:t>písemně</w:t>
      </w:r>
      <w:r>
        <w:t xml:space="preserve"> tuto skutečnost Úřadu vlády;</w:t>
      </w:r>
    </w:p>
    <w:p w14:paraId="67FF8809" w14:textId="77777777" w:rsidR="00885EEF" w:rsidRPr="00885EEF" w:rsidRDefault="008920B2" w:rsidP="002A3538">
      <w:pPr>
        <w:pStyle w:val="lnek-body"/>
        <w:numPr>
          <w:ilvl w:val="0"/>
          <w:numId w:val="32"/>
        </w:numPr>
        <w:spacing w:before="120" w:after="120"/>
        <w:rPr>
          <w:color w:val="auto"/>
        </w:rPr>
      </w:pPr>
      <w:r>
        <w:t xml:space="preserve">pokud v případech podle bodu </w:t>
      </w:r>
      <w:r w:rsidRPr="00526038">
        <w:t>i</w:t>
      </w:r>
      <w:r w:rsidR="000917AF" w:rsidRPr="00526038">
        <w:t>i</w:t>
      </w:r>
      <w:r w:rsidR="00142B57" w:rsidRPr="00526038">
        <w:t>.</w:t>
      </w:r>
      <w:r w:rsidRPr="00526038">
        <w:t xml:space="preserve"> a i</w:t>
      </w:r>
      <w:r w:rsidR="000917AF" w:rsidRPr="00526038">
        <w:t>ii</w:t>
      </w:r>
      <w:r w:rsidRPr="00526038">
        <w:t>.</w:t>
      </w:r>
      <w:r>
        <w:t xml:space="preserve"> byl projekt, na který byla poskytnuta dotace, alespoň z části realizován, příjemce dotace současně s provedením vratky dotace předloží Úřadu vlády závěrečnou zprávu o realizaci projektu;</w:t>
      </w:r>
    </w:p>
    <w:p w14:paraId="5112BAF4" w14:textId="77777777" w:rsidR="008920B2" w:rsidRPr="00885EEF" w:rsidRDefault="008920B2" w:rsidP="002A3538">
      <w:pPr>
        <w:pStyle w:val="lnek-body"/>
        <w:numPr>
          <w:ilvl w:val="0"/>
          <w:numId w:val="32"/>
        </w:numPr>
        <w:spacing w:before="120" w:after="120"/>
        <w:rPr>
          <w:color w:val="auto"/>
        </w:rPr>
      </w:pPr>
      <w:r>
        <w:lastRenderedPageBreak/>
        <w:t>číslo účtu</w:t>
      </w:r>
      <w:r w:rsidR="00E4721E">
        <w:t xml:space="preserve"> u České národní banky</w:t>
      </w:r>
      <w:r>
        <w:t xml:space="preserve"> pro vratky finančních prostředků do státního rozpočtu na základě finančního vypořádání v průběhu kalendářního roku je 4320001/0710.</w:t>
      </w:r>
    </w:p>
    <w:p w14:paraId="569AFBE1" w14:textId="0061633B" w:rsidR="008920B2" w:rsidRDefault="008920B2" w:rsidP="002A3538">
      <w:pPr>
        <w:pStyle w:val="lnek-body-psmeno"/>
        <w:numPr>
          <w:ilvl w:val="0"/>
          <w:numId w:val="6"/>
        </w:numPr>
        <w:spacing w:before="120" w:after="120"/>
        <w:contextualSpacing w:val="0"/>
      </w:pPr>
      <w:r>
        <w:t>v případě vratky dotace za rok, v němž byl projekt realizován</w:t>
      </w:r>
      <w:r w:rsidR="005A308A">
        <w:t>,</w:t>
      </w:r>
      <w:r w:rsidR="00A0728B">
        <w:t xml:space="preserve"> převést</w:t>
      </w:r>
      <w:r>
        <w:t xml:space="preserve"> vratku vyčíslenou v dokladech v písmenu </w:t>
      </w:r>
      <w:r w:rsidR="00F71C8D">
        <w:t>o</w:t>
      </w:r>
      <w:r>
        <w:t>) do 15. února následujícího roku na</w:t>
      </w:r>
      <w:r w:rsidR="00BB7F6D">
        <w:t xml:space="preserve"> účet cizích prostředků</w:t>
      </w:r>
      <w:r>
        <w:t xml:space="preserve"> Úřadu vlády</w:t>
      </w:r>
      <w:r w:rsidR="00BB7F6D" w:rsidRPr="00BB7F6D">
        <w:t xml:space="preserve"> </w:t>
      </w:r>
      <w:r w:rsidR="00BB7F6D">
        <w:t>(depozitní účet)</w:t>
      </w:r>
      <w:r>
        <w:t xml:space="preserve">. Číslo účtu </w:t>
      </w:r>
      <w:r w:rsidR="00E4721E">
        <w:t>u České národní banky pro vratky finančních prostředků do státního rozpočtu na základě finančního vypořádání po skončení kalendářního roku, na který byla dotace poskytnuta, je</w:t>
      </w:r>
      <w:r>
        <w:t xml:space="preserve"> </w:t>
      </w:r>
      <w:r w:rsidRPr="00CC43EC">
        <w:t>6015-4320001/0710.</w:t>
      </w:r>
      <w:r>
        <w:t xml:space="preserve"> Vratka dotace po skončení kalendářního roku se rovná té části prostředků dotace, která nebyla použita příjemcem </w:t>
      </w:r>
      <w:r w:rsidR="00142B57">
        <w:t xml:space="preserve">dotace </w:t>
      </w:r>
      <w:r>
        <w:t>v kalendářním roce, na který mu byla dotace poskytnuta.</w:t>
      </w:r>
    </w:p>
    <w:p w14:paraId="167D4953" w14:textId="7D72BCC5" w:rsidR="00E4721E" w:rsidRDefault="008920B2" w:rsidP="00CC43EC">
      <w:pPr>
        <w:pStyle w:val="lnek-body-psmeno"/>
        <w:numPr>
          <w:ilvl w:val="0"/>
          <w:numId w:val="6"/>
        </w:numPr>
        <w:spacing w:before="120" w:after="120"/>
        <w:contextualSpacing w:val="0"/>
      </w:pPr>
      <w:r w:rsidRPr="008579D3">
        <w:t xml:space="preserve">do 15. února </w:t>
      </w:r>
      <w:r w:rsidR="00A0728B">
        <w:t xml:space="preserve">kalendářního roku </w:t>
      </w:r>
      <w:r w:rsidRPr="008579D3">
        <w:t>následující</w:t>
      </w:r>
      <w:r w:rsidR="003618C6" w:rsidRPr="008579D3">
        <w:t>ho</w:t>
      </w:r>
      <w:r w:rsidR="00A0728B">
        <w:t xml:space="preserve"> po</w:t>
      </w:r>
      <w:r w:rsidR="00E169CC" w:rsidRPr="008579D3">
        <w:t xml:space="preserve"> </w:t>
      </w:r>
      <w:r w:rsidRPr="008579D3">
        <w:t>ro</w:t>
      </w:r>
      <w:r w:rsidR="00A0728B">
        <w:t>ce</w:t>
      </w:r>
      <w:r w:rsidRPr="00280520">
        <w:t>,</w:t>
      </w:r>
      <w:r w:rsidRPr="00F54044">
        <w:t xml:space="preserve"> </w:t>
      </w:r>
      <w:r w:rsidR="00E4721E">
        <w:t>na který byla dotace poskytnuta</w:t>
      </w:r>
      <w:r w:rsidRPr="00F54044">
        <w:t xml:space="preserve">, </w:t>
      </w:r>
      <w:r w:rsidR="00A0728B">
        <w:t xml:space="preserve">podat </w:t>
      </w:r>
      <w:r w:rsidR="00E4721E">
        <w:t xml:space="preserve">Úřadu vlády </w:t>
      </w:r>
      <w:r w:rsidRPr="004C313C">
        <w:t xml:space="preserve">prostřednictvím </w:t>
      </w:r>
      <w:r w:rsidR="00CC43EC" w:rsidRPr="00CC43EC">
        <w:t>datové schránky (ve v</w:t>
      </w:r>
      <w:r w:rsidR="00746757">
        <w:t>ýji</w:t>
      </w:r>
      <w:r w:rsidR="00CC43EC" w:rsidRPr="00CC43EC">
        <w:t>mečných případech prostřednictvím provozovatele poštovních služeb nebo podat na podatelně Úřadu vlády)</w:t>
      </w:r>
      <w:r w:rsidR="00E4721E" w:rsidRPr="004C313C">
        <w:t>:</w:t>
      </w:r>
    </w:p>
    <w:p w14:paraId="504B312A" w14:textId="6064DBA6" w:rsidR="00CE3CFA" w:rsidRPr="00280520" w:rsidRDefault="008920B2" w:rsidP="002A3538">
      <w:pPr>
        <w:pStyle w:val="lnek-body-psmeno"/>
        <w:numPr>
          <w:ilvl w:val="0"/>
          <w:numId w:val="29"/>
        </w:numPr>
        <w:spacing w:before="120" w:after="120"/>
        <w:ind w:left="964" w:hanging="170"/>
        <w:contextualSpacing w:val="0"/>
      </w:pPr>
      <w:r w:rsidRPr="00142B57">
        <w:rPr>
          <w:color w:val="auto"/>
        </w:rPr>
        <w:t>finanční vypořádání dotace podle vyhlášky č. 367/2015 Sb.,</w:t>
      </w:r>
      <w:r w:rsidR="009E12AF" w:rsidRPr="009E12AF">
        <w:t xml:space="preserve"> </w:t>
      </w:r>
      <w:r w:rsidR="00BA51C7">
        <w:t>o zásadách a </w:t>
      </w:r>
      <w:r w:rsidR="009E12AF" w:rsidRPr="001D5C36">
        <w:t xml:space="preserve">lhůtách </w:t>
      </w:r>
      <w:r w:rsidR="009E12AF">
        <w:t>finančního vypořádání vztahů se </w:t>
      </w:r>
      <w:r w:rsidR="009E12AF" w:rsidRPr="001D5C36">
        <w:t xml:space="preserve">státním rozpočtem, státními finančními aktivy </w:t>
      </w:r>
      <w:r w:rsidR="009E12AF" w:rsidRPr="008579D3">
        <w:t>a</w:t>
      </w:r>
      <w:r w:rsidR="00CC43EC">
        <w:t> </w:t>
      </w:r>
      <w:r w:rsidR="009E12AF" w:rsidRPr="008579D3">
        <w:t>Národním fondem (vyhláška o finančním vypořádání</w:t>
      </w:r>
      <w:r w:rsidR="00BA51C7" w:rsidRPr="00280520">
        <w:rPr>
          <w:color w:val="auto"/>
        </w:rPr>
        <w:t>), ve </w:t>
      </w:r>
      <w:r w:rsidR="004056CD">
        <w:rPr>
          <w:color w:val="auto"/>
        </w:rPr>
        <w:t>znění pozdějších předpisů</w:t>
      </w:r>
      <w:r w:rsidR="009E12AF" w:rsidRPr="00280520">
        <w:rPr>
          <w:color w:val="auto"/>
        </w:rPr>
        <w:t xml:space="preserve"> (dále jen „vyhláška o finančním vypořádání“). </w:t>
      </w:r>
      <w:r w:rsidRPr="00280520">
        <w:rPr>
          <w:color w:val="auto"/>
        </w:rPr>
        <w:t>Vypořádáním dotace se rozumí předložení přehledu o čerpání a použití prostředků a vrácení nepoužitých prostředků (provedení vratky)</w:t>
      </w:r>
      <w:r w:rsidR="009E12AF" w:rsidRPr="00280520">
        <w:rPr>
          <w:color w:val="auto"/>
        </w:rPr>
        <w:t>,</w:t>
      </w:r>
      <w:r w:rsidRPr="00280520">
        <w:rPr>
          <w:color w:val="auto"/>
        </w:rPr>
        <w:t xml:space="preserve"> včetně komentáře k vratce.</w:t>
      </w:r>
      <w:r w:rsidR="00D839C7" w:rsidRPr="00280520">
        <w:rPr>
          <w:color w:val="auto"/>
        </w:rPr>
        <w:t xml:space="preserve"> Podklady pro finanční vypořádání dotace se podávají na příslušných formulářích a způsobem uvedeným ve vyhlášce o finančním vypořádání</w:t>
      </w:r>
      <w:r w:rsidR="00BE5C01" w:rsidRPr="00280520">
        <w:rPr>
          <w:color w:val="auto"/>
        </w:rPr>
        <w:t>;</w:t>
      </w:r>
    </w:p>
    <w:p w14:paraId="6FA9EF9F" w14:textId="68211E16" w:rsidR="00CE3CFA" w:rsidRDefault="008920B2" w:rsidP="002A3538">
      <w:pPr>
        <w:pStyle w:val="lnek-body-psmeno"/>
        <w:numPr>
          <w:ilvl w:val="0"/>
          <w:numId w:val="29"/>
        </w:numPr>
        <w:spacing w:before="120" w:after="120"/>
        <w:ind w:left="964" w:hanging="170"/>
        <w:contextualSpacing w:val="0"/>
      </w:pPr>
      <w:r w:rsidRPr="00280520">
        <w:rPr>
          <w:color w:val="auto"/>
        </w:rPr>
        <w:t>závěrečnou zprávu o realizaci projektu</w:t>
      </w:r>
      <w:r w:rsidR="009E12AF" w:rsidRPr="00280520">
        <w:rPr>
          <w:color w:val="auto"/>
        </w:rPr>
        <w:t xml:space="preserve">, na který byla dotace poskytnuta. Součástí závěrečné zprávy o realizaci projektu </w:t>
      </w:r>
      <w:r w:rsidRPr="00280520">
        <w:rPr>
          <w:color w:val="auto"/>
        </w:rPr>
        <w:t xml:space="preserve">jsou </w:t>
      </w:r>
      <w:r w:rsidR="009E12AF" w:rsidRPr="00280520">
        <w:rPr>
          <w:color w:val="auto"/>
        </w:rPr>
        <w:t>také</w:t>
      </w:r>
      <w:r w:rsidRPr="00280520">
        <w:rPr>
          <w:color w:val="auto"/>
        </w:rPr>
        <w:t xml:space="preserve"> údaje pro vyúčtování dotace </w:t>
      </w:r>
      <w:r w:rsidRPr="008579D3">
        <w:rPr>
          <w:color w:val="auto"/>
        </w:rPr>
        <w:t>a</w:t>
      </w:r>
      <w:r w:rsidR="00CC43EC">
        <w:rPr>
          <w:color w:val="auto"/>
        </w:rPr>
        <w:t> </w:t>
      </w:r>
      <w:r w:rsidRPr="008579D3">
        <w:rPr>
          <w:color w:val="auto"/>
        </w:rPr>
        <w:t>informace</w:t>
      </w:r>
      <w:r w:rsidRPr="00CE3CFA">
        <w:rPr>
          <w:color w:val="auto"/>
        </w:rPr>
        <w:t xml:space="preserve"> o změnách provedených v průběhu realizace projektu;</w:t>
      </w:r>
    </w:p>
    <w:p w14:paraId="655A9F05" w14:textId="77777777" w:rsidR="00CE3CFA" w:rsidRDefault="008920B2" w:rsidP="002A3538">
      <w:pPr>
        <w:pStyle w:val="lnek-body-psmeno"/>
        <w:numPr>
          <w:ilvl w:val="0"/>
          <w:numId w:val="29"/>
        </w:numPr>
        <w:spacing w:before="120" w:after="120"/>
        <w:ind w:left="964" w:hanging="170"/>
        <w:contextualSpacing w:val="0"/>
      </w:pPr>
      <w:r w:rsidRPr="00CE3CFA">
        <w:rPr>
          <w:color w:val="auto"/>
        </w:rPr>
        <w:t>kopie účetních sestav – zvlášť k projekt</w:t>
      </w:r>
      <w:r w:rsidR="00BA51C7" w:rsidRPr="00CE3CFA">
        <w:rPr>
          <w:color w:val="auto"/>
        </w:rPr>
        <w:t>u (celkové náklady</w:t>
      </w:r>
      <w:r w:rsidR="00A0728B">
        <w:rPr>
          <w:color w:val="auto"/>
        </w:rPr>
        <w:t>/výdaje</w:t>
      </w:r>
      <w:r w:rsidR="00BA51C7" w:rsidRPr="00CE3CFA">
        <w:rPr>
          <w:color w:val="auto"/>
        </w:rPr>
        <w:t xml:space="preserve"> projektu vč. </w:t>
      </w:r>
      <w:r w:rsidRPr="00CE3CFA">
        <w:rPr>
          <w:color w:val="auto"/>
        </w:rPr>
        <w:t>spolufinancování) a zvlášť k dotaci (náklady</w:t>
      </w:r>
      <w:r w:rsidR="00A0728B">
        <w:rPr>
          <w:color w:val="auto"/>
        </w:rPr>
        <w:t>/výdaje</w:t>
      </w:r>
      <w:r w:rsidRPr="00CE3CFA">
        <w:rPr>
          <w:color w:val="auto"/>
        </w:rPr>
        <w:t xml:space="preserve"> hrazené z dotace poskytnuté Úřadem </w:t>
      </w:r>
      <w:r>
        <w:t>vlády</w:t>
      </w:r>
      <w:r w:rsidRPr="00CE3CFA">
        <w:rPr>
          <w:color w:val="auto"/>
        </w:rPr>
        <w:t>) dokládající řádné zaúčtování nákladů</w:t>
      </w:r>
      <w:r w:rsidR="00A0728B">
        <w:rPr>
          <w:color w:val="auto"/>
        </w:rPr>
        <w:t>/výdajů</w:t>
      </w:r>
      <w:r w:rsidRPr="00CE3CFA">
        <w:rPr>
          <w:color w:val="auto"/>
        </w:rPr>
        <w:t xml:space="preserve"> jednotlivých položek finančních prostředků;</w:t>
      </w:r>
    </w:p>
    <w:p w14:paraId="6093712F" w14:textId="086AE664" w:rsidR="00CE3CFA" w:rsidRDefault="008920B2" w:rsidP="002A3538">
      <w:pPr>
        <w:pStyle w:val="lnek-body-psmeno"/>
        <w:numPr>
          <w:ilvl w:val="0"/>
          <w:numId w:val="29"/>
        </w:numPr>
        <w:spacing w:before="120" w:after="120"/>
        <w:ind w:left="964" w:hanging="170"/>
        <w:contextualSpacing w:val="0"/>
      </w:pPr>
      <w:r w:rsidRPr="00CE3CFA">
        <w:rPr>
          <w:color w:val="auto"/>
        </w:rPr>
        <w:t>v případě zahrnutí práce dobrovolníků do spoluúčasti projektu rovněž přehled dobrovolníků a jimi vykonané práce podle pokynu zveřejněného v dané výzvě;</w:t>
      </w:r>
    </w:p>
    <w:p w14:paraId="136A0745" w14:textId="18B9FC40" w:rsidR="008920B2" w:rsidRDefault="008920B2" w:rsidP="002A3538">
      <w:pPr>
        <w:pStyle w:val="lnek-body-psmeno"/>
        <w:numPr>
          <w:ilvl w:val="0"/>
          <w:numId w:val="29"/>
        </w:numPr>
        <w:spacing w:before="120" w:after="120"/>
        <w:ind w:left="964" w:hanging="170"/>
        <w:contextualSpacing w:val="0"/>
      </w:pPr>
      <w:r w:rsidRPr="00CE3CFA">
        <w:rPr>
          <w:color w:val="auto"/>
        </w:rPr>
        <w:t xml:space="preserve">případně </w:t>
      </w:r>
      <w:r>
        <w:t xml:space="preserve">další podklady, ke kterým </w:t>
      </w:r>
      <w:r w:rsidR="00D839C7">
        <w:t>ho</w:t>
      </w:r>
      <w:r>
        <w:t xml:space="preserve"> příslušný útvar vyzve.</w:t>
      </w:r>
    </w:p>
    <w:p w14:paraId="04110EF6" w14:textId="6B8D7292" w:rsidR="005323FB" w:rsidRPr="006C196F" w:rsidRDefault="00302ED0" w:rsidP="002A3538">
      <w:pPr>
        <w:pStyle w:val="lnek-body"/>
        <w:numPr>
          <w:ilvl w:val="0"/>
          <w:numId w:val="6"/>
        </w:numPr>
        <w:spacing w:before="120" w:after="120"/>
      </w:pPr>
      <w:r w:rsidRPr="006C196F">
        <w:rPr>
          <w:color w:val="auto"/>
        </w:rPr>
        <w:t>prostřednictvím datové schránky</w:t>
      </w:r>
      <w:r w:rsidR="00746757" w:rsidRPr="006C196F">
        <w:rPr>
          <w:color w:val="auto"/>
        </w:rPr>
        <w:t xml:space="preserve"> (</w:t>
      </w:r>
      <w:r w:rsidR="00746757" w:rsidRPr="006C196F">
        <w:t xml:space="preserve">ve výjimečných případech prostřednictvím provozovatele poštovních služeb nebo </w:t>
      </w:r>
      <w:r w:rsidR="00CD4A12" w:rsidRPr="006C196F">
        <w:t>podáním</w:t>
      </w:r>
      <w:r w:rsidR="00746757" w:rsidRPr="006C196F">
        <w:t xml:space="preserve"> na podatelně Úřadu vlády</w:t>
      </w:r>
      <w:r w:rsidR="00CD4A12" w:rsidRPr="006C196F">
        <w:t>)</w:t>
      </w:r>
      <w:r w:rsidR="00746757" w:rsidRPr="006C196F">
        <w:t xml:space="preserve"> </w:t>
      </w:r>
      <w:r w:rsidR="009E12AF" w:rsidRPr="006C196F">
        <w:t xml:space="preserve">oznámit </w:t>
      </w:r>
      <w:r w:rsidR="008920B2" w:rsidRPr="006C196F">
        <w:t>rozhodnutí o předčasném ukončení realizace projektu v průběhu kalendářního roku, na který byla dotace poskytnuta, a to do 14 dnů ode dne rozhodnutí projekt nerealizovat</w:t>
      </w:r>
      <w:r w:rsidR="005323FB" w:rsidRPr="006C196F">
        <w:t>;</w:t>
      </w:r>
    </w:p>
    <w:p w14:paraId="6EC169F4" w14:textId="4B527ED6" w:rsidR="00717884" w:rsidRDefault="00B36B50" w:rsidP="002A3538">
      <w:pPr>
        <w:pStyle w:val="lnek-body"/>
        <w:numPr>
          <w:ilvl w:val="0"/>
          <w:numId w:val="6"/>
        </w:numPr>
        <w:spacing w:before="120" w:after="120"/>
      </w:pPr>
      <w:r>
        <w:t xml:space="preserve">písemně </w:t>
      </w:r>
      <w:r w:rsidR="008920B2" w:rsidRPr="002A1BB0">
        <w:t>inform</w:t>
      </w:r>
      <w:r w:rsidR="005323FB">
        <w:t>ovat</w:t>
      </w:r>
      <w:r w:rsidR="008920B2" w:rsidRPr="002A1BB0">
        <w:t xml:space="preserve"> o</w:t>
      </w:r>
      <w:r w:rsidR="00AD68F7">
        <w:t xml:space="preserve"> </w:t>
      </w:r>
      <w:r w:rsidR="008920B2" w:rsidRPr="002A1BB0">
        <w:t>zániku příjemce dotace v</w:t>
      </w:r>
      <w:r w:rsidR="008920B2">
        <w:t> </w:t>
      </w:r>
      <w:r w:rsidR="008920B2" w:rsidRPr="002A1BB0">
        <w:t>průběhu kalendářního roku, na který byla dotace poskytnuta, a to nejpozději ke dni, k</w:t>
      </w:r>
      <w:r w:rsidR="008920B2">
        <w:t> </w:t>
      </w:r>
      <w:r w:rsidR="008920B2" w:rsidRPr="002A1BB0">
        <w:t xml:space="preserve">němuž je </w:t>
      </w:r>
      <w:r w:rsidR="005323FB">
        <w:t xml:space="preserve">příjemce dotace </w:t>
      </w:r>
      <w:r w:rsidR="008920B2" w:rsidRPr="002A1BB0">
        <w:t>povi</w:t>
      </w:r>
      <w:r w:rsidR="00F56D65">
        <w:t>nen provést účetní závěrku.</w:t>
      </w:r>
    </w:p>
    <w:p w14:paraId="60B18C49" w14:textId="77777777" w:rsidR="00DB1B3E" w:rsidRDefault="00DB1B3E" w:rsidP="006C196F">
      <w:pPr>
        <w:pStyle w:val="lnek-body"/>
        <w:numPr>
          <w:ilvl w:val="0"/>
          <w:numId w:val="0"/>
        </w:numPr>
        <w:spacing w:before="120" w:after="120"/>
        <w:ind w:left="720"/>
      </w:pPr>
    </w:p>
    <w:p w14:paraId="14FD3EFA" w14:textId="77777777" w:rsidR="008920B2" w:rsidRDefault="008920B2" w:rsidP="002A3538">
      <w:pPr>
        <w:pStyle w:val="nadpisI"/>
        <w:numPr>
          <w:ilvl w:val="0"/>
          <w:numId w:val="0"/>
        </w:numPr>
        <w:spacing w:after="120"/>
        <w:ind w:left="720"/>
        <w:jc w:val="center"/>
      </w:pPr>
      <w:r>
        <w:t>Část II.</w:t>
      </w:r>
    </w:p>
    <w:p w14:paraId="5265B41E" w14:textId="77777777" w:rsidR="008920B2" w:rsidRPr="00786A9A" w:rsidRDefault="008920B2" w:rsidP="002A3538">
      <w:pPr>
        <w:pStyle w:val="nadpisI"/>
        <w:numPr>
          <w:ilvl w:val="0"/>
          <w:numId w:val="0"/>
        </w:numPr>
        <w:spacing w:before="120" w:after="120"/>
        <w:jc w:val="center"/>
        <w:rPr>
          <w:sz w:val="26"/>
          <w:szCs w:val="26"/>
        </w:rPr>
      </w:pPr>
      <w:r w:rsidRPr="00786A9A">
        <w:rPr>
          <w:sz w:val="26"/>
          <w:szCs w:val="26"/>
        </w:rPr>
        <w:t>Další povinnosti příjemce dotace</w:t>
      </w:r>
    </w:p>
    <w:p w14:paraId="22BBBEB0" w14:textId="1280E6FD" w:rsidR="00F56D65" w:rsidRPr="00F56D65" w:rsidRDefault="00E4721E" w:rsidP="002A3538">
      <w:pPr>
        <w:pStyle w:val="lnek-body"/>
        <w:numPr>
          <w:ilvl w:val="0"/>
          <w:numId w:val="14"/>
        </w:numPr>
        <w:spacing w:before="120" w:after="120"/>
        <w:rPr>
          <w:i/>
        </w:rPr>
      </w:pPr>
      <w:r w:rsidRPr="000F675F">
        <w:t xml:space="preserve">Příjemce dotace je </w:t>
      </w:r>
      <w:r w:rsidR="00271376" w:rsidRPr="000F675F">
        <w:t>povinen</w:t>
      </w:r>
      <w:r w:rsidR="00271376">
        <w:t xml:space="preserve"> </w:t>
      </w:r>
      <w:r w:rsidR="005323FB">
        <w:t>v závěrečné zprávě o </w:t>
      </w:r>
      <w:r w:rsidR="005323FB" w:rsidRPr="000F675F">
        <w:t>realizaci projektu</w:t>
      </w:r>
      <w:r w:rsidR="005323FB">
        <w:t xml:space="preserve"> </w:t>
      </w:r>
      <w:r w:rsidRPr="000F675F">
        <w:t>inform</w:t>
      </w:r>
      <w:r w:rsidR="005323FB">
        <w:t>ovat</w:t>
      </w:r>
      <w:r w:rsidRPr="000F675F">
        <w:t xml:space="preserve"> </w:t>
      </w:r>
      <w:r w:rsidR="00BA51C7">
        <w:t>o </w:t>
      </w:r>
      <w:r w:rsidRPr="000F675F">
        <w:t>změnách</w:t>
      </w:r>
      <w:r w:rsidR="005323FB">
        <w:t xml:space="preserve"> provedených dle Části I.</w:t>
      </w:r>
      <w:r w:rsidR="00C60809">
        <w:t xml:space="preserve"> odst. 4</w:t>
      </w:r>
      <w:r w:rsidR="00E656E6">
        <w:t>.</w:t>
      </w:r>
      <w:r w:rsidR="00C60809">
        <w:t xml:space="preserve"> písm.</w:t>
      </w:r>
      <w:r w:rsidR="005323FB">
        <w:t xml:space="preserve"> </w:t>
      </w:r>
      <w:r w:rsidR="00116224">
        <w:t>l</w:t>
      </w:r>
      <w:r w:rsidR="005323FB">
        <w:t>)</w:t>
      </w:r>
      <w:r w:rsidR="006525EF">
        <w:t>.</w:t>
      </w:r>
    </w:p>
    <w:p w14:paraId="6ABD076C" w14:textId="7969531C" w:rsidR="00F56D65" w:rsidRDefault="00F56D65" w:rsidP="002A3538">
      <w:pPr>
        <w:pStyle w:val="lnek-body"/>
        <w:numPr>
          <w:ilvl w:val="0"/>
          <w:numId w:val="14"/>
        </w:numPr>
        <w:spacing w:before="120" w:after="120"/>
      </w:pPr>
      <w:r w:rsidRPr="000F675F">
        <w:lastRenderedPageBreak/>
        <w:t>Příjemce dotace je povinen</w:t>
      </w:r>
      <w:r>
        <w:t xml:space="preserve"> </w:t>
      </w:r>
      <w:r w:rsidR="0015415F">
        <w:t xml:space="preserve">písemně </w:t>
      </w:r>
      <w:r>
        <w:t>informovat o změnách</w:t>
      </w:r>
      <w:r w:rsidRPr="0039606D">
        <w:t xml:space="preserve"> všech identifikačních údajů uvedených v předložené žádosti, ke kterým došlo po </w:t>
      </w:r>
      <w:r>
        <w:t>podání</w:t>
      </w:r>
      <w:r w:rsidRPr="0039606D">
        <w:t xml:space="preserve"> žádosti</w:t>
      </w:r>
      <w:r>
        <w:t xml:space="preserve"> anebo</w:t>
      </w:r>
      <w:r w:rsidRPr="0039606D">
        <w:t xml:space="preserve"> v průběhu </w:t>
      </w:r>
      <w:r>
        <w:t>realizace projektu, na který</w:t>
      </w:r>
      <w:r w:rsidRPr="0039606D">
        <w:t xml:space="preserve"> byla dotace</w:t>
      </w:r>
      <w:r>
        <w:t xml:space="preserve"> </w:t>
      </w:r>
      <w:r w:rsidRPr="0039606D">
        <w:t>poskytnuta, a to nejpozději do 14 dnů od této změny</w:t>
      </w:r>
      <w:r>
        <w:t>.</w:t>
      </w:r>
    </w:p>
    <w:p w14:paraId="70D2B890" w14:textId="565B843B" w:rsidR="00F56D65" w:rsidRPr="006C196F" w:rsidRDefault="00F56D65" w:rsidP="002A3538">
      <w:pPr>
        <w:pStyle w:val="lnek-body"/>
        <w:numPr>
          <w:ilvl w:val="0"/>
          <w:numId w:val="14"/>
        </w:numPr>
        <w:spacing w:before="120" w:after="120"/>
        <w:ind w:left="357" w:hanging="357"/>
      </w:pPr>
      <w:r w:rsidRPr="000F675F">
        <w:t>Příjemce dotace je povinen</w:t>
      </w:r>
      <w:r>
        <w:t xml:space="preserve"> </w:t>
      </w:r>
      <w:r w:rsidRPr="00C82999">
        <w:t xml:space="preserve">při zveřejňování </w:t>
      </w:r>
      <w:r w:rsidRPr="006E2EA0">
        <w:t xml:space="preserve">výsledků své činnosti (např. </w:t>
      </w:r>
      <w:r>
        <w:t xml:space="preserve">knižní </w:t>
      </w:r>
      <w:r w:rsidRPr="006E2EA0">
        <w:t>publikace, v</w:t>
      </w:r>
      <w:r w:rsidR="00632123">
        <w:t xml:space="preserve">ýroční zprávy, mediální </w:t>
      </w:r>
      <w:r w:rsidR="00632123" w:rsidRPr="00B93748">
        <w:t>výstupy</w:t>
      </w:r>
      <w:r w:rsidRPr="00B93748">
        <w:t xml:space="preserve">), vycházejících z realizace projektu, na který byla dotace poskytnuta, do zveřejňovaného textu </w:t>
      </w:r>
      <w:r w:rsidR="00F479BA" w:rsidRPr="00B93748">
        <w:t>uvést</w:t>
      </w:r>
      <w:r w:rsidRPr="00B93748">
        <w:t xml:space="preserve">, že </w:t>
      </w:r>
      <w:r w:rsidR="00680F51" w:rsidRPr="00B93748">
        <w:rPr>
          <w:i/>
        </w:rPr>
        <w:t>„Projekt byl realizován za finanční podpory Úřadu vlády České republiky. Výstupy projektu nereprezentují názor Úřadu vlády České republiky a Úřad vlády České republiky neodpovídá za použití informací, jež jsou obsahem těchto výstupů</w:t>
      </w:r>
      <w:r w:rsidR="00EB2187" w:rsidRPr="00B93748">
        <w:rPr>
          <w:i/>
        </w:rPr>
        <w:t>“.</w:t>
      </w:r>
    </w:p>
    <w:p w14:paraId="0FECAABF" w14:textId="77777777" w:rsidR="006C196F" w:rsidRPr="00B93748" w:rsidRDefault="006C196F" w:rsidP="006C196F">
      <w:pPr>
        <w:pStyle w:val="lnek-body"/>
        <w:numPr>
          <w:ilvl w:val="0"/>
          <w:numId w:val="0"/>
        </w:numPr>
        <w:spacing w:before="120" w:after="120"/>
        <w:ind w:left="357"/>
      </w:pPr>
    </w:p>
    <w:p w14:paraId="43D16A97" w14:textId="77777777" w:rsidR="008920B2" w:rsidRPr="00786A9A" w:rsidRDefault="008920B2" w:rsidP="002A3538">
      <w:pPr>
        <w:pStyle w:val="nadpisI"/>
        <w:numPr>
          <w:ilvl w:val="0"/>
          <w:numId w:val="0"/>
        </w:numPr>
        <w:spacing w:after="120"/>
        <w:ind w:left="720"/>
        <w:jc w:val="center"/>
      </w:pPr>
      <w:r w:rsidRPr="00786A9A">
        <w:t>Část III.</w:t>
      </w:r>
    </w:p>
    <w:p w14:paraId="53F2F5CD" w14:textId="77777777" w:rsidR="008920B2" w:rsidRPr="00786A9A" w:rsidRDefault="008920B2" w:rsidP="002A3538">
      <w:pPr>
        <w:pStyle w:val="nadpisI"/>
        <w:numPr>
          <w:ilvl w:val="0"/>
          <w:numId w:val="0"/>
        </w:numPr>
        <w:spacing w:before="120" w:after="120"/>
        <w:jc w:val="center"/>
        <w:rPr>
          <w:sz w:val="26"/>
          <w:szCs w:val="26"/>
        </w:rPr>
      </w:pPr>
      <w:r w:rsidRPr="00786A9A">
        <w:rPr>
          <w:sz w:val="26"/>
          <w:szCs w:val="26"/>
        </w:rPr>
        <w:t xml:space="preserve">Porušení rozpočtové kázně a odvody za porušení rozpočtové kázně </w:t>
      </w:r>
    </w:p>
    <w:p w14:paraId="2ACC963C" w14:textId="77777777" w:rsidR="008920B2" w:rsidRPr="00786A9A" w:rsidRDefault="008920B2" w:rsidP="002A3538">
      <w:pPr>
        <w:pStyle w:val="lnek-body"/>
        <w:numPr>
          <w:ilvl w:val="0"/>
          <w:numId w:val="18"/>
        </w:numPr>
        <w:spacing w:before="120" w:after="120"/>
      </w:pPr>
      <w:r w:rsidRPr="00786A9A">
        <w:t xml:space="preserve">Není-li v dalších ustanoveních uvedeno jinak, představuje porušení povinností uvedených v tomto </w:t>
      </w:r>
      <w:r w:rsidR="006117F8">
        <w:t>dokumentu</w:t>
      </w:r>
      <w:r w:rsidRPr="00786A9A">
        <w:t xml:space="preserve"> poruš</w:t>
      </w:r>
      <w:r w:rsidR="00FE75A2">
        <w:t>ení rozpočtové kázně podle § 44</w:t>
      </w:r>
      <w:r w:rsidR="00A43105">
        <w:t xml:space="preserve"> </w:t>
      </w:r>
      <w:r w:rsidR="003B0C2E" w:rsidRPr="00A43105">
        <w:rPr>
          <w:color w:val="auto"/>
        </w:rPr>
        <w:t>a</w:t>
      </w:r>
      <w:r w:rsidR="003B0C2E">
        <w:t xml:space="preserve"> </w:t>
      </w:r>
      <w:r w:rsidR="003B0C2E" w:rsidRPr="00786A9A">
        <w:t>§ 44</w:t>
      </w:r>
      <w:r w:rsidR="003B0C2E">
        <w:t>a</w:t>
      </w:r>
      <w:r w:rsidR="003B0C2E" w:rsidRPr="00786A9A">
        <w:t xml:space="preserve"> </w:t>
      </w:r>
      <w:r w:rsidR="00BA51C7">
        <w:t>zákona č. </w:t>
      </w:r>
      <w:r>
        <w:t xml:space="preserve">218/2000 Sb., </w:t>
      </w:r>
      <w:r w:rsidR="003B0C2E" w:rsidRPr="001D5C36">
        <w:t>o rozpočtových pravidlech a o změně některých souvisejících zákonů (rozpočtová pravidla), ve znění pozdějších předpisů</w:t>
      </w:r>
      <w:r w:rsidR="001303E9">
        <w:t xml:space="preserve"> (dále jen „rozpočtová pravidla“)</w:t>
      </w:r>
      <w:r w:rsidRPr="00786A9A">
        <w:t>.</w:t>
      </w:r>
    </w:p>
    <w:p w14:paraId="05AC50B2" w14:textId="30AA2B0E" w:rsidR="008920B2" w:rsidRPr="00786A9A" w:rsidRDefault="008920B2" w:rsidP="002A3538">
      <w:pPr>
        <w:pStyle w:val="lnek-body"/>
        <w:spacing w:before="120" w:after="120"/>
      </w:pPr>
      <w:r w:rsidRPr="00786A9A">
        <w:t xml:space="preserve">V případě, že dojde k porušení </w:t>
      </w:r>
      <w:r w:rsidR="001303E9">
        <w:t xml:space="preserve">některé z </w:t>
      </w:r>
      <w:r w:rsidRPr="00786A9A">
        <w:t xml:space="preserve">povinností stanovených v Části I. odst. </w:t>
      </w:r>
      <w:r w:rsidR="003B0C2E">
        <w:t>4</w:t>
      </w:r>
      <w:r w:rsidR="00201E8E">
        <w:t>.</w:t>
      </w:r>
      <w:r w:rsidRPr="00786A9A">
        <w:t xml:space="preserve"> písm. </w:t>
      </w:r>
      <w:r w:rsidR="00C60809" w:rsidRPr="004C313C">
        <w:t xml:space="preserve">a) až </w:t>
      </w:r>
      <w:r w:rsidR="00400F73" w:rsidRPr="004C313C">
        <w:t>c</w:t>
      </w:r>
      <w:r w:rsidR="00C60809" w:rsidRPr="004C313C">
        <w:t xml:space="preserve">) a </w:t>
      </w:r>
      <w:r w:rsidR="006230BB">
        <w:t>m</w:t>
      </w:r>
      <w:r w:rsidRPr="004C313C">
        <w:t>) a</w:t>
      </w:r>
      <w:r w:rsidR="001A1E25" w:rsidRPr="004C313C">
        <w:t>ž</w:t>
      </w:r>
      <w:r w:rsidRPr="004C313C">
        <w:t> </w:t>
      </w:r>
      <w:r w:rsidR="006230BB">
        <w:t>q</w:t>
      </w:r>
      <w:r w:rsidRPr="004C313C">
        <w:t>)</w:t>
      </w:r>
      <w:r>
        <w:t> </w:t>
      </w:r>
      <w:r w:rsidR="009F705A">
        <w:t>tohoto dokumentu</w:t>
      </w:r>
      <w:r w:rsidRPr="00786A9A">
        <w:t xml:space="preserve">, bude odvod za porušení rozpočtové kázně stanoven v souladu s ustanovením § 14 odst. 5 </w:t>
      </w:r>
      <w:r w:rsidR="003B0C2E" w:rsidRPr="001D5C36">
        <w:t>rozpočtov</w:t>
      </w:r>
      <w:r w:rsidR="001303E9">
        <w:t>ých</w:t>
      </w:r>
      <w:r w:rsidR="003B0C2E" w:rsidRPr="001D5C36">
        <w:t xml:space="preserve"> pravid</w:t>
      </w:r>
      <w:r w:rsidR="001303E9">
        <w:t>el</w:t>
      </w:r>
      <w:r w:rsidRPr="00786A9A">
        <w:t>, a to ve výši 5</w:t>
      </w:r>
      <w:r w:rsidR="006C196F">
        <w:t> </w:t>
      </w:r>
      <w:r w:rsidRPr="00786A9A">
        <w:t>% z celkové výše poskytnuté dotace, která byla vyplacena.</w:t>
      </w:r>
      <w:r w:rsidR="001A1E25">
        <w:t xml:space="preserve"> V případě, že dojde k porušení více povinností uvedených</w:t>
      </w:r>
      <w:r w:rsidR="00C87020">
        <w:t xml:space="preserve"> v </w:t>
      </w:r>
      <w:r w:rsidR="00C87020" w:rsidRPr="00573809">
        <w:t xml:space="preserve">Části I. </w:t>
      </w:r>
      <w:r w:rsidR="00C87020" w:rsidRPr="00CE3CFA">
        <w:t>odst. 4</w:t>
      </w:r>
      <w:r w:rsidR="00201E8E">
        <w:t>.</w:t>
      </w:r>
      <w:r w:rsidR="00C87020" w:rsidRPr="00CE3CFA">
        <w:t xml:space="preserve"> písm</w:t>
      </w:r>
      <w:r w:rsidR="00C87020" w:rsidRPr="004C313C">
        <w:t xml:space="preserve">. </w:t>
      </w:r>
      <w:r w:rsidR="00C60809" w:rsidRPr="004C313C">
        <w:t xml:space="preserve">a) až </w:t>
      </w:r>
      <w:r w:rsidR="00400F73" w:rsidRPr="004C313C">
        <w:t>c</w:t>
      </w:r>
      <w:r w:rsidR="00C60809" w:rsidRPr="004C313C">
        <w:t xml:space="preserve">) a </w:t>
      </w:r>
      <w:r w:rsidR="00EE574E">
        <w:t>m</w:t>
      </w:r>
      <w:r w:rsidR="00BA51C7" w:rsidRPr="004C313C">
        <w:t>) až </w:t>
      </w:r>
      <w:r w:rsidR="002C3DE0">
        <w:t>q</w:t>
      </w:r>
      <w:r w:rsidR="001A1E25" w:rsidRPr="004C313C">
        <w:t>),</w:t>
      </w:r>
      <w:r w:rsidR="001A1E25" w:rsidRPr="00CE3CFA">
        <w:t xml:space="preserve"> odvody</w:t>
      </w:r>
      <w:r w:rsidR="001A1E25" w:rsidRPr="00573809">
        <w:t xml:space="preserve"> za</w:t>
      </w:r>
      <w:r w:rsidR="001A1E25">
        <w:t xml:space="preserve"> každé jednotlivé porušení se sčítají.</w:t>
      </w:r>
    </w:p>
    <w:p w14:paraId="3EA0686C" w14:textId="0FD5B1C2" w:rsidR="008920B2" w:rsidRPr="00786A9A" w:rsidRDefault="008920B2" w:rsidP="002A3538">
      <w:pPr>
        <w:pStyle w:val="lnek-body"/>
        <w:spacing w:before="120" w:after="120"/>
      </w:pPr>
      <w:r w:rsidRPr="00786A9A">
        <w:t>V případě, že dojde k porušení povinností stanove</w:t>
      </w:r>
      <w:r w:rsidR="00BA51C7">
        <w:t>ných v Části II., bude odvod za </w:t>
      </w:r>
      <w:r w:rsidRPr="00786A9A">
        <w:t>porušení rozpočtové kázně stanoven v souladu s ustanovením § 14 odst.</w:t>
      </w:r>
      <w:r w:rsidR="00B85A08">
        <w:t> </w:t>
      </w:r>
      <w:r w:rsidRPr="00786A9A">
        <w:t xml:space="preserve">5 </w:t>
      </w:r>
      <w:r w:rsidR="003B0C2E" w:rsidRPr="001D5C36">
        <w:t>rozpočtov</w:t>
      </w:r>
      <w:r w:rsidR="001303E9">
        <w:t>ých</w:t>
      </w:r>
      <w:r w:rsidR="003B0C2E" w:rsidRPr="001D5C36">
        <w:t xml:space="preserve"> pravid</w:t>
      </w:r>
      <w:r w:rsidR="001303E9">
        <w:t>el</w:t>
      </w:r>
      <w:r w:rsidRPr="00786A9A">
        <w:t>,</w:t>
      </w:r>
      <w:r>
        <w:t xml:space="preserve"> ve </w:t>
      </w:r>
      <w:r w:rsidRPr="00786A9A">
        <w:t xml:space="preserve">výši </w:t>
      </w:r>
      <w:r w:rsidR="003B0C2E">
        <w:t>1</w:t>
      </w:r>
      <w:r w:rsidR="00B85A08">
        <w:t> </w:t>
      </w:r>
      <w:r w:rsidRPr="00786A9A">
        <w:t>% z celkové výše poskytnuté dotace, která byla vyplacena.</w:t>
      </w:r>
      <w:r w:rsidR="003B0C2E">
        <w:t xml:space="preserve"> V případě, že dojde k porušení více povinností uvedených v Části II.</w:t>
      </w:r>
      <w:r w:rsidR="003F551B">
        <w:t>,</w:t>
      </w:r>
      <w:r w:rsidR="003B0C2E">
        <w:t xml:space="preserve"> odvody za každé jednotlivé porušení se sčítají.</w:t>
      </w:r>
    </w:p>
    <w:p w14:paraId="2AD2D412" w14:textId="06A78B02" w:rsidR="003F551B" w:rsidRDefault="008920B2" w:rsidP="002A3538">
      <w:pPr>
        <w:pStyle w:val="lnek-body"/>
        <w:spacing w:before="120" w:after="120"/>
      </w:pPr>
      <w:r w:rsidRPr="00786A9A">
        <w:t xml:space="preserve">V případě, že ve lhůtě, v níž má být dosaženo stanoveného účelu poskytnuté dotace, nebudou </w:t>
      </w:r>
      <w:r w:rsidR="0016167B">
        <w:t>na</w:t>
      </w:r>
      <w:r w:rsidR="0016167B" w:rsidRPr="00786A9A">
        <w:t xml:space="preserve">plněny </w:t>
      </w:r>
      <w:r w:rsidRPr="00786A9A">
        <w:t>výstupy uvedené v </w:t>
      </w:r>
      <w:r w:rsidR="00C60809">
        <w:t>P</w:t>
      </w:r>
      <w:r w:rsidRPr="00786A9A">
        <w:t>řehledu výstupů projektu (</w:t>
      </w:r>
      <w:r w:rsidR="006117F8">
        <w:t>jenž bude součástí rozhodnutí</w:t>
      </w:r>
      <w:r w:rsidRPr="00786A9A">
        <w:t>)</w:t>
      </w:r>
      <w:r w:rsidR="00B85A08">
        <w:t>,</w:t>
      </w:r>
      <w:r w:rsidRPr="00786A9A">
        <w:t xml:space="preserve"> </w:t>
      </w:r>
      <w:r w:rsidR="003F551B">
        <w:t>bude</w:t>
      </w:r>
      <w:r>
        <w:t xml:space="preserve"> </w:t>
      </w:r>
      <w:r w:rsidR="003F551B">
        <w:t>odvod za porušení rozpočtové kázně stanoven v souladu s</w:t>
      </w:r>
      <w:r w:rsidR="00B85A08">
        <w:t> </w:t>
      </w:r>
      <w:r>
        <w:t>§ </w:t>
      </w:r>
      <w:r w:rsidR="00C60809">
        <w:t>1</w:t>
      </w:r>
      <w:r>
        <w:t>4</w:t>
      </w:r>
      <w:r w:rsidR="00C60809">
        <w:t xml:space="preserve"> odst.</w:t>
      </w:r>
      <w:r w:rsidR="00B85A08">
        <w:t> </w:t>
      </w:r>
      <w:r w:rsidR="00C60809">
        <w:t xml:space="preserve">5 </w:t>
      </w:r>
      <w:r w:rsidR="003F551B" w:rsidRPr="001D5C36">
        <w:t>rozpočtov</w:t>
      </w:r>
      <w:r w:rsidR="001303E9">
        <w:t>ých</w:t>
      </w:r>
      <w:r w:rsidR="003F551B" w:rsidRPr="001D5C36">
        <w:t xml:space="preserve"> pravid</w:t>
      </w:r>
      <w:r w:rsidR="001303E9">
        <w:t>el</w:t>
      </w:r>
      <w:r w:rsidR="0016167B">
        <w:t>,</w:t>
      </w:r>
      <w:r w:rsidR="003F551B">
        <w:t xml:space="preserve"> dle následující tabulky:</w:t>
      </w:r>
    </w:p>
    <w:p w14:paraId="648C7A54" w14:textId="77777777" w:rsidR="00B85A08" w:rsidRDefault="00B85A08" w:rsidP="00B85A08">
      <w:pPr>
        <w:pStyle w:val="lnek-body"/>
        <w:numPr>
          <w:ilvl w:val="0"/>
          <w:numId w:val="0"/>
        </w:numPr>
        <w:spacing w:before="120" w:after="120"/>
        <w:ind w:left="360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3969"/>
      </w:tblGrid>
      <w:tr w:rsidR="003F551B" w:rsidRPr="003F551B" w14:paraId="65942AD7" w14:textId="77777777" w:rsidTr="00B85A08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476B" w14:textId="77777777" w:rsidR="003F551B" w:rsidRPr="00657661" w:rsidRDefault="003F551B" w:rsidP="002A353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57661">
              <w:rPr>
                <w:rFonts w:ascii="Arial" w:hAnsi="Arial" w:cs="Arial"/>
                <w:color w:val="000000"/>
              </w:rPr>
              <w:t xml:space="preserve">Celková míra </w:t>
            </w:r>
            <w:r w:rsidR="0016167B">
              <w:rPr>
                <w:rFonts w:ascii="Arial" w:hAnsi="Arial" w:cs="Arial"/>
                <w:color w:val="000000"/>
              </w:rPr>
              <w:t>na</w:t>
            </w:r>
            <w:r w:rsidR="00E91FD6" w:rsidRPr="00657661">
              <w:rPr>
                <w:rFonts w:ascii="Arial" w:hAnsi="Arial" w:cs="Arial"/>
                <w:color w:val="000000"/>
              </w:rPr>
              <w:t>pln</w:t>
            </w:r>
            <w:r w:rsidR="00E91FD6" w:rsidRPr="00271376">
              <w:rPr>
                <w:rFonts w:ascii="Arial" w:hAnsi="Arial" w:cs="Arial"/>
                <w:color w:val="000000"/>
              </w:rPr>
              <w:t xml:space="preserve">ění </w:t>
            </w:r>
            <w:r w:rsidRPr="00657661">
              <w:rPr>
                <w:rFonts w:ascii="Arial" w:hAnsi="Arial" w:cs="Arial"/>
                <w:color w:val="000000"/>
              </w:rPr>
              <w:t>výstup</w:t>
            </w:r>
            <w:r w:rsidRPr="00271376">
              <w:rPr>
                <w:rFonts w:ascii="Arial" w:hAnsi="Arial" w:cs="Arial"/>
                <w:color w:val="000000"/>
              </w:rPr>
              <w:t>ů</w:t>
            </w:r>
            <w:r w:rsidRPr="00657661">
              <w:rPr>
                <w:rFonts w:ascii="Arial" w:hAnsi="Arial" w:cs="Arial"/>
                <w:color w:val="000000"/>
              </w:rPr>
              <w:t xml:space="preserve"> </w:t>
            </w:r>
            <w:r w:rsidR="001E7035">
              <w:rPr>
                <w:rFonts w:ascii="Arial" w:hAnsi="Arial" w:cs="Arial"/>
                <w:color w:val="000000"/>
              </w:rPr>
              <w:t xml:space="preserve">projektu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B129" w14:textId="77777777" w:rsidR="003F551B" w:rsidRPr="00657661" w:rsidRDefault="003F551B" w:rsidP="002A35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57661">
              <w:rPr>
                <w:rFonts w:ascii="Arial" w:hAnsi="Arial" w:cs="Arial"/>
                <w:color w:val="000000"/>
              </w:rPr>
              <w:t>Procento odvodu z</w:t>
            </w:r>
            <w:r w:rsidR="00271376" w:rsidRPr="00657661">
              <w:rPr>
                <w:rFonts w:ascii="Arial" w:hAnsi="Arial" w:cs="Arial"/>
                <w:color w:val="000000"/>
              </w:rPr>
              <w:t> </w:t>
            </w:r>
            <w:r w:rsidR="00271376" w:rsidRPr="00271376">
              <w:rPr>
                <w:rFonts w:ascii="Arial" w:hAnsi="Arial" w:cs="Arial"/>
                <w:color w:val="000000"/>
              </w:rPr>
              <w:t>celkové výše poskytnuté dotace</w:t>
            </w:r>
          </w:p>
        </w:tc>
      </w:tr>
      <w:tr w:rsidR="00C10B5C" w:rsidRPr="003F551B" w14:paraId="41540D42" w14:textId="77777777" w:rsidTr="00B85A08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55BF" w14:textId="77777777" w:rsidR="00C10B5C" w:rsidRPr="00094DAA" w:rsidRDefault="00C10B5C" w:rsidP="002A35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Více než 85 %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397C" w14:textId="77777777" w:rsidR="00C10B5C" w:rsidRPr="00094DAA" w:rsidRDefault="00C10B5C" w:rsidP="002A35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CE3CFA">
              <w:rPr>
                <w:rFonts w:ascii="Arial" w:hAnsi="Arial" w:cs="Arial"/>
              </w:rPr>
              <w:t>0 %</w:t>
            </w:r>
          </w:p>
        </w:tc>
      </w:tr>
      <w:tr w:rsidR="00094DAA" w:rsidRPr="003F551B" w14:paraId="61BD14CE" w14:textId="77777777" w:rsidTr="00B85A08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D8294" w14:textId="77777777" w:rsidR="00094DAA" w:rsidRPr="00657661" w:rsidRDefault="00C10B5C" w:rsidP="002A35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70 % </w:t>
            </w:r>
            <w:r w:rsidR="00F37F97">
              <w:rPr>
                <w:rFonts w:ascii="Arial" w:hAnsi="Arial" w:cs="Arial"/>
              </w:rPr>
              <w:t>až</w:t>
            </w:r>
            <w:r>
              <w:rPr>
                <w:rFonts w:ascii="Arial" w:hAnsi="Arial" w:cs="Arial"/>
              </w:rPr>
              <w:t xml:space="preserve"> </w:t>
            </w:r>
            <w:r w:rsidR="00094DAA" w:rsidRPr="00657661">
              <w:rPr>
                <w:rFonts w:ascii="Arial" w:hAnsi="Arial" w:cs="Arial"/>
              </w:rPr>
              <w:t xml:space="preserve">85 %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4D4B" w14:textId="77777777" w:rsidR="00094DAA" w:rsidRPr="00657661" w:rsidRDefault="00425881" w:rsidP="002A35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  <w:r w:rsidR="00094DAA" w:rsidRPr="00657661">
              <w:rPr>
                <w:rFonts w:ascii="Arial" w:hAnsi="Arial" w:cs="Arial"/>
              </w:rPr>
              <w:t xml:space="preserve"> % </w:t>
            </w:r>
          </w:p>
        </w:tc>
      </w:tr>
      <w:tr w:rsidR="00094DAA" w:rsidRPr="003F551B" w14:paraId="0D5978CF" w14:textId="77777777" w:rsidTr="00B85A08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0585" w14:textId="77777777" w:rsidR="00094DAA" w:rsidRPr="00657661" w:rsidRDefault="00C10B5C" w:rsidP="002A35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55 % až 69</w:t>
            </w:r>
            <w:r w:rsidR="00094DAA" w:rsidRPr="00657661">
              <w:rPr>
                <w:rFonts w:ascii="Arial" w:hAnsi="Arial" w:cs="Arial"/>
              </w:rPr>
              <w:t xml:space="preserve"> %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7B42" w14:textId="77777777" w:rsidR="00094DAA" w:rsidRPr="00657661" w:rsidRDefault="00094DAA" w:rsidP="002A35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57661">
              <w:rPr>
                <w:rFonts w:ascii="Arial" w:hAnsi="Arial" w:cs="Arial"/>
              </w:rPr>
              <w:t xml:space="preserve">20 % </w:t>
            </w:r>
          </w:p>
        </w:tc>
      </w:tr>
      <w:tr w:rsidR="00094DAA" w:rsidRPr="003F551B" w14:paraId="01E4C421" w14:textId="77777777" w:rsidTr="00B85A08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4AE8" w14:textId="77777777" w:rsidR="00094DAA" w:rsidRPr="00657661" w:rsidRDefault="00C10B5C" w:rsidP="002A35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40 % </w:t>
            </w:r>
            <w:r w:rsidR="00F37F97">
              <w:rPr>
                <w:rFonts w:ascii="Arial" w:hAnsi="Arial" w:cs="Arial"/>
              </w:rPr>
              <w:t xml:space="preserve">až </w:t>
            </w:r>
            <w:r>
              <w:rPr>
                <w:rFonts w:ascii="Arial" w:hAnsi="Arial" w:cs="Arial"/>
              </w:rPr>
              <w:t>54</w:t>
            </w:r>
            <w:r w:rsidR="00094DAA" w:rsidRPr="00657661">
              <w:rPr>
                <w:rFonts w:ascii="Arial" w:hAnsi="Arial" w:cs="Arial"/>
              </w:rPr>
              <w:t xml:space="preserve"> %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787B" w14:textId="77777777" w:rsidR="00094DAA" w:rsidRPr="00657661" w:rsidRDefault="00094DAA" w:rsidP="002A35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57661">
              <w:rPr>
                <w:rFonts w:ascii="Arial" w:hAnsi="Arial" w:cs="Arial"/>
              </w:rPr>
              <w:t xml:space="preserve">30 % </w:t>
            </w:r>
          </w:p>
        </w:tc>
      </w:tr>
      <w:tr w:rsidR="00094DAA" w:rsidRPr="003F551B" w14:paraId="2385A860" w14:textId="77777777" w:rsidTr="00B85A08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D75E" w14:textId="77777777" w:rsidR="00094DAA" w:rsidRPr="00094DAA" w:rsidRDefault="00C60809" w:rsidP="002A35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10 % až 39 %</w:t>
            </w:r>
            <w:r w:rsidR="00094DAA" w:rsidRPr="006576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FF87" w14:textId="77777777" w:rsidR="00094DAA" w:rsidRPr="00094DAA" w:rsidRDefault="00094DAA" w:rsidP="002A35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57661">
              <w:rPr>
                <w:rFonts w:ascii="Arial" w:hAnsi="Arial" w:cs="Arial"/>
              </w:rPr>
              <w:t xml:space="preserve">50 % </w:t>
            </w:r>
          </w:p>
        </w:tc>
      </w:tr>
      <w:tr w:rsidR="00C60809" w:rsidRPr="003F551B" w14:paraId="7C03890A" w14:textId="77777777" w:rsidTr="00B85A08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258B" w14:textId="77777777" w:rsidR="00C60809" w:rsidRPr="00657661" w:rsidDel="00C60809" w:rsidRDefault="00C60809" w:rsidP="002A35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Méně než 10 %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27F3" w14:textId="77777777" w:rsidR="00C60809" w:rsidRPr="00657661" w:rsidRDefault="00C60809" w:rsidP="002A35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</w:tbl>
    <w:p w14:paraId="461D0F99" w14:textId="721428E5" w:rsidR="00FC3626" w:rsidRDefault="00FC3626" w:rsidP="002A3538">
      <w:pPr>
        <w:pStyle w:val="lnek-body"/>
        <w:numPr>
          <w:ilvl w:val="0"/>
          <w:numId w:val="0"/>
        </w:numPr>
        <w:spacing w:before="240" w:after="120"/>
        <w:ind w:left="425"/>
      </w:pPr>
      <w:r w:rsidRPr="00657661">
        <w:t>Pokud celková míra napln</w:t>
      </w:r>
      <w:r w:rsidRPr="00CE3F82">
        <w:t>ění výstupů projektu bude nižší</w:t>
      </w:r>
      <w:r w:rsidRPr="00657661">
        <w:t xml:space="preserve"> než 10 %, bude projekt klasifikován jako takový, který nenaplnil účel, na který byla dotace poskytnuta. </w:t>
      </w:r>
    </w:p>
    <w:p w14:paraId="63EC3D57" w14:textId="77777777" w:rsidR="00FC3626" w:rsidRDefault="00FC3626" w:rsidP="002A3538">
      <w:pPr>
        <w:pStyle w:val="lnek-body"/>
        <w:numPr>
          <w:ilvl w:val="0"/>
          <w:numId w:val="0"/>
        </w:numPr>
        <w:spacing w:before="120" w:after="120"/>
        <w:ind w:left="426"/>
      </w:pPr>
      <w:r>
        <w:t>Překročení celkového počtu výstupů projektu nebude postihnuto odvodem.</w:t>
      </w:r>
    </w:p>
    <w:p w14:paraId="78FA2DDC" w14:textId="77777777" w:rsidR="00FC3626" w:rsidRDefault="00FC3626" w:rsidP="002A3538">
      <w:pPr>
        <w:pStyle w:val="lnek-body"/>
        <w:numPr>
          <w:ilvl w:val="0"/>
          <w:numId w:val="0"/>
        </w:numPr>
        <w:spacing w:before="120" w:after="120"/>
        <w:ind w:left="426"/>
        <w:rPr>
          <w:b/>
        </w:rPr>
      </w:pPr>
      <w:r>
        <w:t>Při vyhodnocování celkové míry naplnění výstupů</w:t>
      </w:r>
      <w:r w:rsidRPr="001E7035" w:rsidDel="003F551B">
        <w:t xml:space="preserve"> </w:t>
      </w:r>
      <w:r>
        <w:t>projektu bude nejdříve hodnocena míra naplnění každého jednotlivého výstupu projektu</w:t>
      </w:r>
      <w:r w:rsidR="00C003DF">
        <w:t xml:space="preserve">, a to na škále 100 % – </w:t>
      </w:r>
      <w:r w:rsidR="00C60809">
        <w:t>0 %</w:t>
      </w:r>
      <w:r>
        <w:t xml:space="preserve">. </w:t>
      </w:r>
      <w:r w:rsidRPr="00657661">
        <w:rPr>
          <w:b/>
        </w:rPr>
        <w:t xml:space="preserve">Celková míra naplnění výstupů projektu bude vypočtena jako průměr </w:t>
      </w:r>
      <w:r>
        <w:rPr>
          <w:b/>
        </w:rPr>
        <w:t>naplnění</w:t>
      </w:r>
      <w:r w:rsidRPr="00657661">
        <w:rPr>
          <w:b/>
        </w:rPr>
        <w:t xml:space="preserve"> jednotlivých výstupů projektu.</w:t>
      </w:r>
      <w:r>
        <w:rPr>
          <w:b/>
        </w:rPr>
        <w:t xml:space="preserve"> </w:t>
      </w:r>
    </w:p>
    <w:p w14:paraId="30BE4968" w14:textId="6FCC9FC9" w:rsidR="00C06F4D" w:rsidRPr="00745402" w:rsidRDefault="00C06F4D" w:rsidP="002A3538">
      <w:pPr>
        <w:pStyle w:val="lnek-body"/>
        <w:spacing w:before="120" w:after="120"/>
        <w:rPr>
          <w:b/>
        </w:rPr>
      </w:pPr>
      <w:r>
        <w:t>Součet odvodů za porušení rozpočtové kázně nemůže být vyšší než celková částka poskytnuté dotace</w:t>
      </w:r>
      <w:r w:rsidR="00AC1768">
        <w:t xml:space="preserve">. </w:t>
      </w:r>
    </w:p>
    <w:sectPr w:rsidR="00C06F4D" w:rsidRPr="00745402" w:rsidSect="00717884">
      <w:headerReference w:type="default" r:id="rId8"/>
      <w:footerReference w:type="default" r:id="rId9"/>
      <w:pgSz w:w="11906" w:h="16838"/>
      <w:pgMar w:top="1417" w:right="1417" w:bottom="1135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B46A" w14:textId="77777777" w:rsidR="00545144" w:rsidRDefault="00545144" w:rsidP="00F37F97">
      <w:pPr>
        <w:spacing w:after="0" w:line="240" w:lineRule="auto"/>
      </w:pPr>
      <w:r>
        <w:separator/>
      </w:r>
    </w:p>
  </w:endnote>
  <w:endnote w:type="continuationSeparator" w:id="0">
    <w:p w14:paraId="1D8270E0" w14:textId="77777777" w:rsidR="00545144" w:rsidRDefault="00545144" w:rsidP="00F3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7601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0AA8237" w14:textId="72D8112A" w:rsidR="00F56D65" w:rsidRPr="008228AD" w:rsidRDefault="00F56D65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8228AD">
          <w:rPr>
            <w:rFonts w:ascii="Arial" w:hAnsi="Arial" w:cs="Arial"/>
            <w:sz w:val="20"/>
            <w:szCs w:val="20"/>
          </w:rPr>
          <w:fldChar w:fldCharType="begin"/>
        </w:r>
        <w:r w:rsidRPr="008228AD">
          <w:rPr>
            <w:rFonts w:ascii="Arial" w:hAnsi="Arial" w:cs="Arial"/>
            <w:sz w:val="20"/>
            <w:szCs w:val="20"/>
          </w:rPr>
          <w:instrText>PAGE   \* MERGEFORMAT</w:instrText>
        </w:r>
        <w:r w:rsidRPr="008228AD">
          <w:rPr>
            <w:rFonts w:ascii="Arial" w:hAnsi="Arial" w:cs="Arial"/>
            <w:sz w:val="20"/>
            <w:szCs w:val="20"/>
          </w:rPr>
          <w:fldChar w:fldCharType="separate"/>
        </w:r>
        <w:r w:rsidR="00B85A08">
          <w:rPr>
            <w:rFonts w:ascii="Arial" w:hAnsi="Arial" w:cs="Arial"/>
            <w:noProof/>
            <w:sz w:val="20"/>
            <w:szCs w:val="20"/>
          </w:rPr>
          <w:t>7</w:t>
        </w:r>
        <w:r w:rsidRPr="008228A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0784A" w14:textId="77777777" w:rsidR="00545144" w:rsidRDefault="00545144" w:rsidP="00F37F97">
      <w:pPr>
        <w:spacing w:after="0" w:line="240" w:lineRule="auto"/>
      </w:pPr>
      <w:r>
        <w:separator/>
      </w:r>
    </w:p>
  </w:footnote>
  <w:footnote w:type="continuationSeparator" w:id="0">
    <w:p w14:paraId="20F4F0DE" w14:textId="77777777" w:rsidR="00545144" w:rsidRDefault="00545144" w:rsidP="00F37F97">
      <w:pPr>
        <w:spacing w:after="0" w:line="240" w:lineRule="auto"/>
      </w:pPr>
      <w:r>
        <w:continuationSeparator/>
      </w:r>
    </w:p>
  </w:footnote>
  <w:footnote w:id="1">
    <w:p w14:paraId="2F4B7BA0" w14:textId="43DF9A97" w:rsidR="00AF5202" w:rsidRPr="00AF5202" w:rsidRDefault="00AF5202" w:rsidP="00AF5202">
      <w:pPr>
        <w:pStyle w:val="Textpoznpodarou"/>
        <w:jc w:val="both"/>
        <w:rPr>
          <w:rFonts w:ascii="Arial" w:hAnsi="Arial" w:cs="Arial"/>
        </w:rPr>
      </w:pPr>
      <w:r w:rsidRPr="00AF5202">
        <w:rPr>
          <w:rStyle w:val="Znakapoznpodarou"/>
          <w:rFonts w:ascii="Arial" w:hAnsi="Arial" w:cs="Arial"/>
        </w:rPr>
        <w:footnoteRef/>
      </w:r>
      <w:r w:rsidR="00290B82">
        <w:rPr>
          <w:rFonts w:ascii="Arial" w:hAnsi="Arial" w:cs="Arial"/>
        </w:rPr>
        <w:t xml:space="preserve"> Pro dotační řízení na rok 202</w:t>
      </w:r>
      <w:r w:rsidR="00B60A2A">
        <w:rPr>
          <w:rFonts w:ascii="Arial" w:hAnsi="Arial" w:cs="Arial"/>
        </w:rPr>
        <w:t>5</w:t>
      </w:r>
      <w:r w:rsidRPr="00AF5202">
        <w:rPr>
          <w:rFonts w:ascii="Arial" w:hAnsi="Arial" w:cs="Arial"/>
        </w:rPr>
        <w:t xml:space="preserve"> mohou příjemci dotací, za podmínek stanovených v § 1f zákona </w:t>
      </w:r>
      <w:r w:rsidRPr="00AF5202">
        <w:rPr>
          <w:rFonts w:ascii="Arial" w:hAnsi="Arial" w:cs="Arial"/>
        </w:rPr>
        <w:br/>
      </w:r>
      <w:r w:rsidRPr="00D1592B">
        <w:rPr>
          <w:rFonts w:ascii="Arial" w:hAnsi="Arial" w:cs="Arial"/>
        </w:rPr>
        <w:t xml:space="preserve">č. 563/1991 Sb., o účetnictví (dále jen „zákon o účetnictví“), </w:t>
      </w:r>
      <w:r w:rsidR="00290B82">
        <w:rPr>
          <w:rFonts w:ascii="Arial" w:hAnsi="Arial" w:cs="Arial"/>
        </w:rPr>
        <w:t>vést jednoduché účetnictví.</w:t>
      </w:r>
      <w:r w:rsidRPr="00AF5202">
        <w:rPr>
          <w:rFonts w:ascii="Arial" w:hAnsi="Arial" w:cs="Arial"/>
        </w:rPr>
        <w:t xml:space="preserve"> Dle § 2 zákona o účetnictví jsou předmětem jednoduchého účetnictví výdaje a příjmy, majetek a závazky. V případě, že příjemce dotace nesplňuje podmínky pro vedení jednoduchého účetnictví, </w:t>
      </w:r>
      <w:r w:rsidRPr="00AF5202">
        <w:rPr>
          <w:rFonts w:ascii="Arial" w:hAnsi="Arial" w:cs="Arial"/>
          <w:color w:val="000000"/>
        </w:rPr>
        <w:t xml:space="preserve">vede účetnictví v plném rozsahu, nebo ve zjednodušeném rozsahu.  Příjemci dotací, kteří vedou účetnictví </w:t>
      </w:r>
      <w:r w:rsidRPr="00AF5202">
        <w:rPr>
          <w:rFonts w:ascii="Arial" w:hAnsi="Arial" w:cs="Arial"/>
          <w:color w:val="000000"/>
        </w:rPr>
        <w:br/>
        <w:t>v plném rozsahu, nebo ve zjednodušeném rozsahu, účtují podvojnými zápisy o stavu a pohybu majetku a jiných aktiv, závazků včetně dluhů a jiných pasiv, dále o nákladech a výnosech a o výsledku hospodaření.</w:t>
      </w:r>
    </w:p>
  </w:footnote>
  <w:footnote w:id="2">
    <w:p w14:paraId="7DD287C2" w14:textId="77777777" w:rsidR="00D1592B" w:rsidRPr="00D1592B" w:rsidRDefault="00D1592B" w:rsidP="00D1592B">
      <w:pPr>
        <w:pStyle w:val="Textpoznpodarou"/>
        <w:jc w:val="both"/>
        <w:rPr>
          <w:rFonts w:ascii="Arial" w:hAnsi="Arial" w:cs="Arial"/>
        </w:rPr>
      </w:pPr>
      <w:r w:rsidRPr="00D1592B">
        <w:rPr>
          <w:rStyle w:val="Znakapoznpodarou"/>
          <w:rFonts w:ascii="Arial" w:hAnsi="Arial" w:cs="Arial"/>
        </w:rPr>
        <w:footnoteRef/>
      </w:r>
      <w:r w:rsidRPr="00D1592B">
        <w:rPr>
          <w:rFonts w:ascii="Arial" w:hAnsi="Arial" w:cs="Arial"/>
        </w:rPr>
        <w:t xml:space="preserve"> Netýká se příjemců dotace, kteří vedou jednoduché účetnictví. V případě, že příjemce dotace vede jednoduché účetnictví, musí být všechny výdaje uhrazeny v kalendářním roce, na který byla dotace poskytnuta.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7C57" w14:textId="77777777" w:rsidR="00F37F97" w:rsidRDefault="00F37F97">
    <w:pPr>
      <w:pStyle w:val="Zhlav"/>
    </w:pPr>
  </w:p>
  <w:tbl>
    <w:tblPr>
      <w:tblW w:w="5193" w:type="pct"/>
      <w:tblLook w:val="04A0" w:firstRow="1" w:lastRow="0" w:firstColumn="1" w:lastColumn="0" w:noHBand="0" w:noVBand="1"/>
    </w:tblPr>
    <w:tblGrid>
      <w:gridCol w:w="6278"/>
      <w:gridCol w:w="3369"/>
    </w:tblGrid>
    <w:tr w:rsidR="00F37F97" w14:paraId="7E2AA20F" w14:textId="77777777" w:rsidTr="00717884">
      <w:trPr>
        <w:trHeight w:val="865"/>
      </w:trPr>
      <w:tc>
        <w:tcPr>
          <w:tcW w:w="3254" w:type="pct"/>
          <w:shd w:val="clear" w:color="auto" w:fill="auto"/>
        </w:tcPr>
        <w:p w14:paraId="3FED1270" w14:textId="77777777" w:rsidR="00F37F97" w:rsidRPr="00D62E2F" w:rsidRDefault="00F37F97" w:rsidP="007906AF">
          <w:pPr>
            <w:spacing w:after="0"/>
            <w:rPr>
              <w:rFonts w:ascii="Cambria" w:hAnsi="Cambria"/>
              <w:color w:val="1F497D"/>
              <w:sz w:val="28"/>
              <w:szCs w:val="26"/>
            </w:rPr>
          </w:pPr>
          <w:r w:rsidRPr="00142CF0">
            <w:rPr>
              <w:rFonts w:ascii="Cambria" w:hAnsi="Cambria"/>
              <w:b/>
              <w:color w:val="1F497D"/>
              <w:sz w:val="40"/>
              <w:szCs w:val="40"/>
            </w:rPr>
            <w:t>Úřad vlády České republiky</w:t>
          </w:r>
          <w:r w:rsidRPr="00F76890">
            <w:rPr>
              <w:rFonts w:ascii="Cambria" w:hAnsi="Cambria"/>
              <w:b/>
              <w:color w:val="1F497D"/>
              <w:sz w:val="44"/>
              <w:szCs w:val="40"/>
            </w:rPr>
            <w:br/>
          </w:r>
          <w:r w:rsidRPr="00142CF0">
            <w:rPr>
              <w:rFonts w:ascii="Cambria" w:hAnsi="Cambria"/>
              <w:color w:val="1F497D"/>
              <w:sz w:val="28"/>
              <w:szCs w:val="26"/>
            </w:rPr>
            <w:t>Odbor lidských práv a ochrany menšin</w:t>
          </w:r>
        </w:p>
      </w:tc>
      <w:tc>
        <w:tcPr>
          <w:tcW w:w="1746" w:type="pct"/>
          <w:shd w:val="clear" w:color="auto" w:fill="auto"/>
        </w:tcPr>
        <w:p w14:paraId="04E91DD8" w14:textId="77777777" w:rsidR="00F37F97" w:rsidRDefault="00F37F97" w:rsidP="007906AF">
          <w:pPr>
            <w:pStyle w:val="Zhlav"/>
            <w:jc w:val="right"/>
          </w:pPr>
          <w:r>
            <w:rPr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6B426D91" wp14:editId="6E723AED">
                <wp:extent cx="1514475" cy="440720"/>
                <wp:effectExtent l="0" t="0" r="0" b="0"/>
                <wp:docPr id="8" name="Obrázek 8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5C2A92" w14:textId="0A916675" w:rsidR="00F37F97" w:rsidRDefault="00F37F97" w:rsidP="00263347">
    <w:pPr>
      <w:pStyle w:val="Zhlav"/>
      <w:tabs>
        <w:tab w:val="clear" w:pos="4536"/>
        <w:tab w:val="clear" w:pos="9072"/>
        <w:tab w:val="left" w:pos="3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36F"/>
    <w:multiLevelType w:val="hybridMultilevel"/>
    <w:tmpl w:val="BA2499E4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D08EE"/>
    <w:multiLevelType w:val="hybridMultilevel"/>
    <w:tmpl w:val="7B38AB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-720" w:hanging="360"/>
      </w:pPr>
    </w:lvl>
    <w:lvl w:ilvl="2" w:tplc="0405001B" w:tentative="1">
      <w:start w:val="1"/>
      <w:numFmt w:val="lowerRoman"/>
      <w:lvlText w:val="%3."/>
      <w:lvlJc w:val="right"/>
      <w:pPr>
        <w:ind w:left="0" w:hanging="180"/>
      </w:pPr>
    </w:lvl>
    <w:lvl w:ilvl="3" w:tplc="0405000F" w:tentative="1">
      <w:start w:val="1"/>
      <w:numFmt w:val="decimal"/>
      <w:lvlText w:val="%4."/>
      <w:lvlJc w:val="left"/>
      <w:pPr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089F6E20"/>
    <w:multiLevelType w:val="hybridMultilevel"/>
    <w:tmpl w:val="FFE6A01C"/>
    <w:lvl w:ilvl="0" w:tplc="F064BD6A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7674D1"/>
    <w:multiLevelType w:val="hybridMultilevel"/>
    <w:tmpl w:val="88C2DFC4"/>
    <w:lvl w:ilvl="0" w:tplc="EDAA4038">
      <w:start w:val="1"/>
      <w:numFmt w:val="decimal"/>
      <w:pStyle w:val="lnek-body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842B2"/>
    <w:multiLevelType w:val="hybridMultilevel"/>
    <w:tmpl w:val="3F40C4A6"/>
    <w:lvl w:ilvl="0" w:tplc="86A03DE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35A81"/>
    <w:multiLevelType w:val="hybridMultilevel"/>
    <w:tmpl w:val="87AC3268"/>
    <w:lvl w:ilvl="0" w:tplc="35F423D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5C7D"/>
    <w:multiLevelType w:val="hybridMultilevel"/>
    <w:tmpl w:val="430A2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5D08"/>
    <w:multiLevelType w:val="hybridMultilevel"/>
    <w:tmpl w:val="642C650E"/>
    <w:lvl w:ilvl="0" w:tplc="63B23B00">
      <w:start w:val="1"/>
      <w:numFmt w:val="lowerLetter"/>
      <w:pStyle w:val="nadpis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6B77D18"/>
    <w:multiLevelType w:val="hybridMultilevel"/>
    <w:tmpl w:val="3FB469E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13" w:hanging="360"/>
      </w:pPr>
    </w:lvl>
    <w:lvl w:ilvl="2" w:tplc="0405001B">
      <w:start w:val="1"/>
      <w:numFmt w:val="lowerRoman"/>
      <w:lvlText w:val="%3."/>
      <w:lvlJc w:val="right"/>
      <w:pPr>
        <w:ind w:left="1733" w:hanging="180"/>
      </w:pPr>
    </w:lvl>
    <w:lvl w:ilvl="3" w:tplc="0405000F">
      <w:start w:val="1"/>
      <w:numFmt w:val="decimal"/>
      <w:lvlText w:val="%4."/>
      <w:lvlJc w:val="left"/>
      <w:pPr>
        <w:ind w:left="2453" w:hanging="360"/>
      </w:pPr>
    </w:lvl>
    <w:lvl w:ilvl="4" w:tplc="04050019" w:tentative="1">
      <w:start w:val="1"/>
      <w:numFmt w:val="lowerLetter"/>
      <w:lvlText w:val="%5."/>
      <w:lvlJc w:val="left"/>
      <w:pPr>
        <w:ind w:left="3173" w:hanging="360"/>
      </w:pPr>
    </w:lvl>
    <w:lvl w:ilvl="5" w:tplc="0405001B" w:tentative="1">
      <w:start w:val="1"/>
      <w:numFmt w:val="lowerRoman"/>
      <w:lvlText w:val="%6."/>
      <w:lvlJc w:val="right"/>
      <w:pPr>
        <w:ind w:left="3893" w:hanging="180"/>
      </w:pPr>
    </w:lvl>
    <w:lvl w:ilvl="6" w:tplc="0405000F" w:tentative="1">
      <w:start w:val="1"/>
      <w:numFmt w:val="decimal"/>
      <w:lvlText w:val="%7."/>
      <w:lvlJc w:val="left"/>
      <w:pPr>
        <w:ind w:left="4613" w:hanging="360"/>
      </w:pPr>
    </w:lvl>
    <w:lvl w:ilvl="7" w:tplc="04050019" w:tentative="1">
      <w:start w:val="1"/>
      <w:numFmt w:val="lowerLetter"/>
      <w:lvlText w:val="%8."/>
      <w:lvlJc w:val="left"/>
      <w:pPr>
        <w:ind w:left="5333" w:hanging="360"/>
      </w:pPr>
    </w:lvl>
    <w:lvl w:ilvl="8" w:tplc="040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9" w15:restartNumberingAfterBreak="0">
    <w:nsid w:val="2DB35566"/>
    <w:multiLevelType w:val="multilevel"/>
    <w:tmpl w:val="C1B012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2325D"/>
    <w:multiLevelType w:val="hybridMultilevel"/>
    <w:tmpl w:val="C21C200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B26"/>
    <w:multiLevelType w:val="hybridMultilevel"/>
    <w:tmpl w:val="A7AE29D0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A87007"/>
    <w:multiLevelType w:val="hybridMultilevel"/>
    <w:tmpl w:val="0004D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5038"/>
    <w:multiLevelType w:val="hybridMultilevel"/>
    <w:tmpl w:val="E7C4DB9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B53E0E"/>
    <w:multiLevelType w:val="hybridMultilevel"/>
    <w:tmpl w:val="A0428D28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577F0"/>
    <w:multiLevelType w:val="hybridMultilevel"/>
    <w:tmpl w:val="C088A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57289"/>
    <w:multiLevelType w:val="hybridMultilevel"/>
    <w:tmpl w:val="71B0DC60"/>
    <w:lvl w:ilvl="0" w:tplc="940C0974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B12DF2"/>
    <w:multiLevelType w:val="hybridMultilevel"/>
    <w:tmpl w:val="B9C8CB6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707B1"/>
    <w:multiLevelType w:val="hybridMultilevel"/>
    <w:tmpl w:val="A0F8DF3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939C7"/>
    <w:multiLevelType w:val="hybridMultilevel"/>
    <w:tmpl w:val="710674DC"/>
    <w:lvl w:ilvl="0" w:tplc="E2043CB8">
      <w:start w:val="1"/>
      <w:numFmt w:val="upperRoman"/>
      <w:pStyle w:val="nadpis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84720"/>
    <w:multiLevelType w:val="hybridMultilevel"/>
    <w:tmpl w:val="F0F69EC8"/>
    <w:lvl w:ilvl="0" w:tplc="F3DA83A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E605BEA"/>
    <w:multiLevelType w:val="hybridMultilevel"/>
    <w:tmpl w:val="E05A5864"/>
    <w:lvl w:ilvl="0" w:tplc="FF36592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6224E"/>
    <w:multiLevelType w:val="hybridMultilevel"/>
    <w:tmpl w:val="7F88E39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9F55F3"/>
    <w:multiLevelType w:val="hybridMultilevel"/>
    <w:tmpl w:val="009217C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F730EE"/>
    <w:multiLevelType w:val="hybridMultilevel"/>
    <w:tmpl w:val="1750D11E"/>
    <w:lvl w:ilvl="0" w:tplc="2870B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941B0"/>
    <w:multiLevelType w:val="hybridMultilevel"/>
    <w:tmpl w:val="9DECE4D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D55082"/>
    <w:multiLevelType w:val="hybridMultilevel"/>
    <w:tmpl w:val="6C047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D33D4"/>
    <w:multiLevelType w:val="hybridMultilevel"/>
    <w:tmpl w:val="01021B36"/>
    <w:lvl w:ilvl="0" w:tplc="940C097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62490E"/>
    <w:multiLevelType w:val="hybridMultilevel"/>
    <w:tmpl w:val="BCBAA5E0"/>
    <w:lvl w:ilvl="0" w:tplc="FF36592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050844">
    <w:abstractNumId w:val="19"/>
  </w:num>
  <w:num w:numId="2" w16cid:durableId="231740038">
    <w:abstractNumId w:val="7"/>
  </w:num>
  <w:num w:numId="3" w16cid:durableId="1199663599">
    <w:abstractNumId w:val="20"/>
  </w:num>
  <w:num w:numId="4" w16cid:durableId="1720199941">
    <w:abstractNumId w:val="27"/>
  </w:num>
  <w:num w:numId="5" w16cid:durableId="734552278">
    <w:abstractNumId w:val="3"/>
  </w:num>
  <w:num w:numId="6" w16cid:durableId="2116511381">
    <w:abstractNumId w:val="15"/>
  </w:num>
  <w:num w:numId="7" w16cid:durableId="1793790562">
    <w:abstractNumId w:val="11"/>
  </w:num>
  <w:num w:numId="8" w16cid:durableId="2052418728">
    <w:abstractNumId w:val="14"/>
  </w:num>
  <w:num w:numId="9" w16cid:durableId="910584232">
    <w:abstractNumId w:val="3"/>
  </w:num>
  <w:num w:numId="10" w16cid:durableId="1443108926">
    <w:abstractNumId w:val="8"/>
  </w:num>
  <w:num w:numId="11" w16cid:durableId="1830825131">
    <w:abstractNumId w:val="25"/>
  </w:num>
  <w:num w:numId="12" w16cid:durableId="1534027807">
    <w:abstractNumId w:val="0"/>
  </w:num>
  <w:num w:numId="13" w16cid:durableId="1204247051">
    <w:abstractNumId w:val="22"/>
  </w:num>
  <w:num w:numId="14" w16cid:durableId="990910861">
    <w:abstractNumId w:val="3"/>
    <w:lvlOverride w:ilvl="0">
      <w:startOverride w:val="1"/>
    </w:lvlOverride>
  </w:num>
  <w:num w:numId="15" w16cid:durableId="1586763809">
    <w:abstractNumId w:val="4"/>
  </w:num>
  <w:num w:numId="16" w16cid:durableId="632440696">
    <w:abstractNumId w:val="3"/>
    <w:lvlOverride w:ilvl="0">
      <w:startOverride w:val="1"/>
    </w:lvlOverride>
  </w:num>
  <w:num w:numId="17" w16cid:durableId="627274821">
    <w:abstractNumId w:val="3"/>
    <w:lvlOverride w:ilvl="0">
      <w:startOverride w:val="1"/>
    </w:lvlOverride>
  </w:num>
  <w:num w:numId="18" w16cid:durableId="1113867926">
    <w:abstractNumId w:val="3"/>
    <w:lvlOverride w:ilvl="0">
      <w:startOverride w:val="1"/>
    </w:lvlOverride>
  </w:num>
  <w:num w:numId="19" w16cid:durableId="972715385">
    <w:abstractNumId w:val="24"/>
  </w:num>
  <w:num w:numId="20" w16cid:durableId="2126120655">
    <w:abstractNumId w:val="12"/>
  </w:num>
  <w:num w:numId="21" w16cid:durableId="799954106">
    <w:abstractNumId w:val="21"/>
  </w:num>
  <w:num w:numId="22" w16cid:durableId="95758698">
    <w:abstractNumId w:val="28"/>
  </w:num>
  <w:num w:numId="23" w16cid:durableId="2141531332">
    <w:abstractNumId w:val="6"/>
  </w:num>
  <w:num w:numId="24" w16cid:durableId="497505662">
    <w:abstractNumId w:val="5"/>
  </w:num>
  <w:num w:numId="25" w16cid:durableId="1960866957">
    <w:abstractNumId w:val="26"/>
  </w:num>
  <w:num w:numId="26" w16cid:durableId="1708751704">
    <w:abstractNumId w:val="10"/>
  </w:num>
  <w:num w:numId="27" w16cid:durableId="633759949">
    <w:abstractNumId w:val="18"/>
  </w:num>
  <w:num w:numId="28" w16cid:durableId="461046950">
    <w:abstractNumId w:val="23"/>
  </w:num>
  <w:num w:numId="29" w16cid:durableId="1952321945">
    <w:abstractNumId w:val="17"/>
  </w:num>
  <w:num w:numId="30" w16cid:durableId="1669359731">
    <w:abstractNumId w:val="2"/>
  </w:num>
  <w:num w:numId="31" w16cid:durableId="1089809161">
    <w:abstractNumId w:val="9"/>
  </w:num>
  <w:num w:numId="32" w16cid:durableId="527721630">
    <w:abstractNumId w:val="16"/>
  </w:num>
  <w:num w:numId="33" w16cid:durableId="1837767586">
    <w:abstractNumId w:val="13"/>
  </w:num>
  <w:num w:numId="34" w16cid:durableId="171384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B2"/>
    <w:rsid w:val="0000604B"/>
    <w:rsid w:val="000072ED"/>
    <w:rsid w:val="000308F2"/>
    <w:rsid w:val="00040675"/>
    <w:rsid w:val="000505AA"/>
    <w:rsid w:val="00072AE4"/>
    <w:rsid w:val="00085291"/>
    <w:rsid w:val="000917AF"/>
    <w:rsid w:val="0009273D"/>
    <w:rsid w:val="00094DAA"/>
    <w:rsid w:val="00095F34"/>
    <w:rsid w:val="000E392F"/>
    <w:rsid w:val="00107778"/>
    <w:rsid w:val="001123DE"/>
    <w:rsid w:val="00116150"/>
    <w:rsid w:val="00116224"/>
    <w:rsid w:val="00125628"/>
    <w:rsid w:val="001303E9"/>
    <w:rsid w:val="00142B57"/>
    <w:rsid w:val="00151B52"/>
    <w:rsid w:val="0015415F"/>
    <w:rsid w:val="00157EC0"/>
    <w:rsid w:val="0016167B"/>
    <w:rsid w:val="00174C17"/>
    <w:rsid w:val="00176273"/>
    <w:rsid w:val="001A073F"/>
    <w:rsid w:val="001A1E25"/>
    <w:rsid w:val="001C7275"/>
    <w:rsid w:val="001D7585"/>
    <w:rsid w:val="001E7035"/>
    <w:rsid w:val="001F29F3"/>
    <w:rsid w:val="00201E8E"/>
    <w:rsid w:val="00224DC3"/>
    <w:rsid w:val="002515BD"/>
    <w:rsid w:val="0025427A"/>
    <w:rsid w:val="00263347"/>
    <w:rsid w:val="00271376"/>
    <w:rsid w:val="00280520"/>
    <w:rsid w:val="00281DF7"/>
    <w:rsid w:val="00290B82"/>
    <w:rsid w:val="002A3538"/>
    <w:rsid w:val="002C3DE0"/>
    <w:rsid w:val="002D17BD"/>
    <w:rsid w:val="002E157D"/>
    <w:rsid w:val="00302ED0"/>
    <w:rsid w:val="0035284A"/>
    <w:rsid w:val="003618C6"/>
    <w:rsid w:val="0036429C"/>
    <w:rsid w:val="00373FC7"/>
    <w:rsid w:val="00374982"/>
    <w:rsid w:val="00376C84"/>
    <w:rsid w:val="003837FF"/>
    <w:rsid w:val="003924F1"/>
    <w:rsid w:val="0039598C"/>
    <w:rsid w:val="003B0C2E"/>
    <w:rsid w:val="003B579F"/>
    <w:rsid w:val="003B78AE"/>
    <w:rsid w:val="003C0D92"/>
    <w:rsid w:val="003F03F6"/>
    <w:rsid w:val="003F1BDA"/>
    <w:rsid w:val="003F326C"/>
    <w:rsid w:val="003F3575"/>
    <w:rsid w:val="003F551B"/>
    <w:rsid w:val="00400F73"/>
    <w:rsid w:val="00403ECE"/>
    <w:rsid w:val="004056CD"/>
    <w:rsid w:val="00410816"/>
    <w:rsid w:val="00425881"/>
    <w:rsid w:val="0044111A"/>
    <w:rsid w:val="00441DF5"/>
    <w:rsid w:val="004444D5"/>
    <w:rsid w:val="00452300"/>
    <w:rsid w:val="004531EC"/>
    <w:rsid w:val="00463834"/>
    <w:rsid w:val="00487307"/>
    <w:rsid w:val="004B3BD7"/>
    <w:rsid w:val="004C313C"/>
    <w:rsid w:val="004D3AA3"/>
    <w:rsid w:val="004E2EA5"/>
    <w:rsid w:val="0050756F"/>
    <w:rsid w:val="00524B2D"/>
    <w:rsid w:val="00526038"/>
    <w:rsid w:val="0052690F"/>
    <w:rsid w:val="005323FB"/>
    <w:rsid w:val="0054096E"/>
    <w:rsid w:val="00542898"/>
    <w:rsid w:val="00542D07"/>
    <w:rsid w:val="00545144"/>
    <w:rsid w:val="0054589A"/>
    <w:rsid w:val="00546247"/>
    <w:rsid w:val="0056071E"/>
    <w:rsid w:val="00573809"/>
    <w:rsid w:val="00576950"/>
    <w:rsid w:val="005A308A"/>
    <w:rsid w:val="005A6731"/>
    <w:rsid w:val="006117F8"/>
    <w:rsid w:val="006230BB"/>
    <w:rsid w:val="00632123"/>
    <w:rsid w:val="00632584"/>
    <w:rsid w:val="00644108"/>
    <w:rsid w:val="006525EF"/>
    <w:rsid w:val="00657661"/>
    <w:rsid w:val="0066081F"/>
    <w:rsid w:val="00680F51"/>
    <w:rsid w:val="006863A0"/>
    <w:rsid w:val="006A392F"/>
    <w:rsid w:val="006A7296"/>
    <w:rsid w:val="006B107D"/>
    <w:rsid w:val="006B4019"/>
    <w:rsid w:val="006C196F"/>
    <w:rsid w:val="006D4EE7"/>
    <w:rsid w:val="006E33FD"/>
    <w:rsid w:val="006F6DCB"/>
    <w:rsid w:val="00706C29"/>
    <w:rsid w:val="00714D82"/>
    <w:rsid w:val="00717884"/>
    <w:rsid w:val="00720B22"/>
    <w:rsid w:val="00746757"/>
    <w:rsid w:val="00752CDC"/>
    <w:rsid w:val="007618AE"/>
    <w:rsid w:val="007C43D1"/>
    <w:rsid w:val="007D7BA3"/>
    <w:rsid w:val="007F7971"/>
    <w:rsid w:val="00805DBB"/>
    <w:rsid w:val="008079D1"/>
    <w:rsid w:val="008228AD"/>
    <w:rsid w:val="00833131"/>
    <w:rsid w:val="00855A52"/>
    <w:rsid w:val="008579D3"/>
    <w:rsid w:val="00864240"/>
    <w:rsid w:val="00885EEF"/>
    <w:rsid w:val="008920B2"/>
    <w:rsid w:val="008A5B5A"/>
    <w:rsid w:val="008C670B"/>
    <w:rsid w:val="008E4624"/>
    <w:rsid w:val="008F120C"/>
    <w:rsid w:val="0090452D"/>
    <w:rsid w:val="0091386F"/>
    <w:rsid w:val="00922CF2"/>
    <w:rsid w:val="009628AA"/>
    <w:rsid w:val="00985887"/>
    <w:rsid w:val="00990DE4"/>
    <w:rsid w:val="00994430"/>
    <w:rsid w:val="009A6591"/>
    <w:rsid w:val="009B55E0"/>
    <w:rsid w:val="009D58C2"/>
    <w:rsid w:val="009E12AF"/>
    <w:rsid w:val="009F0307"/>
    <w:rsid w:val="009F705A"/>
    <w:rsid w:val="00A0400C"/>
    <w:rsid w:val="00A0728B"/>
    <w:rsid w:val="00A13019"/>
    <w:rsid w:val="00A142BE"/>
    <w:rsid w:val="00A16770"/>
    <w:rsid w:val="00A219CE"/>
    <w:rsid w:val="00A40886"/>
    <w:rsid w:val="00A41303"/>
    <w:rsid w:val="00A43105"/>
    <w:rsid w:val="00A6255C"/>
    <w:rsid w:val="00A64B0C"/>
    <w:rsid w:val="00A654F1"/>
    <w:rsid w:val="00AA00E8"/>
    <w:rsid w:val="00AC0C03"/>
    <w:rsid w:val="00AC1768"/>
    <w:rsid w:val="00AC1DAB"/>
    <w:rsid w:val="00AD68F7"/>
    <w:rsid w:val="00AF5202"/>
    <w:rsid w:val="00B20F65"/>
    <w:rsid w:val="00B36B50"/>
    <w:rsid w:val="00B37950"/>
    <w:rsid w:val="00B46E69"/>
    <w:rsid w:val="00B511D7"/>
    <w:rsid w:val="00B60A2A"/>
    <w:rsid w:val="00B72918"/>
    <w:rsid w:val="00B76A20"/>
    <w:rsid w:val="00B85A08"/>
    <w:rsid w:val="00B93748"/>
    <w:rsid w:val="00BA51C7"/>
    <w:rsid w:val="00BA6728"/>
    <w:rsid w:val="00BB31B1"/>
    <w:rsid w:val="00BB7F6D"/>
    <w:rsid w:val="00BE1EED"/>
    <w:rsid w:val="00BE5C01"/>
    <w:rsid w:val="00C003DF"/>
    <w:rsid w:val="00C06F4D"/>
    <w:rsid w:val="00C10B5C"/>
    <w:rsid w:val="00C26F69"/>
    <w:rsid w:val="00C469B8"/>
    <w:rsid w:val="00C51940"/>
    <w:rsid w:val="00C60809"/>
    <w:rsid w:val="00C652B9"/>
    <w:rsid w:val="00C75C7B"/>
    <w:rsid w:val="00C87020"/>
    <w:rsid w:val="00CA5E31"/>
    <w:rsid w:val="00CB7B98"/>
    <w:rsid w:val="00CC2C20"/>
    <w:rsid w:val="00CC43EC"/>
    <w:rsid w:val="00CD1E5E"/>
    <w:rsid w:val="00CD4A12"/>
    <w:rsid w:val="00CD6232"/>
    <w:rsid w:val="00CE0D6D"/>
    <w:rsid w:val="00CE20E2"/>
    <w:rsid w:val="00CE3CFA"/>
    <w:rsid w:val="00CE3F82"/>
    <w:rsid w:val="00CE4053"/>
    <w:rsid w:val="00CF4929"/>
    <w:rsid w:val="00CF5B73"/>
    <w:rsid w:val="00D007D5"/>
    <w:rsid w:val="00D1592B"/>
    <w:rsid w:val="00D17767"/>
    <w:rsid w:val="00D218CC"/>
    <w:rsid w:val="00D445CE"/>
    <w:rsid w:val="00D839C7"/>
    <w:rsid w:val="00D83A35"/>
    <w:rsid w:val="00DA7DF3"/>
    <w:rsid w:val="00DB1B3E"/>
    <w:rsid w:val="00DD32A5"/>
    <w:rsid w:val="00DD54CA"/>
    <w:rsid w:val="00DE3510"/>
    <w:rsid w:val="00E12444"/>
    <w:rsid w:val="00E16295"/>
    <w:rsid w:val="00E169CC"/>
    <w:rsid w:val="00E2359D"/>
    <w:rsid w:val="00E468DB"/>
    <w:rsid w:val="00E4721E"/>
    <w:rsid w:val="00E656E6"/>
    <w:rsid w:val="00E70982"/>
    <w:rsid w:val="00E75C37"/>
    <w:rsid w:val="00E80934"/>
    <w:rsid w:val="00E91FD6"/>
    <w:rsid w:val="00E961EA"/>
    <w:rsid w:val="00EB1A67"/>
    <w:rsid w:val="00EB2187"/>
    <w:rsid w:val="00EC3383"/>
    <w:rsid w:val="00EC34B9"/>
    <w:rsid w:val="00ED0406"/>
    <w:rsid w:val="00ED0888"/>
    <w:rsid w:val="00EE574E"/>
    <w:rsid w:val="00EF2B98"/>
    <w:rsid w:val="00EF33CA"/>
    <w:rsid w:val="00F33E31"/>
    <w:rsid w:val="00F37F97"/>
    <w:rsid w:val="00F46E25"/>
    <w:rsid w:val="00F479BA"/>
    <w:rsid w:val="00F56D65"/>
    <w:rsid w:val="00F71C8D"/>
    <w:rsid w:val="00F748FD"/>
    <w:rsid w:val="00F764F5"/>
    <w:rsid w:val="00F91C42"/>
    <w:rsid w:val="00F9371C"/>
    <w:rsid w:val="00FA04B6"/>
    <w:rsid w:val="00FB2FC2"/>
    <w:rsid w:val="00FC3626"/>
    <w:rsid w:val="00FD126A"/>
    <w:rsid w:val="00FD146E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498F25"/>
  <w15:docId w15:val="{258D24F4-B90E-46B6-B5A3-B990336A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92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20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0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-body">
    <w:name w:val="článek - body"/>
    <w:basedOn w:val="Normln"/>
    <w:link w:val="lnek-bodyChar"/>
    <w:qFormat/>
    <w:rsid w:val="008920B2"/>
    <w:pPr>
      <w:numPr>
        <w:numId w:val="9"/>
      </w:numPr>
      <w:spacing w:after="240" w:line="240" w:lineRule="auto"/>
      <w:jc w:val="both"/>
    </w:pPr>
    <w:rPr>
      <w:rFonts w:ascii="Arial" w:eastAsia="Times New Roman" w:hAnsi="Arial" w:cs="Arial"/>
      <w:color w:val="000000"/>
      <w:lang w:eastAsia="cs-CZ"/>
    </w:rPr>
  </w:style>
  <w:style w:type="character" w:customStyle="1" w:styleId="lnek-bodyChar">
    <w:name w:val="článek - body Char"/>
    <w:link w:val="lnek-body"/>
    <w:rsid w:val="008920B2"/>
    <w:rPr>
      <w:rFonts w:ascii="Arial" w:eastAsia="Times New Roman" w:hAnsi="Arial" w:cs="Arial"/>
      <w:color w:val="000000"/>
      <w:lang w:eastAsia="cs-CZ"/>
    </w:rPr>
  </w:style>
  <w:style w:type="paragraph" w:customStyle="1" w:styleId="nadpisI">
    <w:name w:val="nadpis I"/>
    <w:basedOn w:val="Normln"/>
    <w:link w:val="nadpisIChar"/>
    <w:qFormat/>
    <w:rsid w:val="008920B2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Arial"/>
      <w:b/>
      <w:sz w:val="28"/>
      <w:lang w:eastAsia="cs-CZ"/>
    </w:rPr>
  </w:style>
  <w:style w:type="character" w:customStyle="1" w:styleId="nadpisIChar">
    <w:name w:val="nadpis I Char"/>
    <w:link w:val="nadpisI"/>
    <w:rsid w:val="008920B2"/>
    <w:rPr>
      <w:rFonts w:ascii="Arial" w:eastAsia="Times New Roman" w:hAnsi="Arial" w:cs="Arial"/>
      <w:b/>
      <w:sz w:val="28"/>
      <w:lang w:eastAsia="cs-CZ"/>
    </w:rPr>
  </w:style>
  <w:style w:type="paragraph" w:customStyle="1" w:styleId="normalnitext">
    <w:name w:val="normalni text"/>
    <w:basedOn w:val="Normln"/>
    <w:link w:val="normalnitextChar"/>
    <w:qFormat/>
    <w:rsid w:val="008920B2"/>
    <w:p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nadpisa">
    <w:name w:val="nadpis a)"/>
    <w:basedOn w:val="Normln"/>
    <w:link w:val="nadpisaChar"/>
    <w:qFormat/>
    <w:rsid w:val="008920B2"/>
    <w:pPr>
      <w:numPr>
        <w:numId w:val="2"/>
      </w:numPr>
      <w:spacing w:after="240" w:line="240" w:lineRule="auto"/>
      <w:contextualSpacing/>
      <w:jc w:val="both"/>
    </w:pPr>
    <w:rPr>
      <w:rFonts w:ascii="Arial" w:eastAsia="Times New Roman" w:hAnsi="Arial" w:cs="Arial"/>
      <w:iCs/>
      <w:lang w:eastAsia="cs-CZ"/>
    </w:rPr>
  </w:style>
  <w:style w:type="character" w:customStyle="1" w:styleId="normalnitextChar">
    <w:name w:val="normalni text Char"/>
    <w:link w:val="normalnitext"/>
    <w:rsid w:val="008920B2"/>
    <w:rPr>
      <w:rFonts w:ascii="Arial" w:eastAsia="Times New Roman" w:hAnsi="Arial" w:cs="Arial"/>
      <w:lang w:eastAsia="cs-CZ"/>
    </w:rPr>
  </w:style>
  <w:style w:type="character" w:customStyle="1" w:styleId="nadpisaChar">
    <w:name w:val="nadpis a) Char"/>
    <w:link w:val="nadpisa"/>
    <w:rsid w:val="008920B2"/>
    <w:rPr>
      <w:rFonts w:ascii="Arial" w:eastAsia="Times New Roman" w:hAnsi="Arial" w:cs="Arial"/>
      <w:iCs/>
      <w:lang w:eastAsia="cs-CZ"/>
    </w:rPr>
  </w:style>
  <w:style w:type="paragraph" w:customStyle="1" w:styleId="lnek-body-psmeno">
    <w:name w:val="článek - body - písmeno"/>
    <w:basedOn w:val="Normln"/>
    <w:link w:val="lnek-body-psmenoChar"/>
    <w:qFormat/>
    <w:rsid w:val="008920B2"/>
    <w:pPr>
      <w:spacing w:after="240" w:line="240" w:lineRule="auto"/>
      <w:contextualSpacing/>
      <w:jc w:val="both"/>
    </w:pPr>
    <w:rPr>
      <w:rFonts w:ascii="Arial" w:eastAsia="Times New Roman" w:hAnsi="Arial" w:cs="Arial"/>
      <w:color w:val="000000"/>
      <w:lang w:eastAsia="cs-CZ"/>
    </w:rPr>
  </w:style>
  <w:style w:type="character" w:customStyle="1" w:styleId="lnek-body-psmenoChar">
    <w:name w:val="článek - body - písmeno Char"/>
    <w:link w:val="lnek-body-psmeno"/>
    <w:rsid w:val="008920B2"/>
    <w:rPr>
      <w:rFonts w:ascii="Arial" w:eastAsia="Times New Roman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0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20B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B57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B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B5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3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F97"/>
  </w:style>
  <w:style w:type="paragraph" w:styleId="Zpat">
    <w:name w:val="footer"/>
    <w:basedOn w:val="Normln"/>
    <w:link w:val="ZpatChar"/>
    <w:uiPriority w:val="99"/>
    <w:unhideWhenUsed/>
    <w:rsid w:val="00F3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F9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52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52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5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CC2C-B7F1-455D-9942-D70ADA78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7</Pages>
  <Words>2476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Klára</dc:creator>
  <cp:lastModifiedBy>Šírová Ludmila</cp:lastModifiedBy>
  <cp:revision>95</cp:revision>
  <cp:lastPrinted>2018-07-18T06:55:00Z</cp:lastPrinted>
  <dcterms:created xsi:type="dcterms:W3CDTF">2021-07-02T04:57:00Z</dcterms:created>
  <dcterms:modified xsi:type="dcterms:W3CDTF">2024-08-20T11:49:00Z</dcterms:modified>
</cp:coreProperties>
</file>