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D1193" w14:textId="510BC940" w:rsidR="00033268" w:rsidRPr="003B25F3" w:rsidRDefault="00851CDB" w:rsidP="003B25F3">
      <w:pPr>
        <w:pStyle w:val="Nadpis1"/>
        <w:spacing w:before="0"/>
        <w:jc w:val="center"/>
        <w:rPr>
          <w:rFonts w:ascii="Arial" w:hAnsi="Arial" w:cs="Arial"/>
          <w:color w:val="auto"/>
        </w:rPr>
      </w:pPr>
      <w:r w:rsidRPr="003B25F3">
        <w:rPr>
          <w:rFonts w:ascii="Arial" w:hAnsi="Arial" w:cs="Arial"/>
          <w:color w:val="auto"/>
        </w:rPr>
        <w:t xml:space="preserve">Informace o </w:t>
      </w:r>
      <w:r w:rsidR="003B25F3" w:rsidRPr="003B25F3">
        <w:rPr>
          <w:rFonts w:ascii="Arial" w:hAnsi="Arial" w:cs="Arial"/>
          <w:color w:val="auto"/>
        </w:rPr>
        <w:t xml:space="preserve">možnosti </w:t>
      </w:r>
      <w:r w:rsidRPr="003B25F3">
        <w:rPr>
          <w:rFonts w:ascii="Arial" w:hAnsi="Arial" w:cs="Arial"/>
          <w:color w:val="auto"/>
        </w:rPr>
        <w:t>zahrnutí práce dobrovolníků d</w:t>
      </w:r>
      <w:r w:rsidR="00EF069C">
        <w:rPr>
          <w:rFonts w:ascii="Arial" w:hAnsi="Arial" w:cs="Arial"/>
          <w:color w:val="auto"/>
        </w:rPr>
        <w:t>o spolufinancování projektu 202</w:t>
      </w:r>
      <w:r w:rsidR="009D3606">
        <w:rPr>
          <w:rFonts w:ascii="Arial" w:hAnsi="Arial" w:cs="Arial"/>
          <w:color w:val="auto"/>
        </w:rPr>
        <w:t>5</w:t>
      </w:r>
    </w:p>
    <w:p w14:paraId="53980AF2" w14:textId="77777777" w:rsidR="00033268" w:rsidRDefault="00033268">
      <w:pPr>
        <w:pStyle w:val="Zkladntext"/>
        <w:rPr>
          <w:b/>
          <w:sz w:val="20"/>
        </w:rPr>
      </w:pPr>
    </w:p>
    <w:p w14:paraId="0AE8B7E4" w14:textId="323D4330" w:rsidR="00B65448" w:rsidRDefault="00851CDB" w:rsidP="00B65448">
      <w:pPr>
        <w:spacing w:before="94" w:line="266" w:lineRule="auto"/>
        <w:ind w:left="216" w:right="213"/>
        <w:jc w:val="both"/>
      </w:pPr>
      <w:r>
        <w:t xml:space="preserve">Dokument s názvem </w:t>
      </w:r>
      <w:r>
        <w:rPr>
          <w:b/>
        </w:rPr>
        <w:t xml:space="preserve">Zásady vlády pro poskytování dotací ze státního rozpočtu České republiky nestátním neziskovým organizacím ústředními orgány státní správy </w:t>
      </w:r>
      <w:r w:rsidRPr="006E24F2">
        <w:t>schválený</w:t>
      </w:r>
      <w:r w:rsidRPr="006E24F2">
        <w:rPr>
          <w:spacing w:val="28"/>
        </w:rPr>
        <w:t xml:space="preserve"> </w:t>
      </w:r>
      <w:r w:rsidRPr="006E24F2">
        <w:t>usnesením</w:t>
      </w:r>
      <w:r w:rsidRPr="006E24F2">
        <w:rPr>
          <w:spacing w:val="34"/>
        </w:rPr>
        <w:t xml:space="preserve"> </w:t>
      </w:r>
      <w:r w:rsidRPr="006E24F2">
        <w:t>vlády</w:t>
      </w:r>
      <w:r w:rsidRPr="006E24F2">
        <w:rPr>
          <w:spacing w:val="31"/>
        </w:rPr>
        <w:t xml:space="preserve"> </w:t>
      </w:r>
      <w:r w:rsidRPr="00BF5B1C">
        <w:t>ze</w:t>
      </w:r>
      <w:r w:rsidRPr="00BF5B1C">
        <w:rPr>
          <w:spacing w:val="30"/>
        </w:rPr>
        <w:t xml:space="preserve"> </w:t>
      </w:r>
      <w:r w:rsidRPr="00E01389">
        <w:t>dne</w:t>
      </w:r>
      <w:r w:rsidRPr="00E01389">
        <w:rPr>
          <w:spacing w:val="31"/>
        </w:rPr>
        <w:t xml:space="preserve"> </w:t>
      </w:r>
      <w:r w:rsidRPr="00E01389">
        <w:t>1.</w:t>
      </w:r>
      <w:r w:rsidRPr="00E01389">
        <w:rPr>
          <w:spacing w:val="31"/>
        </w:rPr>
        <w:t xml:space="preserve"> </w:t>
      </w:r>
      <w:r w:rsidR="006E24F2" w:rsidRPr="00E01389">
        <w:t xml:space="preserve">června </w:t>
      </w:r>
      <w:r w:rsidRPr="00E01389">
        <w:t>20</w:t>
      </w:r>
      <w:r w:rsidR="006E24F2" w:rsidRPr="00E01389">
        <w:t>20</w:t>
      </w:r>
      <w:r w:rsidRPr="00E01389">
        <w:rPr>
          <w:spacing w:val="30"/>
        </w:rPr>
        <w:t xml:space="preserve"> </w:t>
      </w:r>
      <w:r w:rsidRPr="00E01389">
        <w:t>č.</w:t>
      </w:r>
      <w:r w:rsidRPr="00E01389">
        <w:rPr>
          <w:spacing w:val="31"/>
        </w:rPr>
        <w:t xml:space="preserve"> </w:t>
      </w:r>
      <w:r w:rsidR="006E24F2" w:rsidRPr="00E01389">
        <w:t>591</w:t>
      </w:r>
      <w:r w:rsidRPr="00BF5B1C">
        <w:t xml:space="preserve"> (dále</w:t>
      </w:r>
      <w:r>
        <w:t xml:space="preserve"> jen Zásady)</w:t>
      </w:r>
      <w:r w:rsidR="00C96EF7">
        <w:rPr>
          <w:rStyle w:val="Znakapoznpodarou"/>
        </w:rPr>
        <w:footnoteReference w:id="1"/>
      </w:r>
      <w:r>
        <w:t xml:space="preserve">, umožňuje </w:t>
      </w:r>
      <w:r w:rsidR="00B65448">
        <w:br/>
      </w:r>
      <w:r>
        <w:t xml:space="preserve">v části druhé odst. </w:t>
      </w:r>
      <w:r w:rsidR="008471B0">
        <w:t>9</w:t>
      </w:r>
      <w:r>
        <w:t xml:space="preserve"> ústřednímu orgánu, který poskytuje dotace nestátním </w:t>
      </w:r>
      <w:r w:rsidR="000423D4">
        <w:t>neziskovým organizacím</w:t>
      </w:r>
      <w:r>
        <w:t>, hodnověrným způsobem zahrnout</w:t>
      </w:r>
      <w:r w:rsidR="003B25F3">
        <w:t xml:space="preserve"> do spolufinancování projektu i </w:t>
      </w:r>
      <w:r w:rsidR="000423D4">
        <w:t>práci dobrovolníků</w:t>
      </w:r>
      <w:r w:rsidR="00B65448">
        <w:t xml:space="preserve">, </w:t>
      </w:r>
      <w:r w:rsidR="00B65448" w:rsidRPr="00317761">
        <w:t xml:space="preserve">a to </w:t>
      </w:r>
      <w:r w:rsidR="00B65448">
        <w:t xml:space="preserve">až </w:t>
      </w:r>
      <w:r w:rsidR="00B65448" w:rsidRPr="00317761">
        <w:t xml:space="preserve">do výše 10 % celkových </w:t>
      </w:r>
      <w:r w:rsidR="00B65448">
        <w:t xml:space="preserve">rozpočtovaných </w:t>
      </w:r>
      <w:r w:rsidR="00B65448" w:rsidRPr="00317761">
        <w:t>nákladů</w:t>
      </w:r>
      <w:r w:rsidR="00B65448">
        <w:t>/výdajů</w:t>
      </w:r>
      <w:r w:rsidR="00B65448" w:rsidRPr="00317761">
        <w:t xml:space="preserve"> projekt</w:t>
      </w:r>
      <w:r w:rsidR="00B65448">
        <w:t>u, na který je dotace požadována</w:t>
      </w:r>
      <w:r w:rsidR="00B65448" w:rsidRPr="00317761">
        <w:t>.</w:t>
      </w:r>
    </w:p>
    <w:p w14:paraId="1CE34E5E" w14:textId="77777777" w:rsidR="00033268" w:rsidRPr="003B25F3" w:rsidRDefault="00771EC9">
      <w:pPr>
        <w:spacing w:before="94" w:line="266" w:lineRule="auto"/>
        <w:ind w:left="216" w:right="213"/>
        <w:jc w:val="both"/>
      </w:pPr>
      <w:r>
        <w:t xml:space="preserve">Za dobrovolnickou činnost se dle Zásad považuje veřejně prospěšná činnost, která je vykonávána dobrovolníkem, který dosáhl alespoň 15 let věku, ze svobodné vůle, ve svém volném čase a bez nároku na odměnu, protislužbu nebo jiné zvýhodnění. Za dobrovolnickou činnost se nepovažuje činnost, která je vykonávána z důvodu plnění povinností vyplývajících z právních či jiných předpisů nebo je vykonávána v rámci podnikatelské nebo jiné výdělečné činnosti. </w:t>
      </w:r>
    </w:p>
    <w:p w14:paraId="574229E3" w14:textId="77777777" w:rsidR="00FB5F59" w:rsidRDefault="00EF48D8">
      <w:pPr>
        <w:pStyle w:val="Zkladntext"/>
        <w:spacing w:before="192" w:line="264" w:lineRule="auto"/>
        <w:ind w:left="216" w:right="211"/>
        <w:jc w:val="both"/>
      </w:pPr>
      <w:r>
        <w:t xml:space="preserve">Pro stanovení výše hodnoty dobrovolnické činnosti </w:t>
      </w:r>
      <w:r w:rsidR="003223AD">
        <w:t xml:space="preserve">se </w:t>
      </w:r>
      <w:r>
        <w:t xml:space="preserve">vychází z mediánu </w:t>
      </w:r>
      <w:r w:rsidR="00FB5F59">
        <w:t>hrubé mě</w:t>
      </w:r>
      <w:r>
        <w:t>síční mzdy a mediánu průměrné placené doby ve mzdové sféře z </w:t>
      </w:r>
      <w:r w:rsidR="00FB5F59">
        <w:t>pos</w:t>
      </w:r>
      <w:r>
        <w:t xml:space="preserve">ledního publikovaného mediánu. Podílem těchto dvou hodnot se získá medián hodinové sazby činnosti dobrovolníka, která se zaokrouhlí na celé koruny směrem dolů. </w:t>
      </w:r>
    </w:p>
    <w:p w14:paraId="204DDD15" w14:textId="5DE0980C" w:rsidR="00033268" w:rsidRDefault="00851CDB">
      <w:pPr>
        <w:pStyle w:val="Zkladntext"/>
        <w:spacing w:before="192" w:line="264" w:lineRule="auto"/>
        <w:ind w:left="216" w:right="211"/>
        <w:jc w:val="both"/>
      </w:pPr>
      <w:r>
        <w:t xml:space="preserve">Medián hodinové sazby </w:t>
      </w:r>
      <w:r w:rsidR="00EF069C">
        <w:t>ve mzdové sféře za rok 20</w:t>
      </w:r>
      <w:r w:rsidR="00FE46F0">
        <w:t>2</w:t>
      </w:r>
      <w:r w:rsidR="007A4BF5">
        <w:t>3</w:t>
      </w:r>
      <w:r>
        <w:t xml:space="preserve"> se </w:t>
      </w:r>
      <w:r w:rsidR="003B25F3">
        <w:t>zjistí z Informačního systému o </w:t>
      </w:r>
      <w:r>
        <w:t xml:space="preserve">průměrném </w:t>
      </w:r>
      <w:r w:rsidRPr="00E51373">
        <w:t>výdělku</w:t>
      </w:r>
      <w:r w:rsidR="003223AD" w:rsidRPr="00E51373">
        <w:t xml:space="preserve"> Českého statistického úřadu</w:t>
      </w:r>
      <w:r w:rsidR="00C96EF7">
        <w:rPr>
          <w:rStyle w:val="Znakapoznpodarou"/>
        </w:rPr>
        <w:footnoteReference w:id="2"/>
      </w:r>
      <w:r w:rsidRPr="00E51373">
        <w:t>, konkrétně v do</w:t>
      </w:r>
      <w:r w:rsidR="00EF069C" w:rsidRPr="00E51373">
        <w:t>kumentu s názvem CR_</w:t>
      </w:r>
      <w:r w:rsidR="00FE46F0">
        <w:t>2</w:t>
      </w:r>
      <w:r w:rsidR="007A4BF5">
        <w:t>3</w:t>
      </w:r>
      <w:r w:rsidR="00FE46F0">
        <w:t>4</w:t>
      </w:r>
      <w:r w:rsidRPr="00E51373">
        <w:t>_MZS.pdf na straně</w:t>
      </w:r>
      <w:r>
        <w:t xml:space="preserve"> 15, kde je uveden mediá</w:t>
      </w:r>
      <w:r w:rsidR="00EF069C">
        <w:t>n hrubé měsíční mzdy za rok 20</w:t>
      </w:r>
      <w:r w:rsidR="00FE46F0">
        <w:t>2</w:t>
      </w:r>
      <w:r w:rsidR="007A4BF5">
        <w:t>3</w:t>
      </w:r>
      <w:r w:rsidR="00EF069C">
        <w:t xml:space="preserve"> ve výši </w:t>
      </w:r>
      <w:r w:rsidR="00FE46F0">
        <w:t>3</w:t>
      </w:r>
      <w:r w:rsidR="007A4BF5">
        <w:t>8</w:t>
      </w:r>
      <w:r w:rsidR="00FE46F0">
        <w:t>.</w:t>
      </w:r>
      <w:r w:rsidR="007A4BF5">
        <w:t>236</w:t>
      </w:r>
      <w:r w:rsidR="00EA534E">
        <w:t xml:space="preserve"> </w:t>
      </w:r>
      <w:r>
        <w:t>Kč a dále p</w:t>
      </w:r>
      <w:r w:rsidR="00EF069C">
        <w:t>růměrná placená doba ve výši 17</w:t>
      </w:r>
      <w:r w:rsidR="00FE46F0">
        <w:t>2,</w:t>
      </w:r>
      <w:r w:rsidR="007A4BF5">
        <w:t>4</w:t>
      </w:r>
      <w:r>
        <w:t xml:space="preserve"> hod./měsíc. Podílem těchto dvou hodnot se získá medián hodinové </w:t>
      </w:r>
      <w:r w:rsidR="00EF069C">
        <w:t xml:space="preserve">sazby ve výši </w:t>
      </w:r>
      <w:r w:rsidR="00FE46F0">
        <w:t>2</w:t>
      </w:r>
      <w:r w:rsidR="007A4BF5">
        <w:t>21</w:t>
      </w:r>
      <w:r>
        <w:t xml:space="preserve"> Kč/hod. (částka zaokrouhlena na celé koruny směrem</w:t>
      </w:r>
      <w:r>
        <w:rPr>
          <w:spacing w:val="-21"/>
        </w:rPr>
        <w:t xml:space="preserve"> </w:t>
      </w:r>
      <w:r>
        <w:t>dolů).</w:t>
      </w:r>
    </w:p>
    <w:p w14:paraId="66272C85" w14:textId="77777777" w:rsidR="00033268" w:rsidRDefault="00851CDB">
      <w:pPr>
        <w:pStyle w:val="Zkladntext"/>
        <w:spacing w:before="4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F9A09DD" wp14:editId="637934F5">
                <wp:simplePos x="0" y="0"/>
                <wp:positionH relativeFrom="page">
                  <wp:posOffset>826770</wp:posOffset>
                </wp:positionH>
                <wp:positionV relativeFrom="paragraph">
                  <wp:posOffset>133350</wp:posOffset>
                </wp:positionV>
                <wp:extent cx="5905500" cy="588010"/>
                <wp:effectExtent l="0" t="0" r="19050" b="2159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88010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8BCE8" w14:textId="157AB585" w:rsidR="00033268" w:rsidRDefault="00851CDB" w:rsidP="00973512">
                            <w:pPr>
                              <w:spacing w:before="14" w:line="266" w:lineRule="auto"/>
                              <w:ind w:left="108" w:right="10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Při plánování </w:t>
                            </w:r>
                            <w:r w:rsidR="00EF069C">
                              <w:rPr>
                                <w:b/>
                              </w:rPr>
                              <w:t>spoluúčasti k dotaci na rok 202</w:t>
                            </w:r>
                            <w:r w:rsidR="007A4BF5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 xml:space="preserve"> mohou žadatelé v případě zahrnutí práce dobro</w:t>
                            </w:r>
                            <w:r w:rsidR="00FE46F0">
                              <w:rPr>
                                <w:b/>
                              </w:rPr>
                              <w:t>volníků kalkulovat se sazbou 2</w:t>
                            </w:r>
                            <w:r w:rsidR="007A4BF5">
                              <w:rPr>
                                <w:b/>
                              </w:rPr>
                              <w:t>21</w:t>
                            </w:r>
                            <w:r w:rsidR="00EA53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Kč/hod.</w:t>
                            </w:r>
                            <w:r w:rsidR="00FC5929">
                              <w:rPr>
                                <w:b/>
                              </w:rPr>
                              <w:t>, a to do výše 10 % celkových nákladů</w:t>
                            </w:r>
                            <w:r w:rsidR="005B507A">
                              <w:rPr>
                                <w:b/>
                              </w:rPr>
                              <w:t>/výdajů</w:t>
                            </w:r>
                            <w:r w:rsidR="00FC5929">
                              <w:rPr>
                                <w:b/>
                              </w:rPr>
                              <w:t xml:space="preserve"> projek</w:t>
                            </w:r>
                            <w:r w:rsidR="005B507A">
                              <w:rPr>
                                <w:b/>
                              </w:rPr>
                              <w:t>t</w:t>
                            </w:r>
                            <w:r w:rsidR="00FC5929">
                              <w:rPr>
                                <w:b/>
                              </w:rPr>
                              <w:t>u, na který je dotace požadována.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A09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1pt;margin-top:10.5pt;width:465pt;height:46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" fillcolor="#94b3d6" strokeweight=".48pt">
                <v:textbox inset="0,0,0,0">
                  <w:txbxContent>
                    <w:p w14:paraId="1868BCE8" w14:textId="157AB585" w:rsidR="00033268" w:rsidRDefault="00851CDB" w:rsidP="00973512">
                      <w:pPr>
                        <w:spacing w:before="14" w:line="266" w:lineRule="auto"/>
                        <w:ind w:left="108" w:right="10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Při plánování </w:t>
                      </w:r>
                      <w:r w:rsidR="00EF069C">
                        <w:rPr>
                          <w:b/>
                        </w:rPr>
                        <w:t>spoluúčasti k dotaci na rok 202</w:t>
                      </w:r>
                      <w:r w:rsidR="007A4BF5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 mohou žadatelé v případě zahrnutí práce dobro</w:t>
                      </w:r>
                      <w:r w:rsidR="00FE46F0">
                        <w:rPr>
                          <w:b/>
                        </w:rPr>
                        <w:t>volníků kalkulovat se sazbou 2</w:t>
                      </w:r>
                      <w:r w:rsidR="007A4BF5">
                        <w:rPr>
                          <w:b/>
                        </w:rPr>
                        <w:t>21</w:t>
                      </w:r>
                      <w:r w:rsidR="00EA53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Kč/hod.</w:t>
                      </w:r>
                      <w:r w:rsidR="00FC5929">
                        <w:rPr>
                          <w:b/>
                        </w:rPr>
                        <w:t>, a to do výše 10 % celkových nákladů</w:t>
                      </w:r>
                      <w:r w:rsidR="005B507A">
                        <w:rPr>
                          <w:b/>
                        </w:rPr>
                        <w:t>/výdajů</w:t>
                      </w:r>
                      <w:r w:rsidR="00FC5929">
                        <w:rPr>
                          <w:b/>
                        </w:rPr>
                        <w:t xml:space="preserve"> projek</w:t>
                      </w:r>
                      <w:r w:rsidR="005B507A">
                        <w:rPr>
                          <w:b/>
                        </w:rPr>
                        <w:t>t</w:t>
                      </w:r>
                      <w:r w:rsidR="00FC5929">
                        <w:rPr>
                          <w:b/>
                        </w:rPr>
                        <w:t>u, na který je dotace požadována.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3C582" w14:textId="77777777" w:rsidR="00033268" w:rsidRDefault="00033268">
      <w:pPr>
        <w:pStyle w:val="Zkladntext"/>
        <w:spacing w:before="2"/>
        <w:rPr>
          <w:sz w:val="6"/>
        </w:rPr>
      </w:pPr>
    </w:p>
    <w:p w14:paraId="481CC1E0" w14:textId="77777777" w:rsidR="00B65448" w:rsidRDefault="00B65448" w:rsidP="00771EC9">
      <w:pPr>
        <w:pStyle w:val="Zkladntext"/>
        <w:ind w:left="142" w:right="154"/>
        <w:jc w:val="both"/>
      </w:pPr>
    </w:p>
    <w:p w14:paraId="12468A51" w14:textId="77777777" w:rsidR="00B65448" w:rsidRDefault="00771EC9">
      <w:pPr>
        <w:pStyle w:val="Zkladntext"/>
        <w:ind w:left="142" w:right="154"/>
        <w:jc w:val="both"/>
        <w:rPr>
          <w:sz w:val="24"/>
        </w:rPr>
      </w:pPr>
      <w:r>
        <w:t xml:space="preserve">Pro výkon dobrovolnické činnosti je povinen příjemce dotace vést průkaznou evidenci odvedené dobrovolnické činnosti jednotlivých dobrovolníků, a to alespoň v rozsahu datum zaevidování, jméno, příjmení a datum narození dobrovolníka, předmět činnosti, místo </w:t>
      </w:r>
      <w:r>
        <w:br/>
        <w:t xml:space="preserve">a časový rozsah vykonávaného dobrovolnictví v jednotlivých dnech. </w:t>
      </w:r>
    </w:p>
    <w:p w14:paraId="3734F408" w14:textId="77777777" w:rsidR="00FB619F" w:rsidRDefault="00FB619F">
      <w:pPr>
        <w:pStyle w:val="Zkladntext"/>
        <w:rPr>
          <w:sz w:val="20"/>
        </w:rPr>
      </w:pPr>
    </w:p>
    <w:p w14:paraId="0582B000" w14:textId="77777777" w:rsidR="00FB619F" w:rsidRDefault="00FB619F">
      <w:pPr>
        <w:pStyle w:val="Zkladntext"/>
        <w:rPr>
          <w:sz w:val="20"/>
        </w:rPr>
      </w:pPr>
    </w:p>
    <w:p w14:paraId="01A6A25B" w14:textId="77777777" w:rsidR="00FB619F" w:rsidRDefault="00FB619F">
      <w:pPr>
        <w:pStyle w:val="Zkladntext"/>
        <w:rPr>
          <w:sz w:val="20"/>
        </w:rPr>
      </w:pPr>
    </w:p>
    <w:p w14:paraId="70AF32EE" w14:textId="77777777" w:rsidR="00FB619F" w:rsidRDefault="00FB619F">
      <w:pPr>
        <w:pStyle w:val="Zkladntext"/>
        <w:rPr>
          <w:sz w:val="20"/>
        </w:rPr>
      </w:pPr>
    </w:p>
    <w:p w14:paraId="0C41C54F" w14:textId="77777777" w:rsidR="00FB5F59" w:rsidRDefault="00FB5F59">
      <w:pPr>
        <w:pStyle w:val="Zkladntext"/>
        <w:rPr>
          <w:sz w:val="20"/>
        </w:rPr>
      </w:pPr>
    </w:p>
    <w:p w14:paraId="523B157B" w14:textId="77777777" w:rsidR="00FB5F59" w:rsidRDefault="00FB5F59">
      <w:pPr>
        <w:pStyle w:val="Zkladntext"/>
        <w:rPr>
          <w:sz w:val="20"/>
        </w:rPr>
      </w:pPr>
    </w:p>
    <w:p w14:paraId="4D434CC6" w14:textId="1F5A3AF1" w:rsidR="00033268" w:rsidRDefault="00033268">
      <w:pPr>
        <w:spacing w:before="14"/>
        <w:ind w:left="216"/>
        <w:jc w:val="both"/>
        <w:rPr>
          <w:sz w:val="18"/>
        </w:rPr>
      </w:pPr>
    </w:p>
    <w:sectPr w:rsidR="00033268" w:rsidSect="00C96EF7">
      <w:headerReference w:type="default" r:id="rId7"/>
      <w:type w:val="continuous"/>
      <w:pgSz w:w="11910" w:h="16840"/>
      <w:pgMar w:top="540" w:right="1200" w:bottom="709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BC66" w14:textId="77777777" w:rsidR="00CC158F" w:rsidRDefault="00CC158F" w:rsidP="003B25F3">
      <w:r>
        <w:separator/>
      </w:r>
    </w:p>
  </w:endnote>
  <w:endnote w:type="continuationSeparator" w:id="0">
    <w:p w14:paraId="02CAB86C" w14:textId="77777777" w:rsidR="00CC158F" w:rsidRDefault="00CC158F" w:rsidP="003B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DBD16" w14:textId="77777777" w:rsidR="00CC158F" w:rsidRDefault="00CC158F" w:rsidP="003B25F3">
      <w:r>
        <w:separator/>
      </w:r>
    </w:p>
  </w:footnote>
  <w:footnote w:type="continuationSeparator" w:id="0">
    <w:p w14:paraId="388FB54E" w14:textId="77777777" w:rsidR="00CC158F" w:rsidRDefault="00CC158F" w:rsidP="003B25F3">
      <w:r>
        <w:continuationSeparator/>
      </w:r>
    </w:p>
  </w:footnote>
  <w:footnote w:id="1">
    <w:p w14:paraId="73475B15" w14:textId="2CD1E878" w:rsidR="00C96EF7" w:rsidRPr="00C96EF7" w:rsidRDefault="00C96EF7" w:rsidP="00C96EF7">
      <w:pPr>
        <w:spacing w:before="38" w:line="254" w:lineRule="auto"/>
        <w:ind w:right="464"/>
        <w:jc w:val="both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 xml:space="preserve">Zdroj: </w:t>
      </w:r>
      <w:hyperlink r:id="rId1" w:history="1">
        <w:r w:rsidR="00D06E5E" w:rsidRPr="000126E3">
          <w:rPr>
            <w:rStyle w:val="Hypertextovodkaz"/>
            <w:sz w:val="18"/>
          </w:rPr>
          <w:t>https://vlada.gov.cz/assets/ppov/rnno/usneseni-vlady/Zasady.pdf</w:t>
        </w:r>
      </w:hyperlink>
    </w:p>
  </w:footnote>
  <w:footnote w:id="2">
    <w:p w14:paraId="2E271B3D" w14:textId="41F6DCCA" w:rsidR="00C96EF7" w:rsidRDefault="00C96E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 xml:space="preserve">Zdroj: </w:t>
      </w:r>
      <w:hyperlink r:id="rId2" w:history="1">
        <w:r w:rsidRPr="00D2617F">
          <w:rPr>
            <w:rStyle w:val="Hypertextovodkaz"/>
            <w:sz w:val="18"/>
            <w:szCs w:val="18"/>
          </w:rPr>
          <w:t>https://www.ispv.cz/cz/Vysledky-setreni/Aktualni.aspx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EC9C" w14:textId="77777777" w:rsidR="003B25F3" w:rsidRDefault="003B25F3">
    <w:pPr>
      <w:pStyle w:val="Zhlav"/>
    </w:pPr>
  </w:p>
  <w:tbl>
    <w:tblPr>
      <w:tblW w:w="5242" w:type="pct"/>
      <w:tblLook w:val="04A0" w:firstRow="1" w:lastRow="0" w:firstColumn="1" w:lastColumn="0" w:noHBand="0" w:noVBand="1"/>
    </w:tblPr>
    <w:tblGrid>
      <w:gridCol w:w="6636"/>
      <w:gridCol w:w="3561"/>
    </w:tblGrid>
    <w:tr w:rsidR="003B25F3" w14:paraId="1F35F46C" w14:textId="77777777" w:rsidTr="00EC6942">
      <w:trPr>
        <w:trHeight w:val="1211"/>
      </w:trPr>
      <w:tc>
        <w:tcPr>
          <w:tcW w:w="3254" w:type="pct"/>
          <w:shd w:val="clear" w:color="auto" w:fill="auto"/>
        </w:tcPr>
        <w:p w14:paraId="2FF1F0AB" w14:textId="77777777" w:rsidR="003B25F3" w:rsidRDefault="003B25F3" w:rsidP="00EC6942">
          <w:pPr>
            <w:rPr>
              <w:rFonts w:ascii="Cambria" w:hAnsi="Cambria"/>
              <w:color w:val="1F497D"/>
              <w:sz w:val="28"/>
              <w:szCs w:val="26"/>
            </w:rPr>
          </w:pPr>
          <w:r w:rsidRPr="00142CF0">
            <w:rPr>
              <w:rFonts w:ascii="Cambria" w:hAnsi="Cambria"/>
              <w:b/>
              <w:color w:val="1F497D"/>
              <w:sz w:val="40"/>
              <w:szCs w:val="40"/>
            </w:rPr>
            <w:t>Úřad vlády České republiky</w:t>
          </w:r>
          <w:r w:rsidRPr="00F76890">
            <w:rPr>
              <w:rFonts w:ascii="Cambria" w:hAnsi="Cambria"/>
              <w:b/>
              <w:color w:val="1F497D"/>
              <w:sz w:val="44"/>
              <w:szCs w:val="40"/>
            </w:rPr>
            <w:br/>
          </w:r>
          <w:r w:rsidRPr="00142CF0">
            <w:rPr>
              <w:rFonts w:ascii="Cambria" w:hAnsi="Cambria"/>
              <w:color w:val="1F497D"/>
              <w:sz w:val="28"/>
              <w:szCs w:val="26"/>
            </w:rPr>
            <w:t>Odbor lidských práv a ochrany menšin</w:t>
          </w:r>
        </w:p>
        <w:p w14:paraId="6FAA9B59" w14:textId="77777777" w:rsidR="00C21477" w:rsidRPr="00D62E2F" w:rsidRDefault="00C21477" w:rsidP="00EC6942">
          <w:pPr>
            <w:rPr>
              <w:rFonts w:ascii="Cambria" w:hAnsi="Cambria"/>
              <w:color w:val="1F497D"/>
              <w:sz w:val="28"/>
              <w:szCs w:val="26"/>
            </w:rPr>
          </w:pPr>
          <w:r>
            <w:rPr>
              <w:rFonts w:ascii="Cambria" w:hAnsi="Cambria"/>
              <w:color w:val="1F497D"/>
              <w:sz w:val="28"/>
              <w:szCs w:val="26"/>
            </w:rPr>
            <w:t>Odbor rovnosti žen a mužů</w:t>
          </w:r>
        </w:p>
      </w:tc>
      <w:tc>
        <w:tcPr>
          <w:tcW w:w="1746" w:type="pct"/>
          <w:shd w:val="clear" w:color="auto" w:fill="auto"/>
        </w:tcPr>
        <w:p w14:paraId="7F168D41" w14:textId="77777777" w:rsidR="003B25F3" w:rsidRDefault="003B25F3" w:rsidP="00EC6942">
          <w:pPr>
            <w:pStyle w:val="Zhlav"/>
            <w:jc w:val="right"/>
          </w:pPr>
          <w:r>
            <w:rPr>
              <w:b/>
              <w:noProof/>
              <w:color w:val="1F497D"/>
              <w:sz w:val="44"/>
              <w:szCs w:val="28"/>
              <w:lang w:bidi="ar-SA"/>
            </w:rPr>
            <w:drawing>
              <wp:inline distT="0" distB="0" distL="0" distR="0" wp14:anchorId="0D063EA4" wp14:editId="439DD106">
                <wp:extent cx="1514475" cy="440720"/>
                <wp:effectExtent l="0" t="0" r="0" b="0"/>
                <wp:docPr id="7" name="Obrázek 7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EE85CF" w14:textId="77777777" w:rsidR="003B25F3" w:rsidRDefault="003B25F3">
    <w:pPr>
      <w:pStyle w:val="Zhlav"/>
    </w:pPr>
  </w:p>
  <w:p w14:paraId="20904758" w14:textId="77777777" w:rsidR="003B25F3" w:rsidRDefault="003B25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268"/>
    <w:rsid w:val="00033268"/>
    <w:rsid w:val="000423D4"/>
    <w:rsid w:val="000E1A54"/>
    <w:rsid w:val="00110AFE"/>
    <w:rsid w:val="00126961"/>
    <w:rsid w:val="00262F20"/>
    <w:rsid w:val="003223AD"/>
    <w:rsid w:val="00396C9A"/>
    <w:rsid w:val="003B25F3"/>
    <w:rsid w:val="004917EF"/>
    <w:rsid w:val="004A6F87"/>
    <w:rsid w:val="005B507A"/>
    <w:rsid w:val="005B6B29"/>
    <w:rsid w:val="005E1336"/>
    <w:rsid w:val="006C4ED3"/>
    <w:rsid w:val="006E24F2"/>
    <w:rsid w:val="006F529A"/>
    <w:rsid w:val="0076563B"/>
    <w:rsid w:val="00771EC9"/>
    <w:rsid w:val="007A4BF5"/>
    <w:rsid w:val="008471B0"/>
    <w:rsid w:val="00851CDB"/>
    <w:rsid w:val="00924ED2"/>
    <w:rsid w:val="00945C03"/>
    <w:rsid w:val="00973512"/>
    <w:rsid w:val="009D3606"/>
    <w:rsid w:val="009D5D13"/>
    <w:rsid w:val="00A05CD0"/>
    <w:rsid w:val="00A1441F"/>
    <w:rsid w:val="00A14CBE"/>
    <w:rsid w:val="00A56E60"/>
    <w:rsid w:val="00A6255C"/>
    <w:rsid w:val="00B51A46"/>
    <w:rsid w:val="00B65448"/>
    <w:rsid w:val="00B95E41"/>
    <w:rsid w:val="00BF5B1C"/>
    <w:rsid w:val="00C21477"/>
    <w:rsid w:val="00C51A66"/>
    <w:rsid w:val="00C96EF7"/>
    <w:rsid w:val="00CC158F"/>
    <w:rsid w:val="00CF4388"/>
    <w:rsid w:val="00D06E5E"/>
    <w:rsid w:val="00D8382A"/>
    <w:rsid w:val="00E01389"/>
    <w:rsid w:val="00E33566"/>
    <w:rsid w:val="00E51373"/>
    <w:rsid w:val="00EA534E"/>
    <w:rsid w:val="00ED2E73"/>
    <w:rsid w:val="00ED375B"/>
    <w:rsid w:val="00EF069C"/>
    <w:rsid w:val="00EF48D8"/>
    <w:rsid w:val="00F375A2"/>
    <w:rsid w:val="00FB0208"/>
    <w:rsid w:val="00FB5F59"/>
    <w:rsid w:val="00FB619F"/>
    <w:rsid w:val="00FC5929"/>
    <w:rsid w:val="00FE46F0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1D84"/>
  <w15:docId w15:val="{D5207B67-404F-41F7-B0D6-29D706E9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B2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423D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B2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B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5F3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B2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5F3"/>
    <w:rPr>
      <w:rFonts w:ascii="Arial" w:eastAsia="Arial" w:hAnsi="Arial" w:cs="Arial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5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5F3"/>
    <w:rPr>
      <w:rFonts w:ascii="Tahoma" w:eastAsia="Arial" w:hAnsi="Tahoma" w:cs="Tahoma"/>
      <w:sz w:val="16"/>
      <w:szCs w:val="16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EF06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A5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53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534E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34E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48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48D8"/>
    <w:rPr>
      <w:rFonts w:ascii="Arial" w:eastAsia="Arial" w:hAnsi="Arial" w:cs="Arial"/>
      <w:sz w:val="20"/>
      <w:szCs w:val="20"/>
      <w:lang w:val="cs-CZ"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F48D8"/>
    <w:rPr>
      <w:vertAlign w:val="superscript"/>
    </w:rPr>
  </w:style>
  <w:style w:type="paragraph" w:styleId="Revize">
    <w:name w:val="Revision"/>
    <w:hidden/>
    <w:uiPriority w:val="99"/>
    <w:semiHidden/>
    <w:rsid w:val="00D06E5E"/>
    <w:pPr>
      <w:widowControl/>
      <w:autoSpaceDE/>
      <w:autoSpaceDN/>
    </w:pPr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spv.cz/cz/Vysledky-setreni/Aktualni.aspx" TargetMode="External"/><Relationship Id="rId1" Type="http://schemas.openxmlformats.org/officeDocument/2006/relationships/hyperlink" Target="https://vlada.gov.cz/assets/ppov/rnno/usneseni-vlady/Zasad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B1BB-0D38-416F-B41C-03DC1D7B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Kožíšek Jan</dc:creator>
  <cp:lastModifiedBy>Šírová Ludmila</cp:lastModifiedBy>
  <cp:revision>43</cp:revision>
  <cp:lastPrinted>2021-06-28T10:45:00Z</cp:lastPrinted>
  <dcterms:created xsi:type="dcterms:W3CDTF">2019-06-20T06:59:00Z</dcterms:created>
  <dcterms:modified xsi:type="dcterms:W3CDTF">2024-08-20T11:37:00Z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2018-07-04T00:00:00Z</vt:filetime>
  </property>
</Properties>
</file>