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7B69D" w14:textId="77777777" w:rsidR="004B607B" w:rsidRPr="00303307" w:rsidRDefault="00825AA5" w:rsidP="001D060A">
      <w:pPr>
        <w:pStyle w:val="Nadpis1"/>
        <w:spacing w:line="240" w:lineRule="auto"/>
        <w:jc w:val="center"/>
      </w:pPr>
      <w:r w:rsidRPr="00303307">
        <w:t>Podnět Výboru pro sexuální menšiny k</w:t>
      </w:r>
      <w:r w:rsidR="008D0416" w:rsidRPr="00303307">
        <w:t> omezení trestního postihu</w:t>
      </w:r>
      <w:r w:rsidR="000B2506" w:rsidRPr="00303307">
        <w:t xml:space="preserve"> </w:t>
      </w:r>
      <w:r w:rsidRPr="00303307">
        <w:t xml:space="preserve">a </w:t>
      </w:r>
      <w:r w:rsidR="008D0416" w:rsidRPr="00303307">
        <w:t>snížení stigmatizace HIV pozitivních</w:t>
      </w:r>
      <w:r w:rsidRPr="00303307">
        <w:t xml:space="preserve"> osob a zlepšení prevence HIV v ČR</w:t>
      </w:r>
    </w:p>
    <w:p w14:paraId="774578CD" w14:textId="77777777" w:rsidR="004B607B" w:rsidRPr="00303307" w:rsidRDefault="00825AA5" w:rsidP="000B2506">
      <w:pPr>
        <w:pStyle w:val="Nadpis1"/>
        <w:spacing w:line="240" w:lineRule="auto"/>
      </w:pPr>
      <w:bookmarkStart w:id="0" w:name="_16xxmvvsqfq8" w:colFirst="0" w:colLast="0"/>
      <w:bookmarkEnd w:id="0"/>
      <w:r w:rsidRPr="00303307">
        <w:t xml:space="preserve">Návrh usnesení: </w:t>
      </w:r>
    </w:p>
    <w:p w14:paraId="3F385386" w14:textId="77777777" w:rsidR="004B607B" w:rsidRPr="00303307" w:rsidRDefault="00825AA5" w:rsidP="000B2506">
      <w:pPr>
        <w:spacing w:line="240" w:lineRule="auto"/>
        <w:jc w:val="both"/>
        <w:rPr>
          <w:rFonts w:ascii="Arial" w:eastAsia="Arial" w:hAnsi="Arial" w:cs="Arial"/>
        </w:rPr>
      </w:pPr>
      <w:r w:rsidRPr="00303307">
        <w:rPr>
          <w:rFonts w:ascii="Arial" w:eastAsia="Arial" w:hAnsi="Arial" w:cs="Arial"/>
        </w:rPr>
        <w:t xml:space="preserve">Výbor pro sexuální menšiny doporučuje Radě vlády pro lidská práva, aby schválila následující usnesení k otázce </w:t>
      </w:r>
      <w:r w:rsidR="001D060A" w:rsidRPr="00303307">
        <w:rPr>
          <w:rFonts w:ascii="Arial" w:eastAsia="Arial" w:hAnsi="Arial" w:cs="Arial"/>
        </w:rPr>
        <w:t>omezení trestního postihu a snížení</w:t>
      </w:r>
      <w:r w:rsidRPr="00303307">
        <w:rPr>
          <w:rFonts w:ascii="Arial" w:eastAsia="Arial" w:hAnsi="Arial" w:cs="Arial"/>
        </w:rPr>
        <w:t xml:space="preserve"> stigmatizace osob žijících s HIV a zlepšení systému prevence infekce HIV v ČR:</w:t>
      </w:r>
    </w:p>
    <w:p w14:paraId="6EE909AD" w14:textId="77777777" w:rsidR="004B607B" w:rsidRPr="00303307" w:rsidRDefault="00825AA5" w:rsidP="000B2506">
      <w:pPr>
        <w:pBdr>
          <w:top w:val="nil"/>
          <w:left w:val="nil"/>
          <w:bottom w:val="nil"/>
          <w:right w:val="nil"/>
          <w:between w:val="nil"/>
        </w:pBdr>
        <w:spacing w:after="120" w:line="240" w:lineRule="auto"/>
        <w:rPr>
          <w:rFonts w:ascii="Arial" w:eastAsia="Arial" w:hAnsi="Arial" w:cs="Arial"/>
          <w:color w:val="000000"/>
        </w:rPr>
      </w:pPr>
      <w:r w:rsidRPr="00303307">
        <w:rPr>
          <w:rFonts w:ascii="Arial" w:eastAsia="Arial" w:hAnsi="Arial" w:cs="Arial"/>
          <w:color w:val="000000"/>
        </w:rPr>
        <w:br/>
        <w:t>Rada vlády ČR pro lidská práva (dále jen “Rada”)</w:t>
      </w:r>
    </w:p>
    <w:p w14:paraId="7D25356B" w14:textId="77777777" w:rsidR="004B607B" w:rsidRPr="00303307" w:rsidRDefault="00825AA5" w:rsidP="000B2506">
      <w:pPr>
        <w:numPr>
          <w:ilvl w:val="0"/>
          <w:numId w:val="1"/>
        </w:numPr>
        <w:pBdr>
          <w:top w:val="nil"/>
          <w:left w:val="nil"/>
          <w:bottom w:val="nil"/>
          <w:right w:val="nil"/>
          <w:between w:val="nil"/>
        </w:pBdr>
        <w:spacing w:after="120" w:line="240" w:lineRule="auto"/>
        <w:rPr>
          <w:rFonts w:ascii="Arial" w:eastAsia="Arial" w:hAnsi="Arial" w:cs="Arial"/>
          <w:color w:val="000000"/>
        </w:rPr>
      </w:pPr>
      <w:r w:rsidRPr="00303307">
        <w:rPr>
          <w:rFonts w:ascii="Arial" w:eastAsia="Arial" w:hAnsi="Arial" w:cs="Arial"/>
        </w:rPr>
        <w:t>s c h v a l u j e  podnět Výboru pro sexuální menšiny;</w:t>
      </w:r>
    </w:p>
    <w:p w14:paraId="177F4894" w14:textId="77777777" w:rsidR="000B2506" w:rsidRPr="00303307" w:rsidRDefault="00825AA5" w:rsidP="000B2506">
      <w:pPr>
        <w:numPr>
          <w:ilvl w:val="0"/>
          <w:numId w:val="1"/>
        </w:numPr>
        <w:pBdr>
          <w:top w:val="nil"/>
          <w:left w:val="nil"/>
          <w:bottom w:val="nil"/>
          <w:right w:val="nil"/>
          <w:between w:val="nil"/>
        </w:pBdr>
        <w:spacing w:after="120" w:line="240" w:lineRule="auto"/>
        <w:rPr>
          <w:rFonts w:ascii="Arial" w:eastAsia="Arial" w:hAnsi="Arial" w:cs="Arial"/>
        </w:rPr>
      </w:pPr>
      <w:r w:rsidRPr="00303307">
        <w:rPr>
          <w:rFonts w:ascii="Arial" w:eastAsia="Arial" w:hAnsi="Arial" w:cs="Arial"/>
        </w:rPr>
        <w:t xml:space="preserve">d o p o r u č u j e  vládě ČR, aby uložila </w:t>
      </w:r>
    </w:p>
    <w:p w14:paraId="09100F3D" w14:textId="77777777" w:rsidR="000B2506" w:rsidRPr="00303307" w:rsidRDefault="00825AA5" w:rsidP="000B2506">
      <w:pPr>
        <w:numPr>
          <w:ilvl w:val="1"/>
          <w:numId w:val="1"/>
        </w:numPr>
        <w:pBdr>
          <w:top w:val="nil"/>
          <w:left w:val="nil"/>
          <w:bottom w:val="nil"/>
          <w:right w:val="nil"/>
          <w:between w:val="nil"/>
        </w:pBdr>
        <w:spacing w:after="120" w:line="240" w:lineRule="auto"/>
        <w:rPr>
          <w:rFonts w:ascii="Arial" w:eastAsia="Arial" w:hAnsi="Arial" w:cs="Arial"/>
        </w:rPr>
      </w:pPr>
      <w:r w:rsidRPr="00303307">
        <w:rPr>
          <w:rFonts w:ascii="Arial" w:eastAsia="Arial" w:hAnsi="Arial" w:cs="Arial"/>
        </w:rPr>
        <w:t xml:space="preserve">ministryni spravedlnosti </w:t>
      </w:r>
    </w:p>
    <w:p w14:paraId="482556D9" w14:textId="77777777" w:rsidR="000B2506" w:rsidRPr="00303307" w:rsidRDefault="00825AA5" w:rsidP="000B2506">
      <w:pPr>
        <w:pStyle w:val="Odstavecseseznamem"/>
        <w:numPr>
          <w:ilvl w:val="0"/>
          <w:numId w:val="5"/>
        </w:numPr>
        <w:pBdr>
          <w:top w:val="nil"/>
          <w:left w:val="nil"/>
          <w:bottom w:val="nil"/>
          <w:right w:val="nil"/>
          <w:between w:val="nil"/>
        </w:pBdr>
        <w:spacing w:after="120" w:line="240" w:lineRule="auto"/>
        <w:ind w:left="1797" w:hanging="357"/>
        <w:contextualSpacing w:val="0"/>
        <w:rPr>
          <w:rFonts w:ascii="Arial" w:eastAsia="Arial" w:hAnsi="Arial" w:cs="Arial"/>
        </w:rPr>
      </w:pPr>
      <w:r w:rsidRPr="00303307">
        <w:rPr>
          <w:rFonts w:ascii="Arial" w:eastAsia="Arial" w:hAnsi="Arial" w:cs="Arial"/>
        </w:rPr>
        <w:t>předložit vládě návrh novely nařízení vlády č. 453/2009 Sb., kterým se pro účely trestního zákoníku stanoví, co se považuje za nakažlivé lidské nemoci, nakažlivé nemoci zvířat, nakažlivé nemoci rostlin a škůdce užitkových rostlin, ve znění pozdějších předpisů, který stanoví, že nosičství viru HIV bude za nakažlivou lidskou nemoc považováno jen v případě vi</w:t>
      </w:r>
      <w:r w:rsidR="000B2506" w:rsidRPr="00303307">
        <w:rPr>
          <w:rFonts w:ascii="Arial" w:eastAsia="Arial" w:hAnsi="Arial" w:cs="Arial"/>
        </w:rPr>
        <w:t>rové nálože nad 200 kopií viru/1 ml krve;</w:t>
      </w:r>
      <w:r w:rsidRPr="00303307">
        <w:rPr>
          <w:rFonts w:ascii="Arial" w:eastAsia="Arial" w:hAnsi="Arial" w:cs="Arial"/>
        </w:rPr>
        <w:t xml:space="preserve"> </w:t>
      </w:r>
    </w:p>
    <w:p w14:paraId="5B81ABCE" w14:textId="77777777" w:rsidR="000B2506" w:rsidRPr="00303307" w:rsidRDefault="000B2506" w:rsidP="000B2506">
      <w:pPr>
        <w:pStyle w:val="Odstavecseseznamem"/>
        <w:numPr>
          <w:ilvl w:val="0"/>
          <w:numId w:val="5"/>
        </w:numPr>
        <w:pBdr>
          <w:top w:val="nil"/>
          <w:left w:val="nil"/>
          <w:bottom w:val="nil"/>
          <w:right w:val="nil"/>
          <w:between w:val="nil"/>
        </w:pBdr>
        <w:spacing w:after="120" w:line="240" w:lineRule="auto"/>
        <w:ind w:left="1797" w:hanging="357"/>
        <w:contextualSpacing w:val="0"/>
        <w:rPr>
          <w:rFonts w:ascii="Arial" w:eastAsia="Arial" w:hAnsi="Arial" w:cs="Arial"/>
        </w:rPr>
      </w:pPr>
      <w:r w:rsidRPr="00303307">
        <w:rPr>
          <w:rFonts w:ascii="Arial" w:eastAsia="Arial" w:hAnsi="Arial" w:cs="Arial"/>
        </w:rPr>
        <w:t>v</w:t>
      </w:r>
      <w:r w:rsidR="00825AA5" w:rsidRPr="00303307">
        <w:rPr>
          <w:rFonts w:ascii="Arial" w:eastAsia="Arial" w:hAnsi="Arial" w:cs="Arial"/>
        </w:rPr>
        <w:t>e spolupráci s 1. místopředsedou vlády a ministrem vnitra a ministrem zdravotnictví vytvořit metodický pokyn seznamující státní zástupce a příslušníky Policie ČR s aktuálními vědeckými poznatky o způsobech šíření HIV a jeho následcích pro využití při stíhání přečinů a zločinů souvisejících se šířením HIV, a zařadit tuto problematiku do vzdělávacích programů pro soudce, státní zás</w:t>
      </w:r>
      <w:r w:rsidRPr="00303307">
        <w:rPr>
          <w:rFonts w:ascii="Arial" w:eastAsia="Arial" w:hAnsi="Arial" w:cs="Arial"/>
        </w:rPr>
        <w:t>tupce a příslušníky Policie ČR;</w:t>
      </w:r>
    </w:p>
    <w:p w14:paraId="18A8EA09" w14:textId="77777777" w:rsidR="000B2506" w:rsidRPr="00303307" w:rsidRDefault="00825AA5" w:rsidP="000B2506">
      <w:pPr>
        <w:numPr>
          <w:ilvl w:val="1"/>
          <w:numId w:val="1"/>
        </w:numPr>
        <w:pBdr>
          <w:top w:val="nil"/>
          <w:left w:val="nil"/>
          <w:bottom w:val="nil"/>
          <w:right w:val="nil"/>
          <w:between w:val="nil"/>
        </w:pBdr>
        <w:spacing w:after="120" w:line="240" w:lineRule="auto"/>
        <w:ind w:hanging="357"/>
        <w:rPr>
          <w:rFonts w:ascii="Arial" w:eastAsia="Arial" w:hAnsi="Arial" w:cs="Arial"/>
        </w:rPr>
      </w:pPr>
      <w:r w:rsidRPr="00303307">
        <w:rPr>
          <w:rFonts w:ascii="Arial" w:eastAsia="Arial" w:hAnsi="Arial" w:cs="Arial"/>
        </w:rPr>
        <w:t xml:space="preserve">ministru zdravotnictví </w:t>
      </w:r>
    </w:p>
    <w:p w14:paraId="232719D6" w14:textId="77777777" w:rsidR="000B2506" w:rsidRPr="00303307" w:rsidRDefault="00825AA5" w:rsidP="000B2506">
      <w:pPr>
        <w:pStyle w:val="Odstavecseseznamem"/>
        <w:numPr>
          <w:ilvl w:val="0"/>
          <w:numId w:val="6"/>
        </w:numPr>
        <w:pBdr>
          <w:top w:val="nil"/>
          <w:left w:val="nil"/>
          <w:bottom w:val="nil"/>
          <w:right w:val="nil"/>
          <w:between w:val="nil"/>
        </w:pBdr>
        <w:spacing w:after="120" w:line="240" w:lineRule="auto"/>
        <w:ind w:hanging="357"/>
        <w:contextualSpacing w:val="0"/>
        <w:rPr>
          <w:rFonts w:ascii="Arial" w:eastAsia="Arial" w:hAnsi="Arial" w:cs="Arial"/>
        </w:rPr>
      </w:pPr>
      <w:r w:rsidRPr="00303307">
        <w:rPr>
          <w:rFonts w:ascii="Arial" w:eastAsia="Arial" w:hAnsi="Arial" w:cs="Arial"/>
        </w:rPr>
        <w:t xml:space="preserve">předložit novelu zákona o ochraně veřejného zdraví, která by </w:t>
      </w:r>
      <w:r w:rsidR="002646B9" w:rsidRPr="00303307">
        <w:rPr>
          <w:rFonts w:ascii="Arial" w:eastAsia="Arial" w:hAnsi="Arial" w:cs="Arial"/>
        </w:rPr>
        <w:t>omezila</w:t>
      </w:r>
      <w:r w:rsidRPr="00303307">
        <w:rPr>
          <w:rFonts w:ascii="Arial" w:eastAsia="Arial" w:hAnsi="Arial" w:cs="Arial"/>
        </w:rPr>
        <w:t xml:space="preserve"> povinnost nosičů informovat o své nákaze poskytovatele zdravotních služeb</w:t>
      </w:r>
      <w:r w:rsidR="002646B9" w:rsidRPr="00303307">
        <w:rPr>
          <w:rFonts w:ascii="Arial" w:eastAsia="Arial" w:hAnsi="Arial" w:cs="Arial"/>
        </w:rPr>
        <w:t xml:space="preserve"> pouze na případy poranění během vyšetřovacího nebo léčebného výkonu či jiné možné expozici</w:t>
      </w:r>
      <w:r w:rsidRPr="00303307">
        <w:rPr>
          <w:rFonts w:ascii="Arial" w:eastAsia="Arial" w:hAnsi="Arial" w:cs="Arial"/>
        </w:rPr>
        <w:t>;</w:t>
      </w:r>
    </w:p>
    <w:p w14:paraId="2E16F3EB" w14:textId="77777777" w:rsidR="000B2506" w:rsidRPr="00303307" w:rsidRDefault="00825AA5" w:rsidP="000B2506">
      <w:pPr>
        <w:pStyle w:val="Odstavecseseznamem"/>
        <w:numPr>
          <w:ilvl w:val="0"/>
          <w:numId w:val="6"/>
        </w:numPr>
        <w:pBdr>
          <w:top w:val="nil"/>
          <w:left w:val="nil"/>
          <w:bottom w:val="nil"/>
          <w:right w:val="nil"/>
          <w:between w:val="nil"/>
        </w:pBdr>
        <w:spacing w:after="120" w:line="240" w:lineRule="auto"/>
        <w:ind w:hanging="357"/>
        <w:contextualSpacing w:val="0"/>
        <w:rPr>
          <w:rFonts w:ascii="Arial" w:eastAsia="Arial" w:hAnsi="Arial" w:cs="Arial"/>
        </w:rPr>
      </w:pPr>
      <w:r w:rsidRPr="00303307">
        <w:rPr>
          <w:rFonts w:ascii="Arial" w:eastAsia="Arial" w:hAnsi="Arial" w:cs="Arial"/>
        </w:rPr>
        <w:t>vydat ve Věstníku MZ nový metodický pokyn k řešení problematiky HIV/AIDS v České republice a zajistil jeho rozšíření mezi relevantní subjekty</w:t>
      </w:r>
      <w:r w:rsidR="000B2506" w:rsidRPr="00303307">
        <w:rPr>
          <w:rFonts w:ascii="Arial" w:eastAsia="Arial" w:hAnsi="Arial" w:cs="Arial"/>
        </w:rPr>
        <w:t>;</w:t>
      </w:r>
    </w:p>
    <w:p w14:paraId="41985BA8" w14:textId="1FD81E02" w:rsidR="008046F9" w:rsidRPr="00303307" w:rsidRDefault="008046F9" w:rsidP="008046F9">
      <w:pPr>
        <w:pStyle w:val="Odstavecseseznamem"/>
        <w:numPr>
          <w:ilvl w:val="0"/>
          <w:numId w:val="6"/>
        </w:numPr>
        <w:pBdr>
          <w:top w:val="nil"/>
          <w:left w:val="nil"/>
          <w:bottom w:val="nil"/>
          <w:right w:val="nil"/>
          <w:between w:val="nil"/>
        </w:pBdr>
        <w:spacing w:after="120" w:line="240" w:lineRule="auto"/>
        <w:ind w:hanging="357"/>
        <w:contextualSpacing w:val="0"/>
        <w:rPr>
          <w:rFonts w:ascii="Arial" w:eastAsia="Arial" w:hAnsi="Arial" w:cs="Arial"/>
        </w:rPr>
      </w:pPr>
      <w:r w:rsidRPr="00303307">
        <w:rPr>
          <w:rFonts w:ascii="Arial" w:eastAsia="Arial" w:hAnsi="Arial" w:cs="Arial"/>
        </w:rPr>
        <w:t xml:space="preserve">otevřít diskusi k zapojení pre-expoziční profylaxe (PrEP) do prevence infekce HIV v České republice, zlepšit její dostupnost zejména pro skupiny obyvatelstva </w:t>
      </w:r>
      <w:r w:rsidR="001D060A" w:rsidRPr="00303307">
        <w:rPr>
          <w:rFonts w:ascii="Arial" w:eastAsia="Arial" w:hAnsi="Arial" w:cs="Arial"/>
        </w:rPr>
        <w:t>s</w:t>
      </w:r>
      <w:r w:rsidRPr="00303307">
        <w:rPr>
          <w:rFonts w:ascii="Arial" w:eastAsia="Arial" w:hAnsi="Arial" w:cs="Arial"/>
        </w:rPr>
        <w:t> nejvyšším rizik</w:t>
      </w:r>
      <w:r w:rsidR="001D060A" w:rsidRPr="00303307">
        <w:rPr>
          <w:rFonts w:ascii="Arial" w:eastAsia="Arial" w:hAnsi="Arial" w:cs="Arial"/>
        </w:rPr>
        <w:t>em</w:t>
      </w:r>
      <w:r w:rsidRPr="00303307">
        <w:rPr>
          <w:rFonts w:ascii="Arial" w:eastAsia="Arial" w:hAnsi="Arial" w:cs="Arial"/>
        </w:rPr>
        <w:t xml:space="preserve"> nákazy HIV a zajistit dostatečné a kontinuální financování prevence a destigmatizace infekce HIV včetně programů a projektů, které cílí na </w:t>
      </w:r>
      <w:r w:rsidR="006975A4">
        <w:rPr>
          <w:rFonts w:ascii="Arial" w:eastAsia="Arial" w:hAnsi="Arial" w:cs="Arial"/>
        </w:rPr>
        <w:t>klíčové</w:t>
      </w:r>
      <w:r w:rsidR="006975A4" w:rsidRPr="00303307">
        <w:rPr>
          <w:rFonts w:ascii="Arial" w:eastAsia="Arial" w:hAnsi="Arial" w:cs="Arial"/>
        </w:rPr>
        <w:t xml:space="preserve"> </w:t>
      </w:r>
      <w:r w:rsidR="001D060A" w:rsidRPr="00303307">
        <w:rPr>
          <w:rFonts w:ascii="Arial" w:eastAsia="Arial" w:hAnsi="Arial" w:cs="Arial"/>
        </w:rPr>
        <w:t>skupiny</w:t>
      </w:r>
      <w:r w:rsidRPr="00303307">
        <w:rPr>
          <w:rFonts w:ascii="Arial" w:eastAsia="Arial" w:hAnsi="Arial" w:cs="Arial"/>
        </w:rPr>
        <w:t xml:space="preserve"> populace; </w:t>
      </w:r>
    </w:p>
    <w:p w14:paraId="0D011B58" w14:textId="77777777" w:rsidR="004B607B" w:rsidRPr="00303307" w:rsidRDefault="00825AA5" w:rsidP="000B2506">
      <w:pPr>
        <w:numPr>
          <w:ilvl w:val="0"/>
          <w:numId w:val="1"/>
        </w:numPr>
        <w:pBdr>
          <w:top w:val="nil"/>
          <w:left w:val="nil"/>
          <w:bottom w:val="nil"/>
          <w:right w:val="nil"/>
          <w:between w:val="nil"/>
        </w:pBdr>
        <w:spacing w:after="120" w:line="240" w:lineRule="auto"/>
        <w:rPr>
          <w:rFonts w:ascii="Arial" w:eastAsia="Arial" w:hAnsi="Arial" w:cs="Arial"/>
        </w:rPr>
      </w:pPr>
      <w:r w:rsidRPr="00303307">
        <w:rPr>
          <w:rFonts w:ascii="Arial" w:eastAsia="Arial" w:hAnsi="Arial" w:cs="Arial"/>
        </w:rPr>
        <w:t xml:space="preserve">ž á d á  předsedu Rady, aby </w:t>
      </w:r>
    </w:p>
    <w:p w14:paraId="7E82B43D" w14:textId="7ED79776" w:rsidR="000B2506" w:rsidRPr="00303307" w:rsidRDefault="00825AA5" w:rsidP="000B2506">
      <w:pPr>
        <w:pStyle w:val="Odstavecseseznamem"/>
        <w:numPr>
          <w:ilvl w:val="1"/>
          <w:numId w:val="1"/>
        </w:numPr>
        <w:pBdr>
          <w:top w:val="nil"/>
          <w:left w:val="nil"/>
          <w:bottom w:val="nil"/>
          <w:right w:val="nil"/>
          <w:between w:val="nil"/>
        </w:pBdr>
        <w:spacing w:after="120" w:line="240" w:lineRule="auto"/>
        <w:rPr>
          <w:rFonts w:ascii="Arial" w:eastAsia="Arial" w:hAnsi="Arial" w:cs="Arial"/>
        </w:rPr>
      </w:pPr>
      <w:r w:rsidRPr="00303307">
        <w:rPr>
          <w:rFonts w:ascii="Arial" w:eastAsia="Arial" w:hAnsi="Arial" w:cs="Arial"/>
        </w:rPr>
        <w:t xml:space="preserve">v souladu s článkem 2, odstavcem 4 statutu Rady podnět předložil </w:t>
      </w:r>
      <w:r w:rsidR="007F4442">
        <w:rPr>
          <w:rFonts w:ascii="Arial" w:eastAsia="Arial" w:hAnsi="Arial" w:cs="Arial"/>
        </w:rPr>
        <w:t>V</w:t>
      </w:r>
      <w:r w:rsidRPr="00303307">
        <w:rPr>
          <w:rFonts w:ascii="Arial" w:eastAsia="Arial" w:hAnsi="Arial" w:cs="Arial"/>
        </w:rPr>
        <w:t xml:space="preserve">ládě ČR; </w:t>
      </w:r>
    </w:p>
    <w:p w14:paraId="77498DFB" w14:textId="77777777" w:rsidR="004B607B" w:rsidRPr="00303307" w:rsidRDefault="00825AA5" w:rsidP="00002140">
      <w:pPr>
        <w:pStyle w:val="Odstavecseseznamem"/>
        <w:numPr>
          <w:ilvl w:val="1"/>
          <w:numId w:val="1"/>
        </w:numPr>
        <w:pBdr>
          <w:top w:val="nil"/>
          <w:left w:val="nil"/>
          <w:bottom w:val="nil"/>
          <w:right w:val="nil"/>
          <w:between w:val="nil"/>
        </w:pBdr>
        <w:spacing w:after="120" w:line="240" w:lineRule="auto"/>
        <w:rPr>
          <w:rFonts w:ascii="Arial" w:eastAsia="Arial" w:hAnsi="Arial" w:cs="Arial"/>
          <w:u w:val="single"/>
        </w:rPr>
      </w:pPr>
      <w:r w:rsidRPr="00303307">
        <w:rPr>
          <w:rFonts w:ascii="Arial" w:eastAsia="Arial" w:hAnsi="Arial" w:cs="Arial"/>
        </w:rPr>
        <w:t xml:space="preserve">na příštím zasedání </w:t>
      </w:r>
      <w:r w:rsidR="000B2506" w:rsidRPr="00303307">
        <w:rPr>
          <w:rFonts w:ascii="Arial" w:eastAsia="Arial" w:hAnsi="Arial" w:cs="Arial"/>
        </w:rPr>
        <w:t xml:space="preserve">Rady </w:t>
      </w:r>
      <w:r w:rsidRPr="00303307">
        <w:rPr>
          <w:rFonts w:ascii="Arial" w:eastAsia="Arial" w:hAnsi="Arial" w:cs="Arial"/>
        </w:rPr>
        <w:t xml:space="preserve">informoval o krocích učiněných k implementaci tohoto podnětu. </w:t>
      </w:r>
    </w:p>
    <w:p w14:paraId="5BD8BFE8" w14:textId="77777777" w:rsidR="004B607B" w:rsidRPr="00303307" w:rsidRDefault="00825AA5" w:rsidP="000B2506">
      <w:pPr>
        <w:pStyle w:val="Nadpis1"/>
        <w:spacing w:line="240" w:lineRule="auto"/>
      </w:pPr>
      <w:bookmarkStart w:id="1" w:name="_y5auxtpr1hdx" w:colFirst="0" w:colLast="0"/>
      <w:bookmarkEnd w:id="1"/>
      <w:r w:rsidRPr="00303307">
        <w:br w:type="page"/>
      </w:r>
      <w:r w:rsidRPr="00303307">
        <w:lastRenderedPageBreak/>
        <w:t>Odůvodnění:</w:t>
      </w:r>
      <w:bookmarkStart w:id="2" w:name="_GoBack"/>
      <w:bookmarkEnd w:id="2"/>
    </w:p>
    <w:p w14:paraId="25470C83" w14:textId="77777777" w:rsidR="004B607B" w:rsidRPr="00303307" w:rsidRDefault="00825AA5" w:rsidP="000B2506">
      <w:pPr>
        <w:pStyle w:val="Nadpis2"/>
        <w:spacing w:line="240" w:lineRule="auto"/>
      </w:pPr>
      <w:bookmarkStart w:id="3" w:name="_vok1fg8yjcu" w:colFirst="0" w:colLast="0"/>
      <w:bookmarkEnd w:id="3"/>
      <w:r w:rsidRPr="00303307">
        <w:t>Úvod:</w:t>
      </w:r>
    </w:p>
    <w:p w14:paraId="31B7C047" w14:textId="0380B360" w:rsidR="00BC2564" w:rsidRPr="00303307" w:rsidRDefault="00BC2564" w:rsidP="00BC2564">
      <w:pPr>
        <w:spacing w:line="240" w:lineRule="auto"/>
        <w:jc w:val="both"/>
        <w:rPr>
          <w:rFonts w:ascii="Arial" w:eastAsia="Arial" w:hAnsi="Arial" w:cs="Arial"/>
        </w:rPr>
      </w:pPr>
      <w:r w:rsidRPr="00303307">
        <w:rPr>
          <w:rFonts w:ascii="Arial" w:eastAsia="Arial" w:hAnsi="Arial" w:cs="Arial"/>
        </w:rPr>
        <w:t>Virus HIV (</w:t>
      </w:r>
      <w:r w:rsidRPr="00C9793D">
        <w:rPr>
          <w:rFonts w:ascii="Arial" w:eastAsia="Arial" w:hAnsi="Arial" w:cs="Arial"/>
        </w:rPr>
        <w:t>human im</w:t>
      </w:r>
      <w:r w:rsidR="00E827E6" w:rsidRPr="00C9793D">
        <w:rPr>
          <w:rFonts w:ascii="Arial" w:eastAsia="Arial" w:hAnsi="Arial" w:cs="Arial"/>
        </w:rPr>
        <w:t>m</w:t>
      </w:r>
      <w:r w:rsidRPr="00C9793D">
        <w:rPr>
          <w:rFonts w:ascii="Arial" w:eastAsia="Arial" w:hAnsi="Arial" w:cs="Arial"/>
        </w:rPr>
        <w:t>unodeficiency virus</w:t>
      </w:r>
      <w:r w:rsidRPr="00303307">
        <w:rPr>
          <w:rFonts w:ascii="Arial" w:eastAsia="Arial" w:hAnsi="Arial" w:cs="Arial"/>
        </w:rPr>
        <w:t>) způsobující nemoc AIDS (</w:t>
      </w:r>
      <w:r w:rsidRPr="00C9793D">
        <w:rPr>
          <w:rFonts w:ascii="Arial" w:hAnsi="Arial" w:cs="Arial"/>
          <w:color w:val="222222"/>
          <w:sz w:val="21"/>
          <w:szCs w:val="21"/>
          <w:shd w:val="clear" w:color="auto" w:fill="FFFFFF"/>
        </w:rPr>
        <w:t>acquired immunodeficiency syndrome</w:t>
      </w:r>
      <w:r w:rsidRPr="00303307">
        <w:rPr>
          <w:rFonts w:ascii="Arial" w:hAnsi="Arial" w:cs="Arial"/>
          <w:color w:val="222222"/>
          <w:sz w:val="21"/>
          <w:szCs w:val="21"/>
          <w:shd w:val="clear" w:color="auto" w:fill="FFFFFF"/>
        </w:rPr>
        <w:t>)</w:t>
      </w:r>
      <w:r w:rsidRPr="00303307">
        <w:rPr>
          <w:rFonts w:ascii="Arial" w:eastAsia="Arial" w:hAnsi="Arial" w:cs="Arial"/>
        </w:rPr>
        <w:t xml:space="preserve"> byl již od svého objevení v roce 1981 vnímán jako významná hrozba pro zdraví světové populace. </w:t>
      </w:r>
      <w:r w:rsidR="008D0416" w:rsidRPr="00303307">
        <w:rPr>
          <w:rFonts w:ascii="Arial" w:eastAsia="Arial" w:hAnsi="Arial" w:cs="Arial"/>
        </w:rPr>
        <w:t>Virus HIV způsobuje o</w:t>
      </w:r>
      <w:r w:rsidRPr="00303307">
        <w:rPr>
          <w:rFonts w:ascii="Arial" w:eastAsia="Arial" w:hAnsi="Arial" w:cs="Arial"/>
        </w:rPr>
        <w:t xml:space="preserve">slabení imunity, takže pak lidský organismus </w:t>
      </w:r>
      <w:r w:rsidR="008D0416" w:rsidRPr="00303307">
        <w:rPr>
          <w:rFonts w:ascii="Arial" w:eastAsia="Arial" w:hAnsi="Arial" w:cs="Arial"/>
        </w:rPr>
        <w:t xml:space="preserve">má výrazně slabší obranu proti </w:t>
      </w:r>
      <w:r w:rsidRPr="00303307">
        <w:rPr>
          <w:rFonts w:ascii="Arial" w:eastAsia="Arial" w:hAnsi="Arial" w:cs="Arial"/>
        </w:rPr>
        <w:t>jiným in</w:t>
      </w:r>
      <w:r w:rsidR="008D0416" w:rsidRPr="00303307">
        <w:rPr>
          <w:rFonts w:ascii="Arial" w:eastAsia="Arial" w:hAnsi="Arial" w:cs="Arial"/>
        </w:rPr>
        <w:t>fekcím či nádorovým onemocněním,</w:t>
      </w:r>
      <w:r w:rsidRPr="00303307">
        <w:rPr>
          <w:rFonts w:ascii="Arial" w:eastAsia="Arial" w:hAnsi="Arial" w:cs="Arial"/>
        </w:rPr>
        <w:t xml:space="preserve"> což </w:t>
      </w:r>
      <w:r w:rsidR="008D0416" w:rsidRPr="00303307">
        <w:rPr>
          <w:rFonts w:ascii="Arial" w:eastAsia="Arial" w:hAnsi="Arial" w:cs="Arial"/>
        </w:rPr>
        <w:t xml:space="preserve">dříve </w:t>
      </w:r>
      <w:r w:rsidRPr="00303307">
        <w:rPr>
          <w:rFonts w:ascii="Arial" w:eastAsia="Arial" w:hAnsi="Arial" w:cs="Arial"/>
        </w:rPr>
        <w:t xml:space="preserve">vedlo většinou k úmrtí pacienta. </w:t>
      </w:r>
      <w:r w:rsidR="008D0416" w:rsidRPr="00303307">
        <w:rPr>
          <w:rFonts w:ascii="Arial" w:eastAsia="Arial" w:hAnsi="Arial" w:cs="Arial"/>
        </w:rPr>
        <w:t>Od dob objevení HIV/AIDS však vědecký výzkum v oblasti medicíny výrazně pokročil. Nákaza</w:t>
      </w:r>
      <w:r w:rsidRPr="00303307">
        <w:rPr>
          <w:rFonts w:ascii="Arial" w:eastAsia="Arial" w:hAnsi="Arial" w:cs="Arial"/>
        </w:rPr>
        <w:t xml:space="preserve"> HIV </w:t>
      </w:r>
      <w:r w:rsidR="008D0416" w:rsidRPr="00303307">
        <w:rPr>
          <w:rFonts w:ascii="Arial" w:eastAsia="Arial" w:hAnsi="Arial" w:cs="Arial"/>
        </w:rPr>
        <w:t>je sice nadále neléčitelná</w:t>
      </w:r>
      <w:r w:rsidRPr="00303307">
        <w:rPr>
          <w:rFonts w:ascii="Arial" w:eastAsia="Arial" w:hAnsi="Arial" w:cs="Arial"/>
        </w:rPr>
        <w:t>, avšak moderní léčebné metody pomocí antivirových inhibitorů umožňují významně snížit virovou n</w:t>
      </w:r>
      <w:r w:rsidR="008D0416" w:rsidRPr="00303307">
        <w:rPr>
          <w:rFonts w:ascii="Arial" w:eastAsia="Arial" w:hAnsi="Arial" w:cs="Arial"/>
        </w:rPr>
        <w:t>álož, tj. množství virů v krvi. Díky tomu si pacient uchová funkční imunitní systém a zabrání rozvoji HIV nákazy v nemoc AIDS. Z</w:t>
      </w:r>
      <w:r w:rsidRPr="00303307">
        <w:rPr>
          <w:rFonts w:ascii="Arial" w:eastAsia="Arial" w:hAnsi="Arial" w:cs="Arial"/>
        </w:rPr>
        <w:t xml:space="preserve">ároveň </w:t>
      </w:r>
      <w:r w:rsidR="008D0416" w:rsidRPr="00303307">
        <w:rPr>
          <w:rFonts w:ascii="Arial" w:eastAsia="Arial" w:hAnsi="Arial" w:cs="Arial"/>
        </w:rPr>
        <w:t xml:space="preserve">se </w:t>
      </w:r>
      <w:r w:rsidRPr="00303307">
        <w:rPr>
          <w:rFonts w:ascii="Arial" w:eastAsia="Arial" w:hAnsi="Arial" w:cs="Arial"/>
        </w:rPr>
        <w:t>omez</w:t>
      </w:r>
      <w:r w:rsidR="008D0416" w:rsidRPr="00303307">
        <w:rPr>
          <w:rFonts w:ascii="Arial" w:eastAsia="Arial" w:hAnsi="Arial" w:cs="Arial"/>
        </w:rPr>
        <w:t xml:space="preserve">í </w:t>
      </w:r>
      <w:r w:rsidRPr="00303307">
        <w:rPr>
          <w:rFonts w:ascii="Arial" w:eastAsia="Arial" w:hAnsi="Arial" w:cs="Arial"/>
        </w:rPr>
        <w:t>možnost přeno</w:t>
      </w:r>
      <w:r w:rsidR="0010545E" w:rsidRPr="00303307">
        <w:rPr>
          <w:rFonts w:ascii="Arial" w:eastAsia="Arial" w:hAnsi="Arial" w:cs="Arial"/>
        </w:rPr>
        <w:t xml:space="preserve">su viru </w:t>
      </w:r>
      <w:r w:rsidRPr="00303307">
        <w:rPr>
          <w:rFonts w:ascii="Arial" w:eastAsia="Arial" w:hAnsi="Arial" w:cs="Arial"/>
        </w:rPr>
        <w:t>pohlavním stykem</w:t>
      </w:r>
      <w:r w:rsidR="0010545E" w:rsidRPr="00303307">
        <w:rPr>
          <w:rFonts w:ascii="Arial" w:eastAsia="Arial" w:hAnsi="Arial" w:cs="Arial"/>
        </w:rPr>
        <w:t xml:space="preserve"> či jinými způsoby</w:t>
      </w:r>
      <w:r w:rsidRPr="00303307">
        <w:rPr>
          <w:rFonts w:ascii="Arial" w:eastAsia="Arial" w:hAnsi="Arial" w:cs="Arial"/>
        </w:rPr>
        <w:t>. Na rozdíl od minulos</w:t>
      </w:r>
      <w:r w:rsidR="0010545E" w:rsidRPr="00303307">
        <w:rPr>
          <w:rFonts w:ascii="Arial" w:eastAsia="Arial" w:hAnsi="Arial" w:cs="Arial"/>
        </w:rPr>
        <w:t>ti</w:t>
      </w:r>
      <w:r w:rsidRPr="00303307">
        <w:rPr>
          <w:rFonts w:ascii="Arial" w:eastAsia="Arial" w:hAnsi="Arial" w:cs="Arial"/>
        </w:rPr>
        <w:t xml:space="preserve"> HIV pozitivní </w:t>
      </w:r>
      <w:r w:rsidR="008D0416" w:rsidRPr="00303307">
        <w:rPr>
          <w:rFonts w:ascii="Arial" w:eastAsia="Arial" w:hAnsi="Arial" w:cs="Arial"/>
        </w:rPr>
        <w:t xml:space="preserve">osoby </w:t>
      </w:r>
      <w:r w:rsidRPr="00303307">
        <w:rPr>
          <w:rFonts w:ascii="Arial" w:eastAsia="Arial" w:hAnsi="Arial" w:cs="Arial"/>
        </w:rPr>
        <w:t xml:space="preserve">tedy mohou víceméně vést normální život a zůstat plně zapojené do společnosti. </w:t>
      </w:r>
    </w:p>
    <w:p w14:paraId="71583097" w14:textId="54A7D9EA" w:rsidR="00860F2F" w:rsidRDefault="008D0416" w:rsidP="00B225A8">
      <w:pPr>
        <w:spacing w:line="240" w:lineRule="auto"/>
        <w:jc w:val="both"/>
        <w:rPr>
          <w:rFonts w:ascii="Arial" w:eastAsia="Arial" w:hAnsi="Arial" w:cs="Arial"/>
        </w:rPr>
      </w:pPr>
      <w:r w:rsidRPr="00303307">
        <w:rPr>
          <w:rFonts w:ascii="Arial" w:eastAsia="Arial" w:hAnsi="Arial" w:cs="Arial"/>
        </w:rPr>
        <w:t xml:space="preserve">Na vysokou rizikovost nákazy virem HIV a následně nemoci AIDS reagovala od počátku jejího objevení většina států světa systémovými kroky složenými z preventivních, ale i represivních opatření. Prevence HIV/AIDS se staly integrální součástí politik veřejného zdraví. </w:t>
      </w:r>
      <w:r w:rsidR="005C58B6">
        <w:rPr>
          <w:rFonts w:ascii="Arial" w:eastAsia="Arial" w:hAnsi="Arial" w:cs="Arial"/>
        </w:rPr>
        <w:t>Prevence má podobu osvěty o rizicích HIV/AIDS, sexuálním zdraví a bezpečném sexuálním styku v obecné populaci i např. na školách. Stát by měl zajišťovat dostupnost testování a následné léčby včetně nejmodernějších léčebných metod. Podpůrnými aktivitami jsou např. distribuce ochranných pomůcek</w:t>
      </w:r>
      <w:r w:rsidR="002B3F4B">
        <w:rPr>
          <w:rFonts w:ascii="Arial" w:eastAsia="Arial" w:hAnsi="Arial" w:cs="Arial"/>
        </w:rPr>
        <w:t xml:space="preserve">, </w:t>
      </w:r>
      <w:r w:rsidR="005C58B6">
        <w:rPr>
          <w:rFonts w:ascii="Arial" w:eastAsia="Arial" w:hAnsi="Arial" w:cs="Arial"/>
        </w:rPr>
        <w:t xml:space="preserve">injekčních jehel </w:t>
      </w:r>
      <w:r w:rsidR="002B3F4B">
        <w:rPr>
          <w:rFonts w:ascii="Arial" w:eastAsia="Arial" w:hAnsi="Arial" w:cs="Arial"/>
        </w:rPr>
        <w:t xml:space="preserve">či lékové profylaxe </w:t>
      </w:r>
      <w:r w:rsidR="005C58B6">
        <w:rPr>
          <w:rFonts w:ascii="Arial" w:eastAsia="Arial" w:hAnsi="Arial" w:cs="Arial"/>
        </w:rPr>
        <w:t>především v </w:t>
      </w:r>
      <w:r w:rsidR="007F4442">
        <w:rPr>
          <w:rFonts w:ascii="Arial" w:eastAsia="Arial" w:hAnsi="Arial" w:cs="Arial"/>
        </w:rPr>
        <w:t xml:space="preserve">klíčových </w:t>
      </w:r>
      <w:r w:rsidR="005C58B6">
        <w:rPr>
          <w:rFonts w:ascii="Arial" w:eastAsia="Arial" w:hAnsi="Arial" w:cs="Arial"/>
        </w:rPr>
        <w:t xml:space="preserve">skupinách </w:t>
      </w:r>
      <w:r w:rsidR="007F4442">
        <w:rPr>
          <w:rFonts w:ascii="Arial" w:eastAsia="Arial" w:hAnsi="Arial" w:cs="Arial"/>
        </w:rPr>
        <w:t>(</w:t>
      </w:r>
      <w:r w:rsidR="005C58B6">
        <w:rPr>
          <w:rFonts w:ascii="Arial" w:eastAsia="Arial" w:hAnsi="Arial" w:cs="Arial"/>
        </w:rPr>
        <w:t>LGBT+ osoby, uživatelé drog, sexuální pracovníci, vězni</w:t>
      </w:r>
      <w:r w:rsidR="007F4442">
        <w:rPr>
          <w:rFonts w:ascii="Arial" w:eastAsia="Arial" w:hAnsi="Arial" w:cs="Arial"/>
        </w:rPr>
        <w:t>)</w:t>
      </w:r>
      <w:r w:rsidR="005C58B6">
        <w:rPr>
          <w:rFonts w:ascii="Arial" w:eastAsia="Arial" w:hAnsi="Arial" w:cs="Arial"/>
        </w:rPr>
        <w:t xml:space="preserve"> či </w:t>
      </w:r>
      <w:r w:rsidR="002B3F4B">
        <w:rPr>
          <w:rFonts w:ascii="Arial" w:eastAsia="Arial" w:hAnsi="Arial" w:cs="Arial"/>
        </w:rPr>
        <w:t xml:space="preserve">mezi </w:t>
      </w:r>
      <w:r w:rsidR="005C58B6">
        <w:rPr>
          <w:rFonts w:ascii="Arial" w:eastAsia="Arial" w:hAnsi="Arial" w:cs="Arial"/>
        </w:rPr>
        <w:t>jinak sociálně znevýhodněn</w:t>
      </w:r>
      <w:r w:rsidR="002B3F4B">
        <w:rPr>
          <w:rFonts w:ascii="Arial" w:eastAsia="Arial" w:hAnsi="Arial" w:cs="Arial"/>
        </w:rPr>
        <w:t>ými</w:t>
      </w:r>
      <w:r w:rsidR="005C58B6">
        <w:rPr>
          <w:rFonts w:ascii="Arial" w:eastAsia="Arial" w:hAnsi="Arial" w:cs="Arial"/>
        </w:rPr>
        <w:t xml:space="preserve"> osob</w:t>
      </w:r>
      <w:r w:rsidR="002B3F4B">
        <w:rPr>
          <w:rFonts w:ascii="Arial" w:eastAsia="Arial" w:hAnsi="Arial" w:cs="Arial"/>
        </w:rPr>
        <w:t>ami</w:t>
      </w:r>
      <w:r w:rsidR="005C58B6">
        <w:rPr>
          <w:rFonts w:ascii="Arial" w:eastAsia="Arial" w:hAnsi="Arial" w:cs="Arial"/>
        </w:rPr>
        <w:t xml:space="preserve">, které mohou mít k prevenci ztížený přístup. </w:t>
      </w:r>
    </w:p>
    <w:p w14:paraId="5F4D1806" w14:textId="667189E9" w:rsidR="00B225A8" w:rsidRDefault="002C7EF4" w:rsidP="00B225A8">
      <w:pPr>
        <w:spacing w:line="240" w:lineRule="auto"/>
        <w:jc w:val="both"/>
        <w:rPr>
          <w:rFonts w:ascii="Arial" w:eastAsia="Arial" w:hAnsi="Arial" w:cs="Arial"/>
        </w:rPr>
      </w:pPr>
      <w:r>
        <w:rPr>
          <w:rFonts w:ascii="Arial" w:eastAsia="Arial" w:hAnsi="Arial" w:cs="Arial"/>
        </w:rPr>
        <w:t>Neexistence léčby na počátku epidemie</w:t>
      </w:r>
      <w:r w:rsidR="008D0416" w:rsidRPr="00303307">
        <w:rPr>
          <w:rFonts w:ascii="Arial" w:eastAsia="Arial" w:hAnsi="Arial" w:cs="Arial"/>
        </w:rPr>
        <w:t xml:space="preserve"> spolu s fatálními následky </w:t>
      </w:r>
      <w:r>
        <w:rPr>
          <w:rFonts w:ascii="Arial" w:eastAsia="Arial" w:hAnsi="Arial" w:cs="Arial"/>
        </w:rPr>
        <w:t xml:space="preserve">infekce HIV </w:t>
      </w:r>
      <w:r w:rsidR="008D0416" w:rsidRPr="00303307">
        <w:rPr>
          <w:rFonts w:ascii="Arial" w:eastAsia="Arial" w:hAnsi="Arial" w:cs="Arial"/>
        </w:rPr>
        <w:t>v minulosti však dala vzniknout i represivním systémů</w:t>
      </w:r>
      <w:r w:rsidR="00303307">
        <w:rPr>
          <w:rFonts w:ascii="Arial" w:eastAsia="Arial" w:hAnsi="Arial" w:cs="Arial"/>
        </w:rPr>
        <w:t>m</w:t>
      </w:r>
      <w:r w:rsidR="008D0416" w:rsidRPr="00303307">
        <w:rPr>
          <w:rFonts w:ascii="Arial" w:eastAsia="Arial" w:hAnsi="Arial" w:cs="Arial"/>
        </w:rPr>
        <w:t xml:space="preserve"> v podobě různých omezení pro HIV pozitivní</w:t>
      </w:r>
      <w:r w:rsidR="0010545E" w:rsidRPr="00303307">
        <w:rPr>
          <w:rFonts w:ascii="Arial" w:eastAsia="Arial" w:hAnsi="Arial" w:cs="Arial"/>
        </w:rPr>
        <w:t xml:space="preserve"> </w:t>
      </w:r>
      <w:r w:rsidR="00303307" w:rsidRPr="00303307">
        <w:rPr>
          <w:rFonts w:ascii="Arial" w:eastAsia="Arial" w:hAnsi="Arial" w:cs="Arial"/>
        </w:rPr>
        <w:t xml:space="preserve">osoby </w:t>
      </w:r>
      <w:r w:rsidR="008D0416" w:rsidRPr="00303307">
        <w:rPr>
          <w:rFonts w:ascii="Arial" w:eastAsia="Arial" w:hAnsi="Arial" w:cs="Arial"/>
        </w:rPr>
        <w:t>(zákazy vstupu či pobytu nebo různých aktivit v sexuální či jiné oblasti) a následného postihu překročení těchto zákazů. Přísné sankce byly odůvodněny právě negativní</w:t>
      </w:r>
      <w:r>
        <w:rPr>
          <w:rFonts w:ascii="Arial" w:eastAsia="Arial" w:hAnsi="Arial" w:cs="Arial"/>
        </w:rPr>
        <w:t>mi</w:t>
      </w:r>
      <w:r w:rsidR="008D0416" w:rsidRPr="00303307">
        <w:rPr>
          <w:rFonts w:ascii="Arial" w:eastAsia="Arial" w:hAnsi="Arial" w:cs="Arial"/>
        </w:rPr>
        <w:t xml:space="preserve"> následky nákazy</w:t>
      </w:r>
      <w:r w:rsidR="0010545E" w:rsidRPr="00303307">
        <w:rPr>
          <w:rFonts w:ascii="Arial" w:eastAsia="Arial" w:hAnsi="Arial" w:cs="Arial"/>
        </w:rPr>
        <w:t>, které však</w:t>
      </w:r>
      <w:r w:rsidR="008D0416" w:rsidRPr="00303307">
        <w:rPr>
          <w:rFonts w:ascii="Arial" w:eastAsia="Arial" w:hAnsi="Arial" w:cs="Arial"/>
        </w:rPr>
        <w:t xml:space="preserve"> dnes již často nemusí u postižené osoby nastat. </w:t>
      </w:r>
      <w:r w:rsidR="0010545E" w:rsidRPr="00303307">
        <w:rPr>
          <w:rFonts w:ascii="Arial" w:eastAsia="Arial" w:hAnsi="Arial" w:cs="Arial"/>
        </w:rPr>
        <w:t xml:space="preserve">Přesto v mnohých zemích světa tento sankční přístup nadále dominuje. Sankce přitom nemají žádný významný efekt na </w:t>
      </w:r>
      <w:r w:rsidR="00DC536D" w:rsidRPr="00303307">
        <w:rPr>
          <w:rFonts w:ascii="Arial" w:eastAsia="Arial" w:hAnsi="Arial" w:cs="Arial"/>
        </w:rPr>
        <w:t xml:space="preserve">chování HIV pozitivních osob ani </w:t>
      </w:r>
      <w:r w:rsidR="0010545E" w:rsidRPr="00303307">
        <w:rPr>
          <w:rFonts w:ascii="Arial" w:eastAsia="Arial" w:hAnsi="Arial" w:cs="Arial"/>
        </w:rPr>
        <w:t>celkov</w:t>
      </w:r>
      <w:r w:rsidR="00DC536D" w:rsidRPr="00303307">
        <w:rPr>
          <w:rFonts w:ascii="Arial" w:eastAsia="Arial" w:hAnsi="Arial" w:cs="Arial"/>
        </w:rPr>
        <w:t>é snížení počtu nově nakažených.</w:t>
      </w:r>
      <w:r w:rsidR="00303307">
        <w:rPr>
          <w:rStyle w:val="Znakapoznpodarou"/>
          <w:rFonts w:ascii="Arial" w:eastAsia="Arial" w:hAnsi="Arial" w:cs="Arial"/>
        </w:rPr>
        <w:footnoteReference w:id="1"/>
      </w:r>
      <w:r w:rsidR="00552530" w:rsidRPr="00552530">
        <w:rPr>
          <w:rFonts w:ascii="Arial" w:eastAsia="Arial" w:hAnsi="Arial" w:cs="Arial"/>
        </w:rPr>
        <w:t xml:space="preserve"> </w:t>
      </w:r>
      <w:r w:rsidR="00860F2F">
        <w:rPr>
          <w:rFonts w:ascii="Arial" w:eastAsia="Arial" w:hAnsi="Arial" w:cs="Arial"/>
        </w:rPr>
        <w:t>Dle</w:t>
      </w:r>
      <w:r w:rsidR="00860F2F" w:rsidRPr="00303307">
        <w:rPr>
          <w:rFonts w:ascii="Arial" w:eastAsia="Arial" w:hAnsi="Arial" w:cs="Arial"/>
        </w:rPr>
        <w:t xml:space="preserve"> Společného programu OSN pro HIV/AIDS (</w:t>
      </w:r>
      <w:r w:rsidR="00860F2F" w:rsidRPr="00C9793D">
        <w:rPr>
          <w:rFonts w:ascii="Arial" w:eastAsia="Arial" w:hAnsi="Arial" w:cs="Arial"/>
        </w:rPr>
        <w:t>Joint United Nations Programme</w:t>
      </w:r>
      <w:r w:rsidR="00860F2F" w:rsidRPr="00303307">
        <w:rPr>
          <w:rFonts w:ascii="Arial" w:eastAsia="Arial" w:hAnsi="Arial" w:cs="Arial"/>
        </w:rPr>
        <w:t xml:space="preserve"> on HIV/AIDS, zkráceně UNAIDS</w:t>
      </w:r>
      <w:r w:rsidR="00860F2F">
        <w:rPr>
          <w:rFonts w:ascii="Arial" w:eastAsia="Arial" w:hAnsi="Arial" w:cs="Arial"/>
        </w:rPr>
        <w:t>)</w:t>
      </w:r>
      <w:r w:rsidR="00860F2F" w:rsidRPr="00303307">
        <w:rPr>
          <w:rFonts w:ascii="Arial" w:eastAsia="Arial" w:hAnsi="Arial" w:cs="Arial"/>
        </w:rPr>
        <w:t xml:space="preserve"> kriminalizace HIV pozitivních osob vede k jejich </w:t>
      </w:r>
      <w:r w:rsidR="00860F2F">
        <w:rPr>
          <w:rFonts w:ascii="Arial" w:eastAsia="Arial" w:hAnsi="Arial" w:cs="Arial"/>
        </w:rPr>
        <w:t xml:space="preserve">zastrašování a tudíž </w:t>
      </w:r>
      <w:r w:rsidR="00860F2F" w:rsidRPr="00303307">
        <w:rPr>
          <w:rFonts w:ascii="Arial" w:eastAsia="Arial" w:hAnsi="Arial" w:cs="Arial"/>
        </w:rPr>
        <w:t>k nedůvěře ve státní orgány</w:t>
      </w:r>
      <w:r w:rsidR="00860F2F">
        <w:rPr>
          <w:rFonts w:ascii="Arial" w:eastAsia="Arial" w:hAnsi="Arial" w:cs="Arial"/>
        </w:rPr>
        <w:t>. Tato nedůvěra</w:t>
      </w:r>
      <w:r w:rsidR="00860F2F" w:rsidRPr="00303307">
        <w:rPr>
          <w:rFonts w:ascii="Arial" w:eastAsia="Arial" w:hAnsi="Arial" w:cs="Arial"/>
        </w:rPr>
        <w:t xml:space="preserve"> </w:t>
      </w:r>
      <w:r w:rsidR="00860F2F">
        <w:rPr>
          <w:rFonts w:ascii="Arial" w:eastAsia="Arial" w:hAnsi="Arial" w:cs="Arial"/>
        </w:rPr>
        <w:t>pak vede</w:t>
      </w:r>
      <w:r w:rsidR="00860F2F" w:rsidRPr="00303307">
        <w:rPr>
          <w:rFonts w:ascii="Arial" w:eastAsia="Arial" w:hAnsi="Arial" w:cs="Arial"/>
        </w:rPr>
        <w:t xml:space="preserve"> </w:t>
      </w:r>
      <w:r w:rsidR="00860F2F">
        <w:rPr>
          <w:rFonts w:ascii="Arial" w:eastAsia="Arial" w:hAnsi="Arial" w:cs="Arial"/>
        </w:rPr>
        <w:t xml:space="preserve">k </w:t>
      </w:r>
      <w:r w:rsidR="00860F2F" w:rsidRPr="00303307">
        <w:rPr>
          <w:rFonts w:ascii="Arial" w:eastAsia="Arial" w:hAnsi="Arial" w:cs="Arial"/>
        </w:rPr>
        <w:t>pozdním</w:t>
      </w:r>
      <w:r w:rsidR="00860F2F">
        <w:rPr>
          <w:rFonts w:ascii="Arial" w:eastAsia="Arial" w:hAnsi="Arial" w:cs="Arial"/>
        </w:rPr>
        <w:t xml:space="preserve">u odhalení HIV infekce či k </w:t>
      </w:r>
      <w:r w:rsidR="00860F2F" w:rsidRPr="00303307">
        <w:rPr>
          <w:rFonts w:ascii="Arial" w:eastAsia="Arial" w:hAnsi="Arial" w:cs="Arial"/>
        </w:rPr>
        <w:t>zatajováním HIV statusu sexuálním partnerům</w:t>
      </w:r>
      <w:r w:rsidR="00860F2F">
        <w:rPr>
          <w:rFonts w:ascii="Arial" w:eastAsia="Arial" w:hAnsi="Arial" w:cs="Arial"/>
        </w:rPr>
        <w:t>, což pak šíření nemoci dále podporuje</w:t>
      </w:r>
      <w:r w:rsidR="00860F2F" w:rsidRPr="00303307">
        <w:rPr>
          <w:rFonts w:ascii="Arial" w:eastAsia="Arial" w:hAnsi="Arial" w:cs="Arial"/>
        </w:rPr>
        <w:t>.</w:t>
      </w:r>
      <w:r w:rsidR="00860F2F" w:rsidRPr="00303307">
        <w:rPr>
          <w:rFonts w:ascii="Arial" w:eastAsia="Arial" w:hAnsi="Arial" w:cs="Arial"/>
          <w:vertAlign w:val="superscript"/>
        </w:rPr>
        <w:footnoteReference w:id="2"/>
      </w:r>
      <w:r w:rsidR="00860F2F">
        <w:rPr>
          <w:rFonts w:ascii="Arial" w:eastAsia="Arial" w:hAnsi="Arial" w:cs="Arial"/>
          <w:vertAlign w:val="superscript"/>
        </w:rPr>
        <w:t xml:space="preserve"> </w:t>
      </w:r>
      <w:r w:rsidR="00552530" w:rsidRPr="00303307">
        <w:rPr>
          <w:rFonts w:ascii="Arial" w:eastAsia="Arial" w:hAnsi="Arial" w:cs="Arial"/>
        </w:rPr>
        <w:t>Ke kriminalizaci HIV pozitivních osob navíc dochází často na základě mylných představ o způsobu a pravděpodobnosti přenosu HIV.</w:t>
      </w:r>
      <w:r w:rsidR="00552530" w:rsidRPr="00D65719">
        <w:rPr>
          <w:rFonts w:ascii="Arial" w:eastAsia="Arial" w:hAnsi="Arial" w:cs="Arial"/>
        </w:rPr>
        <w:t xml:space="preserve"> </w:t>
      </w:r>
    </w:p>
    <w:p w14:paraId="2B9F9218" w14:textId="59BDF9A5" w:rsidR="00860F2F" w:rsidRDefault="00D65719" w:rsidP="008D0416">
      <w:pPr>
        <w:spacing w:line="240" w:lineRule="auto"/>
        <w:jc w:val="both"/>
        <w:rPr>
          <w:rFonts w:ascii="Arial" w:eastAsia="Arial" w:hAnsi="Arial" w:cs="Arial"/>
        </w:rPr>
      </w:pPr>
      <w:r>
        <w:rPr>
          <w:rFonts w:ascii="Arial" w:eastAsia="Arial" w:hAnsi="Arial" w:cs="Arial"/>
        </w:rPr>
        <w:t>Podle o</w:t>
      </w:r>
      <w:r w:rsidRPr="00303307">
        <w:rPr>
          <w:rFonts w:ascii="Arial" w:eastAsia="Arial" w:hAnsi="Arial" w:cs="Arial"/>
        </w:rPr>
        <w:t xml:space="preserve">dborné veřejnosti i nevládních organizací zabývajících se léčbou a prevencí </w:t>
      </w:r>
      <w:r>
        <w:rPr>
          <w:rFonts w:ascii="Arial" w:eastAsia="Arial" w:hAnsi="Arial" w:cs="Arial"/>
        </w:rPr>
        <w:t>k</w:t>
      </w:r>
      <w:r w:rsidRPr="00303307">
        <w:rPr>
          <w:rFonts w:ascii="Arial" w:eastAsia="Arial" w:hAnsi="Arial" w:cs="Arial"/>
        </w:rPr>
        <w:t>riminalizace HIV</w:t>
      </w:r>
      <w:r>
        <w:rPr>
          <w:rFonts w:ascii="Arial" w:eastAsia="Arial" w:hAnsi="Arial" w:cs="Arial"/>
          <w:vertAlign w:val="superscript"/>
        </w:rPr>
        <w:t xml:space="preserve"> </w:t>
      </w:r>
      <w:r w:rsidR="00C5146C" w:rsidRPr="00303307">
        <w:rPr>
          <w:rFonts w:ascii="Arial" w:eastAsia="Arial" w:hAnsi="Arial" w:cs="Arial"/>
        </w:rPr>
        <w:t>nevede k účinné prevenci přenosu HIV, ale naopak podporuje předsudky o HIV pozitivních osob</w:t>
      </w:r>
      <w:r>
        <w:rPr>
          <w:rFonts w:ascii="Arial" w:eastAsia="Arial" w:hAnsi="Arial" w:cs="Arial"/>
        </w:rPr>
        <w:t>ách a přispívá k jejich stigmatizaci</w:t>
      </w:r>
      <w:r w:rsidR="00C5146C" w:rsidRPr="00303307">
        <w:rPr>
          <w:rFonts w:ascii="Arial" w:eastAsia="Arial" w:hAnsi="Arial" w:cs="Arial"/>
        </w:rPr>
        <w:t>.</w:t>
      </w:r>
      <w:r w:rsidR="00C5146C" w:rsidRPr="00303307">
        <w:rPr>
          <w:rFonts w:ascii="Arial" w:eastAsia="Arial" w:hAnsi="Arial" w:cs="Arial"/>
          <w:vertAlign w:val="superscript"/>
        </w:rPr>
        <w:footnoteReference w:id="3"/>
      </w:r>
      <w:r w:rsidR="000A7CA7" w:rsidRPr="00303307">
        <w:rPr>
          <w:rFonts w:ascii="Arial" w:eastAsia="Arial" w:hAnsi="Arial" w:cs="Arial"/>
        </w:rPr>
        <w:t xml:space="preserve"> </w:t>
      </w:r>
      <w:r>
        <w:rPr>
          <w:rFonts w:ascii="Arial" w:eastAsia="Arial" w:hAnsi="Arial" w:cs="Arial"/>
        </w:rPr>
        <w:t>Tato stigmatizace vede k diskriminaci HIV pozitivních osob, kterým j</w:t>
      </w:r>
      <w:r w:rsidR="008D0416" w:rsidRPr="00303307">
        <w:rPr>
          <w:rFonts w:ascii="Arial" w:eastAsia="Arial" w:hAnsi="Arial" w:cs="Arial"/>
        </w:rPr>
        <w:t xml:space="preserve">sou často odepírány lékařské i jiné služby, jsou propouštěny z práce, mají problém s navázáním mezilidských vztahů apod. a mohou se tak stát i sociálně </w:t>
      </w:r>
      <w:r w:rsidR="008D0416" w:rsidRPr="00303307">
        <w:rPr>
          <w:rFonts w:ascii="Arial" w:eastAsia="Arial" w:hAnsi="Arial" w:cs="Arial"/>
        </w:rPr>
        <w:lastRenderedPageBreak/>
        <w:t>vyloučenými.</w:t>
      </w:r>
      <w:r w:rsidR="008D0416" w:rsidRPr="00303307">
        <w:rPr>
          <w:rStyle w:val="Znakapoznpodarou"/>
          <w:rFonts w:ascii="Arial" w:eastAsia="Arial" w:hAnsi="Arial" w:cs="Arial"/>
        </w:rPr>
        <w:footnoteReference w:id="4"/>
      </w:r>
      <w:r w:rsidR="008D0416" w:rsidRPr="00303307">
        <w:rPr>
          <w:rFonts w:ascii="Arial" w:eastAsia="Arial" w:hAnsi="Arial" w:cs="Arial"/>
        </w:rPr>
        <w:t xml:space="preserve"> </w:t>
      </w:r>
      <w:r w:rsidR="0032251D" w:rsidRPr="00303307">
        <w:rPr>
          <w:rFonts w:ascii="Arial" w:eastAsia="Arial" w:hAnsi="Arial" w:cs="Arial"/>
        </w:rPr>
        <w:t>S</w:t>
      </w:r>
      <w:r w:rsidR="008D0416" w:rsidRPr="00303307">
        <w:rPr>
          <w:rFonts w:ascii="Arial" w:eastAsia="Arial" w:hAnsi="Arial" w:cs="Arial"/>
        </w:rPr>
        <w:t xml:space="preserve">tigmatizace </w:t>
      </w:r>
      <w:r w:rsidR="00552530">
        <w:rPr>
          <w:rFonts w:ascii="Arial" w:eastAsia="Arial" w:hAnsi="Arial" w:cs="Arial"/>
        </w:rPr>
        <w:t>a pocit vyloučení</w:t>
      </w:r>
      <w:r w:rsidR="008D0416" w:rsidRPr="00303307">
        <w:rPr>
          <w:rFonts w:ascii="Arial" w:eastAsia="Arial" w:hAnsi="Arial" w:cs="Arial"/>
        </w:rPr>
        <w:t xml:space="preserve"> může </w:t>
      </w:r>
      <w:r w:rsidR="00552530">
        <w:rPr>
          <w:rFonts w:ascii="Arial" w:eastAsia="Arial" w:hAnsi="Arial" w:cs="Arial"/>
        </w:rPr>
        <w:t>HIV pozitivní osoby</w:t>
      </w:r>
      <w:r w:rsidR="008D0416" w:rsidRPr="00303307">
        <w:rPr>
          <w:rFonts w:ascii="Arial" w:eastAsia="Arial" w:hAnsi="Arial" w:cs="Arial"/>
        </w:rPr>
        <w:t xml:space="preserve"> odrazovat i od přístupu k léčbě a naopak prohlubovat rizikový životní styl, který následně podporuje další šíření infekce. </w:t>
      </w:r>
    </w:p>
    <w:p w14:paraId="23B47C7C" w14:textId="77777777" w:rsidR="00DC536D" w:rsidRPr="00552530" w:rsidRDefault="00DC536D" w:rsidP="00552530">
      <w:pPr>
        <w:pStyle w:val="Nadpis2"/>
        <w:spacing w:line="240" w:lineRule="auto"/>
      </w:pPr>
      <w:r w:rsidRPr="00552530">
        <w:t>Základní popis situace v ČR.</w:t>
      </w:r>
    </w:p>
    <w:p w14:paraId="5E186BC0" w14:textId="7059453F" w:rsidR="0010545E" w:rsidRPr="00303307" w:rsidRDefault="00C5146C" w:rsidP="0010545E">
      <w:pPr>
        <w:spacing w:line="240" w:lineRule="auto"/>
        <w:jc w:val="both"/>
        <w:rPr>
          <w:rFonts w:ascii="Arial" w:eastAsia="Arial" w:hAnsi="Arial" w:cs="Arial"/>
        </w:rPr>
      </w:pPr>
      <w:r w:rsidRPr="00303307">
        <w:rPr>
          <w:rFonts w:ascii="Arial" w:eastAsia="Arial" w:hAnsi="Arial" w:cs="Arial"/>
        </w:rPr>
        <w:t xml:space="preserve">Podle údajů </w:t>
      </w:r>
      <w:r w:rsidR="00D1291E">
        <w:rPr>
          <w:rFonts w:ascii="Arial" w:eastAsia="Arial" w:hAnsi="Arial" w:cs="Arial"/>
        </w:rPr>
        <w:t>loňské</w:t>
      </w:r>
      <w:r w:rsidR="00D1291E" w:rsidRPr="00303307">
        <w:rPr>
          <w:rFonts w:ascii="Arial" w:eastAsia="Arial" w:hAnsi="Arial" w:cs="Arial"/>
        </w:rPr>
        <w:t xml:space="preserve"> </w:t>
      </w:r>
      <w:r w:rsidRPr="00303307">
        <w:rPr>
          <w:rFonts w:ascii="Arial" w:eastAsia="Arial" w:hAnsi="Arial" w:cs="Arial"/>
        </w:rPr>
        <w:t>mezinárodní zprávy HIV Justice Network</w:t>
      </w:r>
      <w:r w:rsidRPr="00303307">
        <w:rPr>
          <w:rFonts w:ascii="Arial" w:eastAsia="Arial" w:hAnsi="Arial" w:cs="Arial"/>
          <w:vertAlign w:val="superscript"/>
        </w:rPr>
        <w:footnoteReference w:id="5"/>
      </w:r>
      <w:r w:rsidRPr="00303307">
        <w:rPr>
          <w:rFonts w:ascii="Arial" w:eastAsia="Arial" w:hAnsi="Arial" w:cs="Arial"/>
        </w:rPr>
        <w:t xml:space="preserve"> je Česká republika na druhém místě na světě v počtu trestně stíhaných HIV osob v přepočtu na počet diagnostikovaných. </w:t>
      </w:r>
      <w:r w:rsidR="0010545E" w:rsidRPr="00303307">
        <w:rPr>
          <w:rFonts w:ascii="Arial" w:eastAsia="Arial" w:hAnsi="Arial" w:cs="Arial"/>
        </w:rPr>
        <w:t>Poslední dostupná data Evropského centra pro kontrolu nemocí (ECDC)</w:t>
      </w:r>
      <w:r w:rsidR="0010545E" w:rsidRPr="00303307">
        <w:rPr>
          <w:rFonts w:ascii="Arial" w:eastAsia="Arial" w:hAnsi="Arial" w:cs="Arial"/>
          <w:vertAlign w:val="superscript"/>
        </w:rPr>
        <w:footnoteReference w:id="6"/>
      </w:r>
      <w:r w:rsidR="0010545E" w:rsidRPr="00303307">
        <w:rPr>
          <w:rFonts w:ascii="Arial" w:eastAsia="Arial" w:hAnsi="Arial" w:cs="Arial"/>
        </w:rPr>
        <w:t xml:space="preserve"> </w:t>
      </w:r>
      <w:r w:rsidR="00552530">
        <w:rPr>
          <w:rFonts w:ascii="Arial" w:eastAsia="Arial" w:hAnsi="Arial" w:cs="Arial"/>
        </w:rPr>
        <w:t xml:space="preserve">přitom </w:t>
      </w:r>
      <w:r w:rsidR="0010545E" w:rsidRPr="00303307">
        <w:rPr>
          <w:rFonts w:ascii="Arial" w:eastAsia="Arial" w:hAnsi="Arial" w:cs="Arial"/>
        </w:rPr>
        <w:t xml:space="preserve">dokumentují, že tempo růstu incidence infekce HIV je v České republice dlouhodobě vyšší než ve státech západní Evropy. Zatímco v období 2008 – 2017 zaznamenaly státy západní Evropy pokles nových nákaz, v Česku se v tomto období tempo růstu nových nákaz zvýšilo o více než 50 %. Česká republika tak již nepatří mezi státy s nejnižší roční incidencí HIV definované jako &lt; 2 osoby na 100 tis obyvatel. Počet nových nákaz v populační skupině mužů majících sex s muži (MSM) je výrazně vyšší než v ostatních středoevropských zemích (3 – 5 osoby na 100 tis obyvatel). Česko má rovněž jeden z nejvyšších podílů nových HIV diagnóz v klíčové skupině MSM v Evropě (50 % v EU/EEA regionu, </w:t>
      </w:r>
      <w:r w:rsidR="00D1291E">
        <w:rPr>
          <w:rFonts w:ascii="Arial" w:eastAsia="Arial" w:hAnsi="Arial" w:cs="Arial"/>
        </w:rPr>
        <w:t>téměř</w:t>
      </w:r>
      <w:r w:rsidR="0010545E" w:rsidRPr="00303307">
        <w:rPr>
          <w:rFonts w:ascii="Arial" w:eastAsia="Arial" w:hAnsi="Arial" w:cs="Arial"/>
        </w:rPr>
        <w:t xml:space="preserve"> 70 % v České republice). V této populační skupině má infekce HIV v České republice ve vybraných sídlech, např. Praze, charakter koncentrované epidemie (tzn. přes 5 % populace MSM je virem HIV infikováno). </w:t>
      </w:r>
      <w:r w:rsidR="006055BE">
        <w:rPr>
          <w:rFonts w:ascii="Arial" w:eastAsia="Arial" w:hAnsi="Arial" w:cs="Arial"/>
        </w:rPr>
        <w:t xml:space="preserve">Nepříznivý trend může souviset s nedostatečnou prevencí </w:t>
      </w:r>
      <w:r w:rsidR="006055BE" w:rsidRPr="00303307">
        <w:rPr>
          <w:rFonts w:ascii="Arial" w:eastAsia="Arial" w:hAnsi="Arial" w:cs="Arial"/>
        </w:rPr>
        <w:t>(nedostatek financí, jejich nedostatečné či neefektivní zacílení, ignorování moderních trendů a přístupů</w:t>
      </w:r>
      <w:r w:rsidR="006055BE">
        <w:rPr>
          <w:rFonts w:ascii="Arial" w:eastAsia="Arial" w:hAnsi="Arial" w:cs="Arial"/>
        </w:rPr>
        <w:t xml:space="preserve"> popsaných níže apod.) a zároveň ukazuje, </w:t>
      </w:r>
      <w:r w:rsidR="0010545E" w:rsidRPr="00303307">
        <w:rPr>
          <w:rFonts w:ascii="Arial" w:eastAsia="Arial" w:hAnsi="Arial" w:cs="Arial"/>
        </w:rPr>
        <w:t>že postup České republiky v represi HIV/AIDS není efektivní</w:t>
      </w:r>
      <w:r w:rsidR="006055BE">
        <w:rPr>
          <w:rFonts w:ascii="Arial" w:eastAsia="Arial" w:hAnsi="Arial" w:cs="Arial"/>
        </w:rPr>
        <w:t>m nástrojem ochrany veřejného zdraví</w:t>
      </w:r>
      <w:r w:rsidR="0010545E" w:rsidRPr="00303307">
        <w:rPr>
          <w:rFonts w:ascii="Arial" w:eastAsia="Arial" w:hAnsi="Arial" w:cs="Arial"/>
        </w:rPr>
        <w:t xml:space="preserve">. </w:t>
      </w:r>
      <w:r w:rsidR="0015219F">
        <w:rPr>
          <w:rFonts w:ascii="Arial" w:eastAsia="Arial" w:hAnsi="Arial" w:cs="Arial"/>
        </w:rPr>
        <w:t xml:space="preserve">Výbor by proto rád vyvolal diskusi k některým konkrétním otázkám. </w:t>
      </w:r>
    </w:p>
    <w:p w14:paraId="69EA8242" w14:textId="77777777" w:rsidR="004B607B" w:rsidRPr="00303307" w:rsidRDefault="008D0416" w:rsidP="000B2506">
      <w:pPr>
        <w:pStyle w:val="Nadpis2"/>
        <w:spacing w:line="240" w:lineRule="auto"/>
      </w:pPr>
      <w:bookmarkStart w:id="4" w:name="_u014yrwagm8e" w:colFirst="0" w:colLast="0"/>
      <w:bookmarkEnd w:id="4"/>
      <w:r w:rsidRPr="00303307">
        <w:t>Omezení trestního postihu</w:t>
      </w:r>
      <w:r w:rsidR="00825AA5" w:rsidRPr="00303307">
        <w:t xml:space="preserve"> infekce HIV </w:t>
      </w:r>
    </w:p>
    <w:p w14:paraId="64941230" w14:textId="77777777" w:rsidR="004B607B" w:rsidRPr="00303307" w:rsidRDefault="008D0416" w:rsidP="008059E8">
      <w:pPr>
        <w:jc w:val="both"/>
        <w:rPr>
          <w:rFonts w:ascii="Arial" w:eastAsia="Arial" w:hAnsi="Arial" w:cs="Arial"/>
        </w:rPr>
      </w:pPr>
      <w:bookmarkStart w:id="5" w:name="_bzf3c2otw1a4" w:colFirst="0" w:colLast="0"/>
      <w:bookmarkEnd w:id="5"/>
      <w:r w:rsidRPr="00303307">
        <w:rPr>
          <w:rFonts w:ascii="Arial" w:eastAsia="Arial" w:hAnsi="Arial" w:cs="Arial"/>
        </w:rPr>
        <w:t>Trestní postih</w:t>
      </w:r>
      <w:r w:rsidR="00825AA5" w:rsidRPr="00303307">
        <w:rPr>
          <w:rFonts w:ascii="Arial" w:eastAsia="Arial" w:hAnsi="Arial" w:cs="Arial"/>
        </w:rPr>
        <w:t xml:space="preserve"> HIV pozitivních osob </w:t>
      </w:r>
      <w:r w:rsidRPr="00303307">
        <w:rPr>
          <w:rFonts w:ascii="Arial" w:eastAsia="Arial" w:hAnsi="Arial" w:cs="Arial"/>
        </w:rPr>
        <w:t>v ČR je spjat</w:t>
      </w:r>
      <w:r w:rsidR="00825AA5" w:rsidRPr="00303307">
        <w:rPr>
          <w:rFonts w:ascii="Arial" w:eastAsia="Arial" w:hAnsi="Arial" w:cs="Arial"/>
        </w:rPr>
        <w:t xml:space="preserve"> již se samotnými počátky pandemie viru HIV. Již od roku 1</w:t>
      </w:r>
      <w:r w:rsidR="00C5146C" w:rsidRPr="00303307">
        <w:rPr>
          <w:rFonts w:ascii="Arial" w:eastAsia="Arial" w:hAnsi="Arial" w:cs="Arial"/>
        </w:rPr>
        <w:t xml:space="preserve">987 bylo do českého práva AIDS </w:t>
      </w:r>
      <w:r w:rsidR="00825AA5" w:rsidRPr="00303307">
        <w:rPr>
          <w:rFonts w:ascii="Arial" w:eastAsia="Arial" w:hAnsi="Arial" w:cs="Arial"/>
        </w:rPr>
        <w:t>včet</w:t>
      </w:r>
      <w:r w:rsidR="008059E8" w:rsidRPr="00303307">
        <w:rPr>
          <w:rFonts w:ascii="Arial" w:eastAsia="Arial" w:hAnsi="Arial" w:cs="Arial"/>
        </w:rPr>
        <w:t xml:space="preserve">ně nosičství viru HIV zaneseno </w:t>
      </w:r>
      <w:r w:rsidR="00825AA5" w:rsidRPr="00303307">
        <w:rPr>
          <w:rFonts w:ascii="Arial" w:eastAsia="Arial" w:hAnsi="Arial" w:cs="Arial"/>
        </w:rPr>
        <w:t>jako nakažlivá nemoc, jejíž šíření je trestné.</w:t>
      </w:r>
      <w:r w:rsidR="00825AA5" w:rsidRPr="00303307">
        <w:rPr>
          <w:rFonts w:ascii="Arial" w:eastAsia="Arial" w:hAnsi="Arial" w:cs="Arial"/>
          <w:vertAlign w:val="superscript"/>
        </w:rPr>
        <w:footnoteReference w:id="7"/>
      </w:r>
      <w:r w:rsidR="00825AA5" w:rsidRPr="00303307">
        <w:rPr>
          <w:rFonts w:ascii="Arial" w:eastAsia="Arial" w:hAnsi="Arial" w:cs="Arial"/>
          <w:vertAlign w:val="superscript"/>
        </w:rPr>
        <w:t xml:space="preserve"> </w:t>
      </w:r>
      <w:r w:rsidR="00825AA5" w:rsidRPr="00303307">
        <w:rPr>
          <w:rFonts w:ascii="Arial" w:eastAsia="Arial" w:hAnsi="Arial" w:cs="Arial"/>
        </w:rPr>
        <w:t>Na základě judikatury</w:t>
      </w:r>
      <w:r w:rsidR="00825AA5" w:rsidRPr="00303307">
        <w:rPr>
          <w:rFonts w:ascii="Arial" w:eastAsia="Arial" w:hAnsi="Arial" w:cs="Arial"/>
          <w:vertAlign w:val="superscript"/>
        </w:rPr>
        <w:footnoteReference w:id="8"/>
      </w:r>
      <w:r w:rsidR="00825AA5" w:rsidRPr="00303307">
        <w:rPr>
          <w:rFonts w:ascii="Arial" w:eastAsia="Arial" w:hAnsi="Arial" w:cs="Arial"/>
        </w:rPr>
        <w:t xml:space="preserve"> je pak šíření HIV infekce posuzováno i jako těžké ublížení </w:t>
      </w:r>
      <w:r w:rsidRPr="00303307">
        <w:rPr>
          <w:rFonts w:ascii="Arial" w:eastAsia="Arial" w:hAnsi="Arial" w:cs="Arial"/>
        </w:rPr>
        <w:t>na zdraví</w:t>
      </w:r>
      <w:r w:rsidR="00C5146C" w:rsidRPr="00303307">
        <w:rPr>
          <w:rFonts w:ascii="Arial" w:eastAsia="Arial" w:hAnsi="Arial" w:cs="Arial"/>
          <w:vertAlign w:val="superscript"/>
        </w:rPr>
        <w:footnoteReference w:id="9"/>
      </w:r>
      <w:r w:rsidR="00C5146C" w:rsidRPr="00303307">
        <w:rPr>
          <w:rFonts w:ascii="Arial" w:eastAsia="Arial" w:hAnsi="Arial" w:cs="Arial"/>
        </w:rPr>
        <w:t xml:space="preserve"> vzhledem k závažnosti následků nákazy</w:t>
      </w:r>
      <w:r w:rsidR="00C5146C" w:rsidRPr="00303307">
        <w:rPr>
          <w:rStyle w:val="Znakapoznpodarou"/>
          <w:rFonts w:ascii="Arial" w:eastAsia="Arial" w:hAnsi="Arial" w:cs="Arial"/>
        </w:rPr>
        <w:footnoteReference w:id="10"/>
      </w:r>
      <w:r w:rsidR="00825AA5" w:rsidRPr="00303307">
        <w:rPr>
          <w:rFonts w:ascii="Arial" w:eastAsia="Arial" w:hAnsi="Arial" w:cs="Arial"/>
        </w:rPr>
        <w:t>.</w:t>
      </w:r>
    </w:p>
    <w:p w14:paraId="1F8AB114" w14:textId="39A928EE" w:rsidR="004B607B" w:rsidRPr="00303307" w:rsidRDefault="00825AA5" w:rsidP="000B2506">
      <w:pPr>
        <w:spacing w:line="240" w:lineRule="auto"/>
        <w:jc w:val="both"/>
        <w:rPr>
          <w:rFonts w:ascii="Arial" w:eastAsia="Arial" w:hAnsi="Arial" w:cs="Arial"/>
        </w:rPr>
      </w:pPr>
      <w:bookmarkStart w:id="6" w:name="_apcdp87yk5qg" w:colFirst="0" w:colLast="0"/>
      <w:bookmarkEnd w:id="6"/>
      <w:r w:rsidRPr="00303307">
        <w:rPr>
          <w:rFonts w:ascii="Arial" w:eastAsia="Arial" w:hAnsi="Arial" w:cs="Arial"/>
        </w:rPr>
        <w:t>Z analýzy relevantní české judikatury vyplývá, že v drtivé většině případů, které byly vyšetřovány orgány činnými v trestním řízení a skončily odsuzujícími rozsudky, nedošlo při nechráněném sexuálním styku k přenosu HIV infekce na jinou osobu. Soudy však toto jednání obvykle kvalifikovaly jako pokus</w:t>
      </w:r>
      <w:r w:rsidRPr="00303307">
        <w:rPr>
          <w:rFonts w:ascii="Arial" w:eastAsia="Arial" w:hAnsi="Arial" w:cs="Arial"/>
          <w:vertAlign w:val="superscript"/>
        </w:rPr>
        <w:footnoteReference w:id="11"/>
      </w:r>
      <w:r w:rsidRPr="00303307">
        <w:rPr>
          <w:rFonts w:ascii="Arial" w:eastAsia="Arial" w:hAnsi="Arial" w:cs="Arial"/>
        </w:rPr>
        <w:t xml:space="preserve"> o trestný čin spáchaný v nepřímém úmyslu</w:t>
      </w:r>
      <w:r w:rsidRPr="00303307">
        <w:rPr>
          <w:rFonts w:ascii="Arial" w:eastAsia="Arial" w:hAnsi="Arial" w:cs="Arial"/>
          <w:vertAlign w:val="superscript"/>
        </w:rPr>
        <w:footnoteReference w:id="12"/>
      </w:r>
      <w:r w:rsidRPr="00303307">
        <w:rPr>
          <w:rFonts w:ascii="Arial" w:eastAsia="Arial" w:hAnsi="Arial" w:cs="Arial"/>
        </w:rPr>
        <w:t xml:space="preserve">. </w:t>
      </w:r>
      <w:r w:rsidR="00C5146C" w:rsidRPr="00303307">
        <w:rPr>
          <w:rFonts w:ascii="Arial" w:eastAsia="Arial" w:hAnsi="Arial" w:cs="Arial"/>
        </w:rPr>
        <w:t xml:space="preserve">Jedná-li pachatel v nepřímém úmyslu, je zcela srozuměn se škodlivým následkem (byť ho primárně nezamýšlí), tj. nepočítá se žádnou konkrétní okolností, která by mohla tomuto škodlivému následku zabránit. </w:t>
      </w:r>
      <w:r w:rsidRPr="00303307">
        <w:rPr>
          <w:rFonts w:ascii="Arial" w:eastAsia="Arial" w:hAnsi="Arial" w:cs="Arial"/>
        </w:rPr>
        <w:t xml:space="preserve">Toto však neodpovídá </w:t>
      </w:r>
      <w:r w:rsidRPr="00B93E83">
        <w:rPr>
          <w:rFonts w:ascii="Arial" w:eastAsia="Arial" w:hAnsi="Arial" w:cs="Arial"/>
        </w:rPr>
        <w:t>mezinárodním odborným poznatkům. Např. z</w:t>
      </w:r>
      <w:r w:rsidR="008D0416" w:rsidRPr="00B93E83">
        <w:rPr>
          <w:rFonts w:ascii="Arial" w:eastAsia="Arial" w:hAnsi="Arial" w:cs="Arial"/>
        </w:rPr>
        <w:t> </w:t>
      </w:r>
      <w:r w:rsidR="006055BE" w:rsidRPr="00B93E83">
        <w:rPr>
          <w:rFonts w:ascii="Arial" w:eastAsia="Arial" w:hAnsi="Arial" w:cs="Arial"/>
        </w:rPr>
        <w:t>Expertního</w:t>
      </w:r>
      <w:r w:rsidRPr="00B93E83">
        <w:rPr>
          <w:rFonts w:ascii="Arial" w:eastAsia="Arial" w:hAnsi="Arial" w:cs="Arial"/>
        </w:rPr>
        <w:t xml:space="preserve"> prohlášení k vědeckým poznatkům o HIV v kontextu trestního práva</w:t>
      </w:r>
      <w:r w:rsidRPr="00B93E83">
        <w:rPr>
          <w:rFonts w:ascii="Arial" w:eastAsia="Arial" w:hAnsi="Arial" w:cs="Arial"/>
          <w:vertAlign w:val="superscript"/>
        </w:rPr>
        <w:footnoteReference w:id="13"/>
      </w:r>
      <w:r w:rsidRPr="00303307">
        <w:rPr>
          <w:rFonts w:ascii="Arial" w:eastAsia="Arial" w:hAnsi="Arial" w:cs="Arial"/>
          <w:i/>
        </w:rPr>
        <w:t xml:space="preserve"> </w:t>
      </w:r>
      <w:r w:rsidRPr="00303307">
        <w:rPr>
          <w:rFonts w:ascii="Arial" w:eastAsia="Arial" w:hAnsi="Arial" w:cs="Arial"/>
        </w:rPr>
        <w:t>zpracované</w:t>
      </w:r>
      <w:r w:rsidR="008D0416" w:rsidRPr="00303307">
        <w:rPr>
          <w:rFonts w:ascii="Arial" w:eastAsia="Arial" w:hAnsi="Arial" w:cs="Arial"/>
        </w:rPr>
        <w:t>ho</w:t>
      </w:r>
      <w:r w:rsidRPr="00303307">
        <w:rPr>
          <w:rFonts w:ascii="Arial" w:eastAsia="Arial" w:hAnsi="Arial" w:cs="Arial"/>
        </w:rPr>
        <w:t xml:space="preserve"> pro International AIDS society vyplývají následující závěry:</w:t>
      </w:r>
    </w:p>
    <w:p w14:paraId="26B8067D" w14:textId="77777777" w:rsidR="004B607B" w:rsidRPr="00303307" w:rsidRDefault="00825AA5" w:rsidP="008D0416">
      <w:pPr>
        <w:numPr>
          <w:ilvl w:val="0"/>
          <w:numId w:val="4"/>
        </w:numPr>
        <w:spacing w:before="240" w:after="0" w:line="240" w:lineRule="auto"/>
        <w:rPr>
          <w:rFonts w:ascii="Arial" w:eastAsia="Arial" w:hAnsi="Arial" w:cs="Arial"/>
        </w:rPr>
      </w:pPr>
      <w:r w:rsidRPr="00303307">
        <w:rPr>
          <w:rFonts w:ascii="Arial" w:eastAsia="Arial" w:hAnsi="Arial" w:cs="Arial"/>
        </w:rPr>
        <w:t>U naprosté většiny lidských aktivit včetně pohlavního styku je riziko přenosu HIV infekce velmi nízké (v řádu tisícin procenta)</w:t>
      </w:r>
    </w:p>
    <w:p w14:paraId="7CDDA20D" w14:textId="6C928AC1" w:rsidR="004B607B" w:rsidRPr="00303307" w:rsidRDefault="00825AA5" w:rsidP="008D0416">
      <w:pPr>
        <w:numPr>
          <w:ilvl w:val="0"/>
          <w:numId w:val="4"/>
        </w:numPr>
        <w:spacing w:after="0" w:line="240" w:lineRule="auto"/>
        <w:rPr>
          <w:rFonts w:ascii="Arial" w:eastAsia="Arial" w:hAnsi="Arial" w:cs="Arial"/>
        </w:rPr>
      </w:pPr>
      <w:r w:rsidRPr="00303307">
        <w:rPr>
          <w:rFonts w:ascii="Arial" w:eastAsia="Arial" w:hAnsi="Arial" w:cs="Arial"/>
        </w:rPr>
        <w:lastRenderedPageBreak/>
        <w:t xml:space="preserve">Nízká nebo nezjistitelná virová hladina riziko přenosu výrazně snižuje nebo zcela eliminuje (tzv. </w:t>
      </w:r>
      <w:r w:rsidR="00F134C9" w:rsidRPr="00303307">
        <w:rPr>
          <w:rFonts w:ascii="Arial" w:eastAsia="Arial" w:hAnsi="Arial" w:cs="Arial"/>
        </w:rPr>
        <w:t>doktrína</w:t>
      </w:r>
      <w:r w:rsidRPr="00303307">
        <w:rPr>
          <w:rFonts w:ascii="Arial" w:eastAsia="Arial" w:hAnsi="Arial" w:cs="Arial"/>
        </w:rPr>
        <w:t xml:space="preserve"> undetectable = untransmittable/nezjistitelný = nepřenosný)</w:t>
      </w:r>
      <w:r w:rsidRPr="00303307">
        <w:rPr>
          <w:rFonts w:ascii="Arial" w:eastAsia="Arial" w:hAnsi="Arial" w:cs="Arial"/>
          <w:vertAlign w:val="superscript"/>
        </w:rPr>
        <w:footnoteReference w:id="14"/>
      </w:r>
      <w:r w:rsidRPr="00303307">
        <w:rPr>
          <w:rFonts w:ascii="Arial" w:eastAsia="Arial" w:hAnsi="Arial" w:cs="Arial"/>
        </w:rPr>
        <w:t>.</w:t>
      </w:r>
    </w:p>
    <w:p w14:paraId="5D9ED936" w14:textId="77777777" w:rsidR="004B607B" w:rsidRPr="00303307" w:rsidRDefault="00825AA5" w:rsidP="008D0416">
      <w:pPr>
        <w:numPr>
          <w:ilvl w:val="0"/>
          <w:numId w:val="4"/>
        </w:numPr>
        <w:spacing w:after="240" w:line="240" w:lineRule="auto"/>
        <w:rPr>
          <w:rFonts w:ascii="Arial" w:eastAsia="Arial" w:hAnsi="Arial" w:cs="Arial"/>
          <w:sz w:val="24"/>
          <w:szCs w:val="24"/>
        </w:rPr>
      </w:pPr>
      <w:r w:rsidRPr="00303307">
        <w:rPr>
          <w:rFonts w:ascii="Arial" w:eastAsia="Arial" w:hAnsi="Arial" w:cs="Arial"/>
        </w:rPr>
        <w:t xml:space="preserve">Orální styk s HIV pozitivní osobou s nízkou virovou hladinou lze považovat z hlediska přenosu HIV za bezrizikový a </w:t>
      </w:r>
      <w:r w:rsidR="00C5146C" w:rsidRPr="00303307">
        <w:rPr>
          <w:rFonts w:ascii="Arial" w:eastAsia="Arial" w:hAnsi="Arial" w:cs="Arial"/>
        </w:rPr>
        <w:t>pravděpodobnost přenosu HIV</w:t>
      </w:r>
      <w:r w:rsidRPr="00303307">
        <w:rPr>
          <w:rFonts w:ascii="Arial" w:eastAsia="Arial" w:hAnsi="Arial" w:cs="Arial"/>
        </w:rPr>
        <w:t xml:space="preserve"> u jednoho análního, popř. vaginální styku s</w:t>
      </w:r>
      <w:r w:rsidR="008D0416" w:rsidRPr="00303307">
        <w:rPr>
          <w:rFonts w:ascii="Arial" w:eastAsia="Arial" w:hAnsi="Arial" w:cs="Arial"/>
        </w:rPr>
        <w:t xml:space="preserve"> takovouto </w:t>
      </w:r>
      <w:r w:rsidRPr="00303307">
        <w:rPr>
          <w:rFonts w:ascii="Arial" w:eastAsia="Arial" w:hAnsi="Arial" w:cs="Arial"/>
        </w:rPr>
        <w:t>HIV pozitivní osobou je v řádu tisícin, či desetitisícin procent. Opakovaným stykem se riziko mírně zvyšuje.</w:t>
      </w:r>
    </w:p>
    <w:p w14:paraId="31FFDCA3" w14:textId="77777777" w:rsidR="00C5146C" w:rsidRPr="00303307" w:rsidRDefault="00C5146C" w:rsidP="000B2506">
      <w:pPr>
        <w:spacing w:line="240" w:lineRule="auto"/>
        <w:jc w:val="both"/>
        <w:rPr>
          <w:rFonts w:ascii="Arial" w:eastAsia="Arial" w:hAnsi="Arial" w:cs="Arial"/>
        </w:rPr>
      </w:pPr>
      <w:r w:rsidRPr="00303307">
        <w:rPr>
          <w:rFonts w:ascii="Arial" w:eastAsia="Arial" w:hAnsi="Arial" w:cs="Arial"/>
        </w:rPr>
        <w:t>Okolnosti jako méně riziková forma pohlavního styku či nízká virová nálož jsou právě těmi okolnostmi, se kterými může HIV pozitivní osoba relevantně počítat, že výrazně sníží riziko škodlivého následku. Takové jednání by bylo vhodnější ve většině</w:t>
      </w:r>
      <w:r w:rsidR="00B93E83">
        <w:rPr>
          <w:rFonts w:ascii="Arial" w:eastAsia="Arial" w:hAnsi="Arial" w:cs="Arial"/>
        </w:rPr>
        <w:t xml:space="preserve"> případů posuzovat jako vědomě</w:t>
      </w:r>
      <w:r w:rsidRPr="00303307">
        <w:rPr>
          <w:rFonts w:ascii="Arial" w:eastAsia="Arial" w:hAnsi="Arial" w:cs="Arial"/>
        </w:rPr>
        <w:t xml:space="preserve"> nedbalostní. </w:t>
      </w:r>
      <w:r w:rsidR="00825AA5" w:rsidRPr="00303307">
        <w:rPr>
          <w:rFonts w:ascii="Arial" w:eastAsia="Arial" w:hAnsi="Arial" w:cs="Arial"/>
        </w:rPr>
        <w:t xml:space="preserve">Jedná-li </w:t>
      </w:r>
      <w:r w:rsidR="00B93E83">
        <w:rPr>
          <w:rFonts w:ascii="Arial" w:eastAsia="Arial" w:hAnsi="Arial" w:cs="Arial"/>
        </w:rPr>
        <w:t xml:space="preserve">někdo </w:t>
      </w:r>
      <w:r w:rsidR="00825AA5" w:rsidRPr="00303307">
        <w:rPr>
          <w:rFonts w:ascii="Arial" w:eastAsia="Arial" w:hAnsi="Arial" w:cs="Arial"/>
        </w:rPr>
        <w:t xml:space="preserve">vědomě nedbale, spoléhá (byť nepřiměřeně) na určitou okolnost, </w:t>
      </w:r>
      <w:r w:rsidR="00B93E83">
        <w:rPr>
          <w:rFonts w:ascii="Arial" w:eastAsia="Arial" w:hAnsi="Arial" w:cs="Arial"/>
        </w:rPr>
        <w:t xml:space="preserve">která může škodlivému následku </w:t>
      </w:r>
      <w:r w:rsidR="00825AA5" w:rsidRPr="00303307">
        <w:rPr>
          <w:rFonts w:ascii="Arial" w:eastAsia="Arial" w:hAnsi="Arial" w:cs="Arial"/>
        </w:rPr>
        <w:t>zabránit. Pak ovšem by bylo trestné jen způsobení těžké újmy na zdraví, tj. skutečné přenesení HIV infekce, neboť u nedbalostního trestného činu logicky nelze postihovat pokus k jeho spáchání.</w:t>
      </w:r>
      <w:r w:rsidR="008D0416" w:rsidRPr="00303307">
        <w:rPr>
          <w:rFonts w:ascii="Arial" w:eastAsia="Arial" w:hAnsi="Arial" w:cs="Arial"/>
        </w:rPr>
        <w:t xml:space="preserve"> </w:t>
      </w:r>
    </w:p>
    <w:p w14:paraId="3FC021E5" w14:textId="77777777" w:rsidR="008D0416" w:rsidRPr="00303307" w:rsidRDefault="00825AA5" w:rsidP="000B2506">
      <w:pPr>
        <w:spacing w:line="240" w:lineRule="auto"/>
        <w:jc w:val="both"/>
        <w:rPr>
          <w:rFonts w:ascii="Arial" w:eastAsia="Arial" w:hAnsi="Arial" w:cs="Arial"/>
        </w:rPr>
      </w:pPr>
      <w:r w:rsidRPr="00303307">
        <w:rPr>
          <w:rFonts w:ascii="Arial" w:eastAsia="Arial" w:hAnsi="Arial" w:cs="Arial"/>
        </w:rPr>
        <w:t xml:space="preserve">Česká trestněprávní judikatura a praxe jsou tedy v současnosti založeny na odborných předpokladech, které neodpovídají </w:t>
      </w:r>
      <w:r w:rsidR="008D0416" w:rsidRPr="00303307">
        <w:rPr>
          <w:rFonts w:ascii="Arial" w:eastAsia="Arial" w:hAnsi="Arial" w:cs="Arial"/>
        </w:rPr>
        <w:t>aktuálním</w:t>
      </w:r>
      <w:r w:rsidRPr="00303307">
        <w:rPr>
          <w:rFonts w:ascii="Arial" w:eastAsia="Arial" w:hAnsi="Arial" w:cs="Arial"/>
        </w:rPr>
        <w:t xml:space="preserve"> poznatkům v oblasti medicíny i jiných disciplín. </w:t>
      </w:r>
      <w:r w:rsidR="008D0416" w:rsidRPr="00303307">
        <w:rPr>
          <w:rFonts w:ascii="Arial" w:eastAsia="Arial" w:hAnsi="Arial" w:cs="Arial"/>
        </w:rPr>
        <w:t>Tím se však do určité míry popírá i základní zásada subsidiarity trestního práva, která ukládá trestní postih uplatňovat jen ve společensky škodlivých případech, kdy jiný typ právní odpovědnosti nestačí.</w:t>
      </w:r>
      <w:r w:rsidR="008D0416" w:rsidRPr="00303307">
        <w:rPr>
          <w:rStyle w:val="Znakapoznpodarou"/>
          <w:rFonts w:ascii="Arial" w:eastAsia="Arial" w:hAnsi="Arial" w:cs="Arial"/>
        </w:rPr>
        <w:footnoteReference w:id="15"/>
      </w:r>
      <w:r w:rsidR="008D0416" w:rsidRPr="00303307">
        <w:rPr>
          <w:rFonts w:ascii="Arial" w:eastAsia="Arial" w:hAnsi="Arial" w:cs="Arial"/>
        </w:rPr>
        <w:t xml:space="preserve"> Posouzení společenské škodlivosti a její míry by přitom měly být založeny právě na objektivním a aktuálním vědeckém poznání relevantních skutečností.</w:t>
      </w:r>
    </w:p>
    <w:p w14:paraId="48E12F60" w14:textId="5E6A7085" w:rsidR="004B607B" w:rsidRPr="00303307" w:rsidRDefault="00825AA5" w:rsidP="000B2506">
      <w:pPr>
        <w:spacing w:line="240" w:lineRule="auto"/>
        <w:jc w:val="both"/>
        <w:rPr>
          <w:rFonts w:ascii="Arial" w:eastAsia="Arial" w:hAnsi="Arial" w:cs="Arial"/>
        </w:rPr>
      </w:pPr>
      <w:r w:rsidRPr="00303307">
        <w:rPr>
          <w:rFonts w:ascii="Arial" w:eastAsia="Arial" w:hAnsi="Arial" w:cs="Arial"/>
        </w:rPr>
        <w:t xml:space="preserve">Proto Výbor navrhuje zpřesnit právní úpravu vymezení </w:t>
      </w:r>
      <w:r w:rsidR="00F4168F" w:rsidRPr="00303307">
        <w:rPr>
          <w:rFonts w:ascii="Arial" w:eastAsia="Arial" w:hAnsi="Arial" w:cs="Arial"/>
        </w:rPr>
        <w:t>HIV</w:t>
      </w:r>
      <w:r w:rsidRPr="00303307">
        <w:rPr>
          <w:rFonts w:ascii="Arial" w:eastAsia="Arial" w:hAnsi="Arial" w:cs="Arial"/>
        </w:rPr>
        <w:t>/</w:t>
      </w:r>
      <w:r w:rsidR="00F4168F" w:rsidRPr="00303307">
        <w:rPr>
          <w:rFonts w:ascii="Arial" w:eastAsia="Arial" w:hAnsi="Arial" w:cs="Arial"/>
        </w:rPr>
        <w:t xml:space="preserve">AIDS </w:t>
      </w:r>
      <w:r w:rsidRPr="00303307">
        <w:rPr>
          <w:rFonts w:ascii="Arial" w:eastAsia="Arial" w:hAnsi="Arial" w:cs="Arial"/>
        </w:rPr>
        <w:t xml:space="preserve">jako nakažlivé lidské nemoci, jejíž šíření by mělo být trestně postihováno, doplněním dolní hranice virové nálože, která je v souladu s výše popsanou doktrínou U=U medicínsky a tudíž trestněprávně relevantní, neboť </w:t>
      </w:r>
      <w:r w:rsidR="00F4168F" w:rsidRPr="00303307">
        <w:rPr>
          <w:rFonts w:ascii="Arial" w:eastAsia="Arial" w:hAnsi="Arial" w:cs="Arial"/>
        </w:rPr>
        <w:t>při</w:t>
      </w:r>
      <w:r w:rsidRPr="00303307">
        <w:rPr>
          <w:rFonts w:ascii="Arial" w:eastAsia="Arial" w:hAnsi="Arial" w:cs="Arial"/>
        </w:rPr>
        <w:t xml:space="preserve"> jejím překročení je zde relevantní riziko přenosu a nákazy. Dále navrhuje vytvořit pro</w:t>
      </w:r>
      <w:r w:rsidR="00B32C84">
        <w:rPr>
          <w:rFonts w:ascii="Arial" w:eastAsia="Arial" w:hAnsi="Arial" w:cs="Arial"/>
        </w:rPr>
        <w:t xml:space="preserve"> </w:t>
      </w:r>
      <w:r w:rsidRPr="00303307">
        <w:rPr>
          <w:rFonts w:ascii="Arial" w:eastAsia="Arial" w:hAnsi="Arial" w:cs="Arial"/>
        </w:rPr>
        <w:t>Policii ČR a státní zastupitelství</w:t>
      </w:r>
      <w:r w:rsidR="00074540" w:rsidRPr="00074540">
        <w:rPr>
          <w:rFonts w:ascii="Arial" w:eastAsia="Arial" w:hAnsi="Arial" w:cs="Arial"/>
        </w:rPr>
        <w:t xml:space="preserve"> </w:t>
      </w:r>
      <w:r w:rsidR="00074540">
        <w:rPr>
          <w:rFonts w:ascii="Arial" w:eastAsia="Arial" w:hAnsi="Arial" w:cs="Arial"/>
        </w:rPr>
        <w:t xml:space="preserve">jako </w:t>
      </w:r>
      <w:r w:rsidR="00074540" w:rsidRPr="00303307">
        <w:rPr>
          <w:rFonts w:ascii="Arial" w:eastAsia="Arial" w:hAnsi="Arial" w:cs="Arial"/>
        </w:rPr>
        <w:t>orgány činné v trestním řízení</w:t>
      </w:r>
      <w:r w:rsidRPr="00303307">
        <w:rPr>
          <w:rFonts w:ascii="Arial" w:eastAsia="Arial" w:hAnsi="Arial" w:cs="Arial"/>
        </w:rPr>
        <w:t xml:space="preserve"> metodický </w:t>
      </w:r>
      <w:r w:rsidRPr="00303307">
        <w:rPr>
          <w:rFonts w:ascii="Arial" w:eastAsia="Arial" w:hAnsi="Arial" w:cs="Arial"/>
          <w:color w:val="000000"/>
        </w:rPr>
        <w:t xml:space="preserve">pokyn, který by </w:t>
      </w:r>
      <w:r w:rsidR="008D0416" w:rsidRPr="00303307">
        <w:rPr>
          <w:rFonts w:ascii="Arial" w:eastAsia="Arial" w:hAnsi="Arial" w:cs="Arial"/>
          <w:color w:val="000000"/>
        </w:rPr>
        <w:t>obsahoval</w:t>
      </w:r>
      <w:r w:rsidRPr="00303307">
        <w:rPr>
          <w:rFonts w:ascii="Arial" w:eastAsia="Arial" w:hAnsi="Arial" w:cs="Arial"/>
          <w:color w:val="000000"/>
        </w:rPr>
        <w:t xml:space="preserve"> aktuální vědecké poznatky o způsobech a možnostech šíření HIV</w:t>
      </w:r>
      <w:r w:rsidR="00AB5F48" w:rsidRPr="00303307">
        <w:rPr>
          <w:rFonts w:ascii="Arial" w:eastAsia="Arial" w:hAnsi="Arial" w:cs="Arial"/>
          <w:color w:val="000000"/>
        </w:rPr>
        <w:t>, aby povaha a společenská nebezpečnost jednání HIV pozitivních osob byly v trestních řízeních řádně posuzovány</w:t>
      </w:r>
      <w:r w:rsidR="008D0416" w:rsidRPr="00303307">
        <w:rPr>
          <w:rFonts w:ascii="Arial" w:eastAsia="Arial" w:hAnsi="Arial" w:cs="Arial"/>
          <w:color w:val="000000"/>
        </w:rPr>
        <w:t xml:space="preserve"> v souladu s principem subsidiarity a proporcionality</w:t>
      </w:r>
      <w:r w:rsidRPr="00303307">
        <w:rPr>
          <w:rFonts w:ascii="Arial" w:eastAsia="Arial" w:hAnsi="Arial" w:cs="Arial"/>
          <w:color w:val="000000"/>
        </w:rPr>
        <w:t xml:space="preserve">. </w:t>
      </w:r>
      <w:r w:rsidR="00AB5F48" w:rsidRPr="00303307">
        <w:rPr>
          <w:rFonts w:ascii="Arial" w:eastAsia="Arial" w:hAnsi="Arial" w:cs="Arial"/>
          <w:color w:val="000000"/>
        </w:rPr>
        <w:t xml:space="preserve">Tématika šíření HIV/AIDS by měla být rovněž zařazena do policejního a justičního vzdělávání. </w:t>
      </w:r>
      <w:r w:rsidR="008D0416" w:rsidRPr="00303307">
        <w:rPr>
          <w:rFonts w:ascii="Arial" w:eastAsia="Arial" w:hAnsi="Arial" w:cs="Arial"/>
        </w:rPr>
        <w:t>Konečně V</w:t>
      </w:r>
      <w:r w:rsidRPr="00303307">
        <w:rPr>
          <w:rFonts w:ascii="Arial" w:eastAsia="Arial" w:hAnsi="Arial" w:cs="Arial"/>
        </w:rPr>
        <w:t xml:space="preserve">ýbor považuje za </w:t>
      </w:r>
      <w:r w:rsidR="008D0416" w:rsidRPr="00303307">
        <w:rPr>
          <w:rFonts w:ascii="Arial" w:eastAsia="Arial" w:hAnsi="Arial" w:cs="Arial"/>
        </w:rPr>
        <w:t>vhodné</w:t>
      </w:r>
      <w:r w:rsidR="00F4168F" w:rsidRPr="00303307">
        <w:rPr>
          <w:rFonts w:ascii="Arial" w:eastAsia="Arial" w:hAnsi="Arial" w:cs="Arial"/>
        </w:rPr>
        <w:t>, aby mezi odborníky</w:t>
      </w:r>
      <w:r w:rsidRPr="00303307">
        <w:rPr>
          <w:rFonts w:ascii="Arial" w:eastAsia="Arial" w:hAnsi="Arial" w:cs="Arial"/>
        </w:rPr>
        <w:t xml:space="preserve"> započala </w:t>
      </w:r>
      <w:r w:rsidRPr="00303307">
        <w:rPr>
          <w:rFonts w:ascii="Arial" w:eastAsia="Arial" w:hAnsi="Arial" w:cs="Arial"/>
          <w:color w:val="000000"/>
        </w:rPr>
        <w:t>širší diskuze nad tím, do jaké míry kriminalizace šíření HIV infekce přispívá či naopak škodí veřejnému zdraví</w:t>
      </w:r>
      <w:r w:rsidRPr="00303307">
        <w:rPr>
          <w:rFonts w:ascii="Arial" w:eastAsia="Arial" w:hAnsi="Arial" w:cs="Arial"/>
        </w:rPr>
        <w:t xml:space="preserve"> a do jaké míry sleduje cíle trestněprávní politiky. </w:t>
      </w:r>
    </w:p>
    <w:p w14:paraId="01E33FE9" w14:textId="77777777" w:rsidR="004B607B" w:rsidRPr="00303307" w:rsidRDefault="00825AA5" w:rsidP="008C0012">
      <w:pPr>
        <w:pStyle w:val="Nadpis2"/>
        <w:spacing w:line="240" w:lineRule="auto"/>
      </w:pPr>
      <w:r w:rsidRPr="00303307">
        <w:t>Oznamovací povinnost tzv. nosičů</w:t>
      </w:r>
    </w:p>
    <w:p w14:paraId="06176C72" w14:textId="77777777" w:rsidR="004B607B" w:rsidRPr="00303307" w:rsidRDefault="00825AA5" w:rsidP="000B2506">
      <w:pPr>
        <w:spacing w:line="240" w:lineRule="auto"/>
        <w:jc w:val="both"/>
        <w:rPr>
          <w:rFonts w:ascii="Arial" w:eastAsia="Arial" w:hAnsi="Arial" w:cs="Arial"/>
        </w:rPr>
      </w:pPr>
      <w:r w:rsidRPr="00303307">
        <w:rPr>
          <w:rFonts w:ascii="Arial" w:eastAsia="Arial" w:hAnsi="Arial" w:cs="Arial"/>
        </w:rPr>
        <w:t>Zákon o ochraně veřejného zdraví ukládá osobám, které jsou nakaženy virem lidského imunodeficitu, bři</w:t>
      </w:r>
      <w:r w:rsidR="00AB5F48" w:rsidRPr="00303307">
        <w:rPr>
          <w:rFonts w:ascii="Arial" w:eastAsia="Arial" w:hAnsi="Arial" w:cs="Arial"/>
        </w:rPr>
        <w:t xml:space="preserve">šním tyfem a paratyfem či trpí </w:t>
      </w:r>
      <w:r w:rsidRPr="00303307">
        <w:rPr>
          <w:rFonts w:ascii="Arial" w:eastAsia="Arial" w:hAnsi="Arial" w:cs="Arial"/>
        </w:rPr>
        <w:t xml:space="preserve">chronickým virovým zánětem jater B a C (tzv. </w:t>
      </w:r>
      <w:r w:rsidR="00203A70" w:rsidRPr="00303307">
        <w:rPr>
          <w:rFonts w:ascii="Arial" w:eastAsia="Arial" w:hAnsi="Arial" w:cs="Arial"/>
        </w:rPr>
        <w:t>„</w:t>
      </w:r>
      <w:r w:rsidRPr="00303307">
        <w:rPr>
          <w:rFonts w:ascii="Arial" w:eastAsia="Arial" w:hAnsi="Arial" w:cs="Arial"/>
        </w:rPr>
        <w:t>nosič</w:t>
      </w:r>
      <w:r w:rsidR="00203A70" w:rsidRPr="00303307">
        <w:rPr>
          <w:rFonts w:ascii="Arial" w:eastAsia="Arial" w:hAnsi="Arial" w:cs="Arial"/>
        </w:rPr>
        <w:t>“</w:t>
      </w:r>
      <w:r w:rsidRPr="00303307">
        <w:rPr>
          <w:rFonts w:ascii="Arial" w:eastAsia="Arial" w:hAnsi="Arial" w:cs="Arial"/>
        </w:rPr>
        <w:t>) a vědí o své nákaze, aby o ní informovaly poskytovatele zdravotních služeb v souvislosti s podstupováním lékařských úkonů a přijetím do ústavní zdravotní nebo sociální péče.</w:t>
      </w:r>
      <w:r w:rsidRPr="00303307">
        <w:rPr>
          <w:rFonts w:ascii="Arial" w:eastAsia="Arial" w:hAnsi="Arial" w:cs="Arial"/>
          <w:vertAlign w:val="superscript"/>
        </w:rPr>
        <w:footnoteReference w:id="16"/>
      </w:r>
      <w:r w:rsidRPr="00303307">
        <w:rPr>
          <w:rFonts w:ascii="Arial" w:eastAsia="Arial" w:hAnsi="Arial" w:cs="Arial"/>
        </w:rPr>
        <w:t xml:space="preserve"> Zdravotní stav je přitom osobním údajem vypovídajícím poměrně významně o svém nositeli a je proto </w:t>
      </w:r>
      <w:r w:rsidR="00C07B3B" w:rsidRPr="00303307">
        <w:rPr>
          <w:rFonts w:ascii="Arial" w:eastAsia="Arial" w:hAnsi="Arial" w:cs="Arial"/>
        </w:rPr>
        <w:t>také</w:t>
      </w:r>
      <w:r w:rsidRPr="00303307">
        <w:rPr>
          <w:rFonts w:ascii="Arial" w:eastAsia="Arial" w:hAnsi="Arial" w:cs="Arial"/>
        </w:rPr>
        <w:t xml:space="preserve"> jedním ze zvlášť chráněných osobních údajů</w:t>
      </w:r>
      <w:r w:rsidR="00F4168F" w:rsidRPr="00303307">
        <w:rPr>
          <w:rFonts w:ascii="Arial" w:eastAsia="Arial" w:hAnsi="Arial" w:cs="Arial"/>
        </w:rPr>
        <w:t>.</w:t>
      </w:r>
      <w:r w:rsidRPr="00303307">
        <w:rPr>
          <w:rFonts w:ascii="Arial" w:eastAsia="Arial" w:hAnsi="Arial" w:cs="Arial"/>
          <w:vertAlign w:val="superscript"/>
        </w:rPr>
        <w:footnoteReference w:id="17"/>
      </w:r>
      <w:r w:rsidR="00C07B3B" w:rsidRPr="00303307">
        <w:rPr>
          <w:rFonts w:ascii="Arial" w:eastAsia="Arial" w:hAnsi="Arial" w:cs="Arial"/>
        </w:rPr>
        <w:t xml:space="preserve"> Informace o zdravotním stavu</w:t>
      </w:r>
      <w:r w:rsidRPr="00303307">
        <w:rPr>
          <w:rFonts w:ascii="Arial" w:eastAsia="Arial" w:hAnsi="Arial" w:cs="Arial"/>
        </w:rPr>
        <w:t xml:space="preserve"> by měly být využívány p</w:t>
      </w:r>
      <w:r w:rsidR="00C07B3B" w:rsidRPr="00303307">
        <w:rPr>
          <w:rFonts w:ascii="Arial" w:eastAsia="Arial" w:hAnsi="Arial" w:cs="Arial"/>
        </w:rPr>
        <w:t>rimárně se souhlasem dané osoby anebo ze závažných důvodů</w:t>
      </w:r>
      <w:r w:rsidRPr="00303307">
        <w:rPr>
          <w:rFonts w:ascii="Arial" w:eastAsia="Arial" w:hAnsi="Arial" w:cs="Arial"/>
        </w:rPr>
        <w:t>, které převáží nad právem pacienta na jeho informační sebeurčení.</w:t>
      </w:r>
      <w:r w:rsidR="00F4168F" w:rsidRPr="00303307">
        <w:rPr>
          <w:rFonts w:ascii="Arial" w:eastAsia="Arial" w:hAnsi="Arial" w:cs="Arial"/>
          <w:vertAlign w:val="superscript"/>
        </w:rPr>
        <w:footnoteReference w:id="18"/>
      </w:r>
      <w:r w:rsidR="00F4168F" w:rsidRPr="00303307">
        <w:rPr>
          <w:rFonts w:ascii="Arial" w:eastAsia="Arial" w:hAnsi="Arial" w:cs="Arial"/>
        </w:rPr>
        <w:t xml:space="preserve"> </w:t>
      </w:r>
      <w:r w:rsidRPr="00303307">
        <w:rPr>
          <w:rFonts w:ascii="Arial" w:eastAsia="Arial" w:hAnsi="Arial" w:cs="Arial"/>
        </w:rPr>
        <w:t>Tyto důvody přitom mohou spočívat např. v poskytování zdravotní péče či ochraně veřejného zdraví</w:t>
      </w:r>
      <w:r w:rsidR="00C07B3B" w:rsidRPr="00303307">
        <w:rPr>
          <w:rFonts w:ascii="Arial" w:eastAsia="Arial" w:hAnsi="Arial" w:cs="Arial"/>
        </w:rPr>
        <w:t xml:space="preserve"> před nakažlivými nemocemi</w:t>
      </w:r>
      <w:r w:rsidRPr="00303307">
        <w:rPr>
          <w:rFonts w:ascii="Arial" w:eastAsia="Arial" w:hAnsi="Arial" w:cs="Arial"/>
        </w:rPr>
        <w:t xml:space="preserve">. Přijatá opatření však musí směřovat k jejich dosažení a nesmí práva subjektů údajů omezovat nad nezbytně nutnou míru. </w:t>
      </w:r>
    </w:p>
    <w:p w14:paraId="4BA7F7A1" w14:textId="381959D6" w:rsidR="00C07B3B" w:rsidRPr="00303307" w:rsidRDefault="00825AA5" w:rsidP="000B2506">
      <w:pPr>
        <w:spacing w:line="240" w:lineRule="auto"/>
        <w:jc w:val="both"/>
        <w:rPr>
          <w:rFonts w:ascii="Arial" w:eastAsia="Arial" w:hAnsi="Arial" w:cs="Arial"/>
        </w:rPr>
      </w:pPr>
      <w:r w:rsidRPr="00303307">
        <w:rPr>
          <w:rFonts w:ascii="Arial" w:eastAsia="Arial" w:hAnsi="Arial" w:cs="Arial"/>
        </w:rPr>
        <w:lastRenderedPageBreak/>
        <w:t xml:space="preserve">Ze zákonné dikce plyne, že důvodem oznamovací povinnosti má být možnost přijetí speciálních postupů a opatření, které by měly omezit možnost nákazy u zdravotnických pracovníků i dalších osob. Příslušné metodické dokumenty vydané Ministerstvem zdravotnictví však u osob nemocných HIV/AID žádaná takovéto opatření nepředpokládají a k zajištění ochrany zdravotnických pracovníků a pacientů před přenosem HIV </w:t>
      </w:r>
      <w:r w:rsidR="00C07B3B" w:rsidRPr="00303307">
        <w:rPr>
          <w:rFonts w:ascii="Arial" w:eastAsia="Arial" w:hAnsi="Arial" w:cs="Arial"/>
        </w:rPr>
        <w:t xml:space="preserve">podle nich </w:t>
      </w:r>
      <w:r w:rsidRPr="00303307">
        <w:rPr>
          <w:rFonts w:ascii="Arial" w:eastAsia="Arial" w:hAnsi="Arial" w:cs="Arial"/>
        </w:rPr>
        <w:t xml:space="preserve">stačí plně dodržování běžných zásad </w:t>
      </w:r>
      <w:r w:rsidR="00AB5F48" w:rsidRPr="00303307">
        <w:rPr>
          <w:rFonts w:ascii="Arial" w:eastAsia="Arial" w:hAnsi="Arial" w:cs="Arial"/>
        </w:rPr>
        <w:t>pre</w:t>
      </w:r>
      <w:r w:rsidRPr="00303307">
        <w:rPr>
          <w:rFonts w:ascii="Arial" w:eastAsia="Arial" w:hAnsi="Arial" w:cs="Arial"/>
        </w:rPr>
        <w:t>vence infekcí spojených s</w:t>
      </w:r>
      <w:r w:rsidR="00C07B3B" w:rsidRPr="00303307">
        <w:rPr>
          <w:rFonts w:ascii="Arial" w:eastAsia="Arial" w:hAnsi="Arial" w:cs="Arial"/>
        </w:rPr>
        <w:t xml:space="preserve">  </w:t>
      </w:r>
      <w:r w:rsidRPr="00303307">
        <w:rPr>
          <w:rFonts w:ascii="Arial" w:eastAsia="Arial" w:hAnsi="Arial" w:cs="Arial"/>
        </w:rPr>
        <w:t>poskytováním zdravotní služby při příjmu nemocných, jejich ošetření, vyšetřování a léčení a při</w:t>
      </w:r>
      <w:r w:rsidR="00BF1454" w:rsidRPr="00303307">
        <w:rPr>
          <w:rFonts w:ascii="Arial" w:eastAsia="Arial" w:hAnsi="Arial" w:cs="Arial"/>
        </w:rPr>
        <w:t xml:space="preserve"> zdravotním</w:t>
      </w:r>
      <w:r w:rsidRPr="00303307">
        <w:rPr>
          <w:rFonts w:ascii="Arial" w:eastAsia="Arial" w:hAnsi="Arial" w:cs="Arial"/>
        </w:rPr>
        <w:t xml:space="preserve"> provozu včetně zásad dezinfekce a sterilizace a případně zásad stanovených k prevenci přenosu HBV podle příslušných právníc</w:t>
      </w:r>
      <w:r w:rsidR="00AB5F48" w:rsidRPr="00303307">
        <w:rPr>
          <w:rFonts w:ascii="Arial" w:eastAsia="Arial" w:hAnsi="Arial" w:cs="Arial"/>
        </w:rPr>
        <w:t>h předpisů a metodických pokynů</w:t>
      </w:r>
      <w:r w:rsidRPr="00303307">
        <w:rPr>
          <w:rFonts w:ascii="Arial" w:eastAsia="Arial" w:hAnsi="Arial" w:cs="Arial"/>
        </w:rPr>
        <w:t>. Další speciální opatření nejsou nutná.</w:t>
      </w:r>
      <w:r w:rsidRPr="00303307">
        <w:rPr>
          <w:rFonts w:ascii="Arial" w:eastAsia="Arial" w:hAnsi="Arial" w:cs="Arial"/>
          <w:vertAlign w:val="superscript"/>
        </w:rPr>
        <w:footnoteReference w:id="19"/>
      </w:r>
      <w:r w:rsidRPr="00303307">
        <w:rPr>
          <w:rFonts w:ascii="Arial" w:eastAsia="Arial" w:hAnsi="Arial" w:cs="Arial"/>
        </w:rPr>
        <w:t xml:space="preserve"> </w:t>
      </w:r>
      <w:r w:rsidR="00C07B3B" w:rsidRPr="00303307">
        <w:rPr>
          <w:rFonts w:ascii="Arial" w:eastAsia="Arial" w:hAnsi="Arial" w:cs="Arial"/>
        </w:rPr>
        <w:t xml:space="preserve">V tomto </w:t>
      </w:r>
      <w:r w:rsidR="00BF1454" w:rsidRPr="00303307">
        <w:rPr>
          <w:rFonts w:ascii="Arial" w:eastAsia="Arial" w:hAnsi="Arial" w:cs="Arial"/>
        </w:rPr>
        <w:t>směru</w:t>
      </w:r>
      <w:r w:rsidR="00C07B3B" w:rsidRPr="00303307">
        <w:rPr>
          <w:rFonts w:ascii="Arial" w:eastAsia="Arial" w:hAnsi="Arial" w:cs="Arial"/>
        </w:rPr>
        <w:t xml:space="preserve"> sdělení diagnózy nemá žádný </w:t>
      </w:r>
      <w:r w:rsidR="003B5324" w:rsidRPr="00303307">
        <w:rPr>
          <w:rFonts w:ascii="Arial" w:eastAsia="Arial" w:hAnsi="Arial" w:cs="Arial"/>
        </w:rPr>
        <w:t xml:space="preserve">medicínsky a tudíž ani </w:t>
      </w:r>
      <w:r w:rsidR="00C07B3B" w:rsidRPr="00303307">
        <w:rPr>
          <w:rFonts w:ascii="Arial" w:eastAsia="Arial" w:hAnsi="Arial" w:cs="Arial"/>
        </w:rPr>
        <w:t xml:space="preserve">právně relevantní důvod. </w:t>
      </w:r>
      <w:r w:rsidR="009D3859" w:rsidRPr="00303307">
        <w:rPr>
          <w:rFonts w:ascii="Arial" w:eastAsia="Arial" w:hAnsi="Arial" w:cs="Arial"/>
        </w:rPr>
        <w:t>Tím celá povinnost sdělení smysl a tím pádem i legitimitu a může se tak stát naopak neoprávněným zásahem do pacientova informačního sebeurčení.</w:t>
      </w:r>
    </w:p>
    <w:p w14:paraId="1C260891" w14:textId="04ED7AAF" w:rsidR="009D3859" w:rsidRDefault="003B5324" w:rsidP="000B2506">
      <w:pPr>
        <w:spacing w:line="240" w:lineRule="auto"/>
        <w:jc w:val="both"/>
        <w:rPr>
          <w:rFonts w:ascii="Arial" w:eastAsia="Arial" w:hAnsi="Arial" w:cs="Arial"/>
        </w:rPr>
      </w:pPr>
      <w:r w:rsidRPr="00303307">
        <w:rPr>
          <w:rFonts w:ascii="Arial" w:eastAsia="Arial" w:hAnsi="Arial" w:cs="Arial"/>
        </w:rPr>
        <w:t>Na druhou stranu, pacient má vždy před zahájením léčby obecnou povinnost</w:t>
      </w:r>
      <w:r w:rsidR="004C7DDD" w:rsidRPr="00303307">
        <w:rPr>
          <w:rFonts w:ascii="Arial" w:eastAsia="Arial" w:hAnsi="Arial" w:cs="Arial"/>
        </w:rPr>
        <w:t xml:space="preserve"> informovat lékaře o své anamnéze, aby se předešlo chybné diagnóze nebo lékové kontraindikaci.</w:t>
      </w:r>
      <w:r w:rsidRPr="00303307">
        <w:rPr>
          <w:rStyle w:val="Znakapoznpodarou"/>
          <w:rFonts w:ascii="Arial" w:eastAsia="Arial" w:hAnsi="Arial" w:cs="Arial"/>
        </w:rPr>
        <w:footnoteReference w:id="20"/>
      </w:r>
      <w:r w:rsidR="004C7DDD" w:rsidRPr="00303307">
        <w:rPr>
          <w:rFonts w:ascii="Arial" w:eastAsia="Arial" w:hAnsi="Arial" w:cs="Arial"/>
        </w:rPr>
        <w:t xml:space="preserve"> Tato povinnost </w:t>
      </w:r>
      <w:r w:rsidR="0015219F">
        <w:rPr>
          <w:rFonts w:ascii="Arial" w:eastAsia="Arial" w:hAnsi="Arial" w:cs="Arial"/>
        </w:rPr>
        <w:t xml:space="preserve">existuje pro všechny pacienty a </w:t>
      </w:r>
      <w:r w:rsidR="00B76D70" w:rsidRPr="00303307">
        <w:rPr>
          <w:rFonts w:ascii="Arial" w:eastAsia="Arial" w:hAnsi="Arial" w:cs="Arial"/>
        </w:rPr>
        <w:t xml:space="preserve">slouží právě k zajištění řádné léčby a ochrany zdraví konkrétního pacienta, nikoliv k ochraně </w:t>
      </w:r>
      <w:r w:rsidRPr="00303307">
        <w:rPr>
          <w:rFonts w:ascii="Arial" w:eastAsia="Arial" w:hAnsi="Arial" w:cs="Arial"/>
        </w:rPr>
        <w:t xml:space="preserve">zdraví jiných osob či </w:t>
      </w:r>
      <w:r w:rsidR="00B76D70" w:rsidRPr="00303307">
        <w:rPr>
          <w:rFonts w:ascii="Arial" w:eastAsia="Arial" w:hAnsi="Arial" w:cs="Arial"/>
        </w:rPr>
        <w:t xml:space="preserve">veřejného zdraví v celé společnosti. </w:t>
      </w:r>
      <w:r w:rsidRPr="00303307">
        <w:rPr>
          <w:rFonts w:ascii="Arial" w:eastAsia="Arial" w:hAnsi="Arial" w:cs="Arial"/>
        </w:rPr>
        <w:t xml:space="preserve">Pokud tak navíc pacient neučiní, není nijak sankcionován, zatímco nesplnění </w:t>
      </w:r>
      <w:r w:rsidRPr="00303307">
        <w:rPr>
          <w:rFonts w:ascii="Arial" w:hAnsi="Arial" w:cs="Arial"/>
        </w:rPr>
        <w:t>informační povinnosti nosiče je přestupkem, za který lze uložit pokutu až 10 000 Kč</w:t>
      </w:r>
      <w:r w:rsidRPr="00303307">
        <w:rPr>
          <w:rFonts w:ascii="Arial" w:eastAsia="Arial" w:hAnsi="Arial" w:cs="Arial"/>
        </w:rPr>
        <w:t>.</w:t>
      </w:r>
      <w:r w:rsidR="004C7DDD" w:rsidRPr="00303307">
        <w:rPr>
          <w:rStyle w:val="Znakapoznpodarou"/>
          <w:rFonts w:ascii="Arial" w:eastAsia="Arial" w:hAnsi="Arial" w:cs="Arial"/>
        </w:rPr>
        <w:footnoteReference w:id="21"/>
      </w:r>
      <w:r w:rsidR="008A5F7B" w:rsidRPr="00303307">
        <w:rPr>
          <w:rFonts w:ascii="Arial" w:eastAsia="Arial" w:hAnsi="Arial" w:cs="Arial"/>
        </w:rPr>
        <w:t xml:space="preserve"> </w:t>
      </w:r>
      <w:r w:rsidR="0015219F">
        <w:rPr>
          <w:rFonts w:ascii="Arial" w:eastAsia="Arial" w:hAnsi="Arial" w:cs="Arial"/>
        </w:rPr>
        <w:t xml:space="preserve">I v tomto směru je tedy k nosičům přistupováno rozdílně, aniž by k tomu byly nějaké věcné důvody, jak je uvedeno výše. </w:t>
      </w:r>
      <w:r w:rsidR="009D3859">
        <w:rPr>
          <w:rFonts w:ascii="Arial" w:eastAsia="Arial" w:hAnsi="Arial" w:cs="Arial"/>
        </w:rPr>
        <w:t>Je ostatně otázka, zda nesdělení informací o zdravotním stavu pacientem lékaři vůbec sankcionovat, když tím pacient primárně ohrožuje sám sebe.</w:t>
      </w:r>
    </w:p>
    <w:p w14:paraId="273B9D87" w14:textId="40078BCA" w:rsidR="007D0C42" w:rsidRPr="00303307" w:rsidRDefault="00825AA5" w:rsidP="000B2506">
      <w:pPr>
        <w:spacing w:line="240" w:lineRule="auto"/>
        <w:jc w:val="both"/>
        <w:rPr>
          <w:rFonts w:ascii="Arial" w:eastAsia="Arial" w:hAnsi="Arial" w:cs="Arial"/>
        </w:rPr>
      </w:pPr>
      <w:r w:rsidRPr="00303307">
        <w:rPr>
          <w:rFonts w:ascii="Arial" w:eastAsia="Arial" w:hAnsi="Arial" w:cs="Arial"/>
        </w:rPr>
        <w:t xml:space="preserve">Informační povinnost </w:t>
      </w:r>
      <w:r w:rsidR="00BF1454" w:rsidRPr="00303307">
        <w:rPr>
          <w:rFonts w:ascii="Arial" w:eastAsia="Arial" w:hAnsi="Arial" w:cs="Arial"/>
        </w:rPr>
        <w:t xml:space="preserve">u </w:t>
      </w:r>
      <w:r w:rsidRPr="00303307">
        <w:rPr>
          <w:rFonts w:ascii="Arial" w:eastAsia="Arial" w:hAnsi="Arial" w:cs="Arial"/>
        </w:rPr>
        <w:t>mnohých lékařů</w:t>
      </w:r>
      <w:r w:rsidR="007E36D7" w:rsidRPr="00303307">
        <w:rPr>
          <w:rFonts w:ascii="Arial" w:eastAsia="Arial" w:hAnsi="Arial" w:cs="Arial"/>
        </w:rPr>
        <w:t xml:space="preserve"> navíc v praxi</w:t>
      </w:r>
      <w:r w:rsidRPr="00303307">
        <w:rPr>
          <w:rFonts w:ascii="Arial" w:eastAsia="Arial" w:hAnsi="Arial" w:cs="Arial"/>
        </w:rPr>
        <w:t xml:space="preserve"> vyvolává předsudky spojené s HIV/AID</w:t>
      </w:r>
      <w:r w:rsidR="00784905" w:rsidRPr="00303307">
        <w:rPr>
          <w:rFonts w:ascii="Arial" w:eastAsia="Arial" w:hAnsi="Arial" w:cs="Arial"/>
        </w:rPr>
        <w:t>S</w:t>
      </w:r>
      <w:r w:rsidRPr="00303307">
        <w:rPr>
          <w:rFonts w:ascii="Arial" w:eastAsia="Arial" w:hAnsi="Arial" w:cs="Arial"/>
        </w:rPr>
        <w:t xml:space="preserve"> a vede k diskriminaci pacientů v přístupu ke zdravotním službám a k jejich odmítání. </w:t>
      </w:r>
      <w:r w:rsidR="007E36D7" w:rsidRPr="00303307">
        <w:rPr>
          <w:rFonts w:ascii="Arial" w:eastAsia="Arial" w:hAnsi="Arial" w:cs="Arial"/>
        </w:rPr>
        <w:t xml:space="preserve">Informační povinnost tak v současném nastavení naopak prohlubuje stigma spojené s HIV/AIDS a vede k dalšímu sociálnímu vyloučení a omezování práv HIV pozitivních osob. </w:t>
      </w:r>
      <w:r w:rsidR="00B32C84">
        <w:rPr>
          <w:rFonts w:ascii="Arial" w:eastAsia="Arial" w:hAnsi="Arial" w:cs="Arial"/>
        </w:rPr>
        <w:t>R</w:t>
      </w:r>
      <w:r w:rsidR="007E36D7" w:rsidRPr="00303307">
        <w:rPr>
          <w:rFonts w:ascii="Arial" w:eastAsia="Arial" w:hAnsi="Arial" w:cs="Arial"/>
        </w:rPr>
        <w:t>izikovost přenosu HIV</w:t>
      </w:r>
      <w:r w:rsidR="007D0C42" w:rsidRPr="00303307">
        <w:rPr>
          <w:rFonts w:ascii="Arial" w:eastAsia="Arial" w:hAnsi="Arial" w:cs="Arial"/>
        </w:rPr>
        <w:t xml:space="preserve"> u pacientů léčených současnými moderními medicínskými postupy díky poklesu virové nálože </w:t>
      </w:r>
      <w:r w:rsidR="00B32C84">
        <w:rPr>
          <w:rFonts w:ascii="Arial" w:eastAsia="Arial" w:hAnsi="Arial" w:cs="Arial"/>
        </w:rPr>
        <w:t xml:space="preserve">zásadně </w:t>
      </w:r>
      <w:r w:rsidR="007D0C42" w:rsidRPr="00303307">
        <w:rPr>
          <w:rFonts w:ascii="Arial" w:eastAsia="Arial" w:hAnsi="Arial" w:cs="Arial"/>
        </w:rPr>
        <w:t xml:space="preserve">snižuje. </w:t>
      </w:r>
      <w:r w:rsidRPr="00303307">
        <w:rPr>
          <w:rFonts w:ascii="Arial" w:eastAsia="Arial" w:hAnsi="Arial" w:cs="Arial"/>
        </w:rPr>
        <w:t xml:space="preserve">Větší riziko naopak představují pacienti, kteří o své nákaze nevědí a proto se ani neléčí. Ti však logicky informační povinnost mít nemohou. </w:t>
      </w:r>
      <w:r w:rsidR="00BF1454" w:rsidRPr="00303307">
        <w:rPr>
          <w:rFonts w:ascii="Arial" w:eastAsia="Arial" w:hAnsi="Arial" w:cs="Arial"/>
        </w:rPr>
        <w:t>Z</w:t>
      </w:r>
      <w:r w:rsidRPr="00303307">
        <w:rPr>
          <w:rFonts w:ascii="Arial" w:eastAsia="Arial" w:hAnsi="Arial" w:cs="Arial"/>
        </w:rPr>
        <w:t xml:space="preserve"> uvedených i dalších důvodů takovouto informační povinnost nedoporučují ani mezinárodní odborné organizace jako WHO či UNAIDS a neobjevuje se ani ve většině evropských zemí. </w:t>
      </w:r>
    </w:p>
    <w:p w14:paraId="35171B69" w14:textId="0A7D26FD" w:rsidR="00B454FE" w:rsidRPr="00303307" w:rsidRDefault="007D0C42" w:rsidP="000B2506">
      <w:pPr>
        <w:spacing w:line="240" w:lineRule="auto"/>
        <w:jc w:val="both"/>
        <w:rPr>
          <w:rFonts w:ascii="Arial" w:eastAsia="Arial" w:hAnsi="Arial" w:cs="Arial"/>
        </w:rPr>
      </w:pPr>
      <w:r w:rsidRPr="00303307">
        <w:rPr>
          <w:rFonts w:ascii="Arial" w:eastAsia="Arial" w:hAnsi="Arial" w:cs="Arial"/>
        </w:rPr>
        <w:t>Jedinou situací, kdy by</w:t>
      </w:r>
      <w:r w:rsidR="0015219F">
        <w:rPr>
          <w:rFonts w:ascii="Arial" w:eastAsia="Arial" w:hAnsi="Arial" w:cs="Arial"/>
        </w:rPr>
        <w:t xml:space="preserve"> informační povinnost byla</w:t>
      </w:r>
      <w:r w:rsidRPr="00303307">
        <w:rPr>
          <w:rFonts w:ascii="Arial" w:eastAsia="Arial" w:hAnsi="Arial" w:cs="Arial"/>
        </w:rPr>
        <w:t xml:space="preserve"> medicínsky oprávněná a užitečná, je případ, kdy během vyšetřovacího nebo léčebného zákroku dojde k poranění zdravotnického pracovníka</w:t>
      </w:r>
      <w:r w:rsidR="00B454FE" w:rsidRPr="00303307">
        <w:rPr>
          <w:rFonts w:ascii="Arial" w:eastAsia="Arial" w:hAnsi="Arial" w:cs="Arial"/>
        </w:rPr>
        <w:t xml:space="preserve"> a ke kontaminaci pacientovou krví </w:t>
      </w:r>
      <w:r w:rsidRPr="00303307">
        <w:rPr>
          <w:rFonts w:ascii="Arial" w:eastAsia="Arial" w:hAnsi="Arial" w:cs="Arial"/>
        </w:rPr>
        <w:t xml:space="preserve">a tím k možné profesionální expozici </w:t>
      </w:r>
      <w:r w:rsidR="00B454FE" w:rsidRPr="00303307">
        <w:rPr>
          <w:rFonts w:ascii="Arial" w:eastAsia="Arial" w:hAnsi="Arial" w:cs="Arial"/>
        </w:rPr>
        <w:t xml:space="preserve">tohoto pracovníka </w:t>
      </w:r>
      <w:r w:rsidRPr="00303307">
        <w:rPr>
          <w:rFonts w:ascii="Arial" w:eastAsia="Arial" w:hAnsi="Arial" w:cs="Arial"/>
        </w:rPr>
        <w:t>viru HIV či jiných uvedených nemocí</w:t>
      </w:r>
      <w:r w:rsidR="00825AA5" w:rsidRPr="00303307">
        <w:rPr>
          <w:rFonts w:ascii="Arial" w:eastAsia="Arial" w:hAnsi="Arial" w:cs="Arial"/>
        </w:rPr>
        <w:t xml:space="preserve">. </w:t>
      </w:r>
      <w:r w:rsidRPr="00303307">
        <w:rPr>
          <w:rFonts w:ascii="Arial" w:eastAsia="Arial" w:hAnsi="Arial" w:cs="Arial"/>
        </w:rPr>
        <w:t xml:space="preserve">V tom případě může </w:t>
      </w:r>
      <w:r w:rsidR="00B454FE" w:rsidRPr="00303307">
        <w:rPr>
          <w:rFonts w:ascii="Arial" w:eastAsia="Arial" w:hAnsi="Arial" w:cs="Arial"/>
        </w:rPr>
        <w:t>být informace o nosičství naopak klíčová pro zahájení efektivní léčby postiženého zdravotníka. Výbor proto navrhuje omezit informační povinnost na tuto situaci. Pokud by pacient informace o svém zdravotním stavu neposkytl či byla pochybnost o jejich pravdivosti, mohlo by následovat i povinné vyšetření nákazy vyvolané virem lidského imunodeficitu bez jeho souhlasu</w:t>
      </w:r>
      <w:r w:rsidR="00B32C84">
        <w:rPr>
          <w:rFonts w:ascii="Arial" w:eastAsia="Arial" w:hAnsi="Arial" w:cs="Arial"/>
        </w:rPr>
        <w:t>,</w:t>
      </w:r>
      <w:r w:rsidR="00B454FE" w:rsidRPr="00303307">
        <w:rPr>
          <w:rStyle w:val="Znakapoznpodarou"/>
          <w:rFonts w:ascii="Arial" w:eastAsia="Arial" w:hAnsi="Arial" w:cs="Arial"/>
        </w:rPr>
        <w:footnoteReference w:id="22"/>
      </w:r>
      <w:r w:rsidR="00B454FE" w:rsidRPr="00303307">
        <w:rPr>
          <w:rFonts w:ascii="Arial" w:eastAsia="Arial" w:hAnsi="Arial" w:cs="Arial"/>
        </w:rPr>
        <w:t xml:space="preserve"> aby postiženým zdravotníkům mohla být zajištěna efektivní léčba v podobě například terapie post-expoziční profylaxí (PeP). V této situaci by takový zásah do práv pacienta byl důvodný, neboť by sloužil ochraně zdraví jiných osob a mohl by tohoto cíle efektivně dosáhnout. </w:t>
      </w:r>
    </w:p>
    <w:p w14:paraId="52835D0A" w14:textId="77777777" w:rsidR="00AF62B6" w:rsidRPr="00303307" w:rsidRDefault="00AF62B6" w:rsidP="00AF62B6">
      <w:pPr>
        <w:pStyle w:val="Nadpis2"/>
        <w:spacing w:line="240" w:lineRule="auto"/>
      </w:pPr>
      <w:r w:rsidRPr="00303307">
        <w:t>Systémové zapojení pre-expoziční profylaxe (PrEP) do prevence HIV v ČR</w:t>
      </w:r>
    </w:p>
    <w:p w14:paraId="149536EE" w14:textId="77777777" w:rsidR="00AF62B6" w:rsidRPr="00303307" w:rsidRDefault="00AF62B6" w:rsidP="00AF62B6">
      <w:pPr>
        <w:spacing w:line="240" w:lineRule="auto"/>
        <w:jc w:val="both"/>
        <w:rPr>
          <w:rFonts w:ascii="Arial" w:eastAsia="Arial" w:hAnsi="Arial" w:cs="Arial"/>
        </w:rPr>
      </w:pPr>
      <w:r w:rsidRPr="00303307">
        <w:rPr>
          <w:rFonts w:ascii="Arial" w:eastAsia="Arial" w:hAnsi="Arial" w:cs="Arial"/>
        </w:rPr>
        <w:t xml:space="preserve">Pre-expoziční profylaxe (PrEP) znamená užití antiretrovirového léku, které s vysokou účinností blížící se 100% zabrání infekci HIV. Již od září 2015 Světová zdravotnická organizace doporučuje, aby státy zahrnuly PrEP do systému kombinované prevence a aktivně ji nabízely </w:t>
      </w:r>
      <w:r w:rsidRPr="00303307">
        <w:rPr>
          <w:rFonts w:ascii="Arial" w:eastAsia="Arial" w:hAnsi="Arial" w:cs="Arial"/>
        </w:rPr>
        <w:lastRenderedPageBreak/>
        <w:t>lidem s vysokým rizikem infekce HIV.</w:t>
      </w:r>
      <w:r w:rsidRPr="00303307">
        <w:rPr>
          <w:rFonts w:ascii="Arial" w:eastAsia="Arial" w:hAnsi="Arial" w:cs="Arial"/>
          <w:vertAlign w:val="superscript"/>
        </w:rPr>
        <w:footnoteReference w:id="23"/>
      </w:r>
      <w:r w:rsidRPr="00303307">
        <w:rPr>
          <w:rFonts w:ascii="Arial" w:eastAsia="Arial" w:hAnsi="Arial" w:cs="Arial"/>
        </w:rPr>
        <w:t xml:space="preserve"> PrEP je dnes součástí všech mezinárodních doporučení (WHO, ECDC, UNAIDS) a v řadě evropských zemích existují státní programy zpřístupňující PrEP s plnou úhradou z veřejných prostředků.</w:t>
      </w:r>
      <w:r w:rsidRPr="00303307">
        <w:rPr>
          <w:rFonts w:ascii="Arial" w:eastAsia="Arial" w:hAnsi="Arial" w:cs="Arial"/>
          <w:vertAlign w:val="superscript"/>
        </w:rPr>
        <w:footnoteReference w:id="24"/>
      </w:r>
      <w:r w:rsidRPr="00303307">
        <w:rPr>
          <w:rFonts w:ascii="Arial" w:eastAsia="Arial" w:hAnsi="Arial" w:cs="Arial"/>
        </w:rPr>
        <w:t xml:space="preserve"> Zapojení PrEP do systému prevence spojené s častějším HIV testováním je zároveň dáváno do souvislosti s dramatickým poklesem výskytu HIV v mnoha západoevropských zemích. PrEP je tak investice do ochrany veřejného zdraví s prokázanou efektivitou spojující nejlepší dostupné vědecké poznatky s klinickou zkušeností lékaře a s preferencemi a potřebami klienta.      </w:t>
      </w:r>
    </w:p>
    <w:p w14:paraId="3B690A53" w14:textId="19DB8EC5" w:rsidR="00AF62B6" w:rsidRPr="00303307" w:rsidRDefault="00AF62B6" w:rsidP="00AF62B6">
      <w:pPr>
        <w:spacing w:line="240" w:lineRule="auto"/>
        <w:jc w:val="both"/>
        <w:rPr>
          <w:rFonts w:ascii="Arial" w:eastAsia="Arial" w:hAnsi="Arial" w:cs="Arial"/>
        </w:rPr>
      </w:pPr>
      <w:r w:rsidRPr="00303307">
        <w:rPr>
          <w:rFonts w:ascii="Arial" w:eastAsia="Arial" w:hAnsi="Arial" w:cs="Arial"/>
        </w:rPr>
        <w:t>Užití PrEP je v ČR sice lékařským postupem lege artis</w:t>
      </w:r>
      <w:r w:rsidR="00B32C84" w:rsidRPr="00303307">
        <w:rPr>
          <w:rFonts w:ascii="Arial" w:eastAsia="Arial" w:hAnsi="Arial" w:cs="Arial"/>
        </w:rPr>
        <w:t>,</w:t>
      </w:r>
      <w:r w:rsidRPr="00303307">
        <w:rPr>
          <w:rFonts w:ascii="Arial" w:eastAsia="Arial" w:hAnsi="Arial" w:cs="Arial"/>
          <w:vertAlign w:val="superscript"/>
        </w:rPr>
        <w:footnoteReference w:id="25"/>
      </w:r>
      <w:r w:rsidRPr="00303307">
        <w:rPr>
          <w:rFonts w:ascii="Arial" w:eastAsia="Arial" w:hAnsi="Arial" w:cs="Arial"/>
        </w:rPr>
        <w:t xml:space="preserve"> nicméně chybí její systémové zapojení do prevence infekce HIV. Navzdory </w:t>
      </w:r>
      <w:r w:rsidR="007F063F">
        <w:rPr>
          <w:rFonts w:ascii="Arial" w:eastAsia="Arial" w:hAnsi="Arial" w:cs="Arial"/>
        </w:rPr>
        <w:t>odborným</w:t>
      </w:r>
      <w:r w:rsidR="007F063F" w:rsidRPr="00303307">
        <w:rPr>
          <w:rFonts w:ascii="Arial" w:eastAsia="Arial" w:hAnsi="Arial" w:cs="Arial"/>
        </w:rPr>
        <w:t xml:space="preserve"> </w:t>
      </w:r>
      <w:r w:rsidRPr="00303307">
        <w:rPr>
          <w:rFonts w:ascii="Arial" w:eastAsia="Arial" w:hAnsi="Arial" w:cs="Arial"/>
        </w:rPr>
        <w:t>doporučení</w:t>
      </w:r>
      <w:r w:rsidR="007F063F">
        <w:rPr>
          <w:rFonts w:ascii="Arial" w:eastAsia="Arial" w:hAnsi="Arial" w:cs="Arial"/>
        </w:rPr>
        <w:t>m</w:t>
      </w:r>
      <w:r w:rsidRPr="00303307">
        <w:rPr>
          <w:rFonts w:ascii="Arial" w:eastAsia="Arial" w:hAnsi="Arial" w:cs="Arial"/>
        </w:rPr>
        <w:t xml:space="preserve"> </w:t>
      </w:r>
      <w:r w:rsidR="007F063F">
        <w:rPr>
          <w:rFonts w:ascii="Arial" w:eastAsia="Arial" w:hAnsi="Arial" w:cs="Arial"/>
        </w:rPr>
        <w:t>nebyla PrEP zahrnuta do Národního</w:t>
      </w:r>
      <w:r w:rsidRPr="00303307">
        <w:rPr>
          <w:rFonts w:ascii="Arial" w:eastAsia="Arial" w:hAnsi="Arial" w:cs="Arial"/>
        </w:rPr>
        <w:t xml:space="preserve"> programu řešení problematiky HIV/AIDS v České republice v období 2018 – 2022, což následně vedlo k vyřazování projektů k podpoře užívání PrEP z dotačního programu Ministerstva zdravotnictví. Informační, fyzická i finanční dostupnost PrEP je v Česku omezena – dle údajů národní studie EMIS 2017 každý druhý dotazovaný muž z klíčové skupiny MSM o PrEP nikdy neslyšel nebo o ni měl jen malé povědomí a pouze jeden zájemce o PrEP z deseti profylaxi skutečně získal.</w:t>
      </w:r>
      <w:r w:rsidRPr="00303307">
        <w:rPr>
          <w:rFonts w:ascii="Arial" w:eastAsia="Arial" w:hAnsi="Arial" w:cs="Arial"/>
          <w:vertAlign w:val="superscript"/>
        </w:rPr>
        <w:footnoteReference w:id="26"/>
      </w:r>
      <w:r w:rsidRPr="00303307">
        <w:rPr>
          <w:rFonts w:ascii="Arial" w:eastAsia="Arial" w:hAnsi="Arial" w:cs="Arial"/>
        </w:rPr>
        <w:t xml:space="preserve"> Studie Evropského centra pro kontrolu nemocí ECDC z října 2019 odhaduje více než 20% mezeru v dostupnosti pro Českou republiku.</w:t>
      </w:r>
      <w:r w:rsidRPr="00303307">
        <w:rPr>
          <w:rFonts w:ascii="Arial" w:eastAsia="Arial" w:hAnsi="Arial" w:cs="Arial"/>
          <w:vertAlign w:val="superscript"/>
        </w:rPr>
        <w:footnoteReference w:id="27"/>
      </w:r>
      <w:r w:rsidRPr="00303307">
        <w:rPr>
          <w:rFonts w:ascii="Arial" w:eastAsia="Arial" w:hAnsi="Arial" w:cs="Arial"/>
        </w:rPr>
        <w:t xml:space="preserve"> Proto je vhodné systémové zapojení PrEP do národní HIV strategie a zajištění plné dostupnosti profylaxe osobám s nejvyšším rizikem nákazy HIV, zejména:</w:t>
      </w:r>
    </w:p>
    <w:p w14:paraId="47BDDF07" w14:textId="77777777" w:rsidR="00B54A8A" w:rsidRPr="00303307" w:rsidRDefault="00B54A8A" w:rsidP="00B54A8A">
      <w:pPr>
        <w:numPr>
          <w:ilvl w:val="0"/>
          <w:numId w:val="2"/>
        </w:numPr>
        <w:spacing w:after="0" w:line="240" w:lineRule="auto"/>
        <w:jc w:val="both"/>
        <w:rPr>
          <w:rFonts w:ascii="Arial" w:eastAsia="Arial" w:hAnsi="Arial" w:cs="Arial"/>
        </w:rPr>
      </w:pPr>
      <w:r w:rsidRPr="00303307">
        <w:rPr>
          <w:rFonts w:ascii="Arial" w:eastAsia="Arial" w:hAnsi="Arial" w:cs="Arial"/>
        </w:rPr>
        <w:t xml:space="preserve">rozšíření sítě preskripčních míst PrEP a zajištění fyzické dostupnosti PrEP podle doporučení Světové zdravotnické organizace. </w:t>
      </w:r>
    </w:p>
    <w:p w14:paraId="5A21F751" w14:textId="77777777" w:rsidR="00AF62B6" w:rsidRPr="00303307" w:rsidRDefault="00AF62B6" w:rsidP="00AF62B6">
      <w:pPr>
        <w:numPr>
          <w:ilvl w:val="0"/>
          <w:numId w:val="2"/>
        </w:numPr>
        <w:spacing w:after="0" w:line="240" w:lineRule="auto"/>
        <w:jc w:val="both"/>
        <w:rPr>
          <w:rFonts w:ascii="Arial" w:eastAsia="Arial" w:hAnsi="Arial" w:cs="Arial"/>
        </w:rPr>
      </w:pPr>
      <w:r w:rsidRPr="00303307">
        <w:rPr>
          <w:rFonts w:ascii="Arial" w:eastAsia="Arial" w:hAnsi="Arial" w:cs="Arial"/>
        </w:rPr>
        <w:t>zajištění finanční dostupnosti PrEP osobám s vysokým rizikem nákazy tak, aby byla dodržena zásada rovného přístupu k profylaxi,</w:t>
      </w:r>
    </w:p>
    <w:p w14:paraId="6419CE38" w14:textId="77777777" w:rsidR="00AF62B6" w:rsidRPr="00303307" w:rsidRDefault="00B54A8A" w:rsidP="00B54A8A">
      <w:pPr>
        <w:numPr>
          <w:ilvl w:val="0"/>
          <w:numId w:val="2"/>
        </w:numPr>
        <w:spacing w:after="0" w:line="240" w:lineRule="auto"/>
        <w:jc w:val="both"/>
        <w:rPr>
          <w:rFonts w:ascii="Arial" w:eastAsia="Arial" w:hAnsi="Arial" w:cs="Arial"/>
        </w:rPr>
      </w:pPr>
      <w:r w:rsidRPr="00303307">
        <w:rPr>
          <w:rFonts w:ascii="Arial" w:eastAsia="Arial" w:hAnsi="Arial" w:cs="Arial"/>
        </w:rPr>
        <w:t>podpora projektů zvyšující informovanost o PrEP v klíčové komunitě MSM z dotačního programu Ministerstva zdravotnictví Národní program řešení problematiky HIV/AIDS,</w:t>
      </w:r>
    </w:p>
    <w:p w14:paraId="4D09147B" w14:textId="77777777" w:rsidR="00B54A8A" w:rsidRPr="00303307" w:rsidRDefault="00B54A8A" w:rsidP="00B54A8A">
      <w:pPr>
        <w:spacing w:after="0" w:line="240" w:lineRule="auto"/>
        <w:ind w:left="360"/>
        <w:jc w:val="both"/>
        <w:rPr>
          <w:rFonts w:ascii="Arial" w:eastAsia="Arial" w:hAnsi="Arial" w:cs="Arial"/>
        </w:rPr>
      </w:pPr>
    </w:p>
    <w:p w14:paraId="7063A03A" w14:textId="77777777" w:rsidR="004B607B" w:rsidRPr="00303307" w:rsidRDefault="00825AA5" w:rsidP="000B2506">
      <w:pPr>
        <w:spacing w:line="240" w:lineRule="auto"/>
        <w:jc w:val="both"/>
        <w:rPr>
          <w:rFonts w:ascii="Arial" w:eastAsia="Arial" w:hAnsi="Arial" w:cs="Arial"/>
          <w:u w:val="single"/>
        </w:rPr>
      </w:pPr>
      <w:r w:rsidRPr="00303307">
        <w:rPr>
          <w:rFonts w:ascii="Arial" w:eastAsia="Arial" w:hAnsi="Arial" w:cs="Arial"/>
          <w:u w:val="single"/>
        </w:rPr>
        <w:t>Metodické vedení postupů týkajících se prevence a léčby HIV/AIDS</w:t>
      </w:r>
    </w:p>
    <w:p w14:paraId="3906C057" w14:textId="77777777" w:rsidR="004B607B" w:rsidRPr="00303307" w:rsidRDefault="00825AA5" w:rsidP="000B2506">
      <w:pPr>
        <w:spacing w:line="240" w:lineRule="auto"/>
        <w:jc w:val="both"/>
        <w:rPr>
          <w:rFonts w:ascii="Arial" w:eastAsia="Arial" w:hAnsi="Arial" w:cs="Arial"/>
        </w:rPr>
      </w:pPr>
      <w:r w:rsidRPr="00303307">
        <w:rPr>
          <w:rFonts w:ascii="Arial" w:eastAsia="Arial" w:hAnsi="Arial" w:cs="Arial"/>
        </w:rPr>
        <w:t xml:space="preserve">Praktické postupy pro prevenci a léčbu HIV/AIDS upravuje v souladu se zákonem o ochraně veřejného zdraví Metodický návod k řešení problematiky infekce HIV/AIDS v České republice, který byl publikován ve Věstníku Ministerstva zdravotnictví č. 10/2016. Jeho aktuální znění odpovídá stavu vědeckého poznání roku 2016. Za poslední tři roky se nicméně zásadním způsobem změnil stav vědeckého poznání i obsah mezinárodních doporučení v oblasti </w:t>
      </w:r>
      <w:r w:rsidR="00BF1454" w:rsidRPr="00303307">
        <w:rPr>
          <w:rFonts w:ascii="Arial" w:eastAsia="Arial" w:hAnsi="Arial" w:cs="Arial"/>
        </w:rPr>
        <w:t xml:space="preserve">prevence a léčby HIV, zejména </w:t>
      </w:r>
      <w:r w:rsidRPr="00303307">
        <w:rPr>
          <w:rFonts w:ascii="Arial" w:eastAsia="Arial" w:hAnsi="Arial" w:cs="Arial"/>
        </w:rPr>
        <w:t>význ</w:t>
      </w:r>
      <w:r w:rsidR="00BF1454" w:rsidRPr="00303307">
        <w:rPr>
          <w:rFonts w:ascii="Arial" w:eastAsia="Arial" w:hAnsi="Arial" w:cs="Arial"/>
        </w:rPr>
        <w:t>am</w:t>
      </w:r>
      <w:r w:rsidRPr="00303307">
        <w:rPr>
          <w:rFonts w:ascii="Arial" w:eastAsia="Arial" w:hAnsi="Arial" w:cs="Arial"/>
        </w:rPr>
        <w:t xml:space="preserve"> nedetekovatelné virové nálože HIV v prevenci přenosu HIV a nových nástrojů b</w:t>
      </w:r>
      <w:r w:rsidR="00B54A8A" w:rsidRPr="00303307">
        <w:rPr>
          <w:rFonts w:ascii="Arial" w:eastAsia="Arial" w:hAnsi="Arial" w:cs="Arial"/>
        </w:rPr>
        <w:t>iologické prevence přenosu HIV jako PrEP</w:t>
      </w:r>
      <w:r w:rsidRPr="00303307">
        <w:rPr>
          <w:rFonts w:ascii="Arial" w:eastAsia="Arial" w:hAnsi="Arial" w:cs="Arial"/>
        </w:rPr>
        <w:t>. Jako vhodné se ukázalo rovněž upravit formu informovaného souhlasu s HIV testem a také formu a rozsah předtestového poradenství. V současnosti podle informací výboru probíhají práce na aktualizaci tohoto metodického návodu. Výbor toto podporuje a doufá v její brzké dokončení.</w:t>
      </w:r>
    </w:p>
    <w:p w14:paraId="530D9967" w14:textId="77777777" w:rsidR="004B607B" w:rsidRPr="00303307" w:rsidRDefault="00825AA5" w:rsidP="000B2506">
      <w:pPr>
        <w:pStyle w:val="Nadpis2"/>
        <w:spacing w:line="240" w:lineRule="auto"/>
      </w:pPr>
      <w:bookmarkStart w:id="7" w:name="_60jkdv4q1499" w:colFirst="0" w:colLast="0"/>
      <w:bookmarkStart w:id="8" w:name="_m4ydomi2qxcz" w:colFirst="0" w:colLast="0"/>
      <w:bookmarkStart w:id="9" w:name="_bwlp6jnj29l2" w:colFirst="0" w:colLast="0"/>
      <w:bookmarkEnd w:id="7"/>
      <w:bookmarkEnd w:id="8"/>
      <w:bookmarkEnd w:id="9"/>
      <w:r w:rsidRPr="00303307">
        <w:lastRenderedPageBreak/>
        <w:t>Zajištění dostatečné a kontinuální financování prevence a destigmatizace infekce HIV</w:t>
      </w:r>
    </w:p>
    <w:p w14:paraId="4BC2EF6A" w14:textId="77777777" w:rsidR="004B607B" w:rsidRPr="00303307" w:rsidRDefault="00827EA4" w:rsidP="000B2506">
      <w:pPr>
        <w:pBdr>
          <w:top w:val="nil"/>
          <w:left w:val="nil"/>
          <w:bottom w:val="nil"/>
          <w:right w:val="nil"/>
          <w:between w:val="nil"/>
        </w:pBdr>
        <w:spacing w:line="240" w:lineRule="auto"/>
        <w:jc w:val="both"/>
        <w:rPr>
          <w:rFonts w:ascii="Arial" w:eastAsia="Arial" w:hAnsi="Arial" w:cs="Arial"/>
        </w:rPr>
      </w:pPr>
      <w:r w:rsidRPr="00303307">
        <w:rPr>
          <w:rFonts w:ascii="Arial" w:eastAsia="Arial" w:hAnsi="Arial" w:cs="Arial"/>
        </w:rPr>
        <w:t>Financování p</w:t>
      </w:r>
      <w:r w:rsidR="00825AA5" w:rsidRPr="00303307">
        <w:rPr>
          <w:rFonts w:ascii="Arial" w:eastAsia="Arial" w:hAnsi="Arial" w:cs="Arial"/>
        </w:rPr>
        <w:t xml:space="preserve">rojektů prevence infekce HIV je v ČR zajištěno primárně z dotačního programu Ministerstva zdravotnictví ČR Národního program řešení problematiky HIV/AIDS. Přestože objem finančních prostředků dotačního programu se v posledních letech ustálil na cca 10 mil Kč ročně (viz Tabulka 1), objem dotačních prostředků vynaložený na prevenci HIV zaostává za průměrnými výdaji na prevenci v zemích EU/EFTA (viz Tabulka 2). </w:t>
      </w:r>
    </w:p>
    <w:p w14:paraId="10679E09" w14:textId="77777777" w:rsidR="004B607B" w:rsidRPr="00303307" w:rsidRDefault="00825AA5" w:rsidP="000B2506">
      <w:pPr>
        <w:pBdr>
          <w:top w:val="nil"/>
          <w:left w:val="nil"/>
          <w:bottom w:val="nil"/>
          <w:right w:val="nil"/>
          <w:between w:val="nil"/>
        </w:pBdr>
        <w:spacing w:line="240" w:lineRule="auto"/>
        <w:jc w:val="both"/>
        <w:rPr>
          <w:rFonts w:ascii="Arial" w:eastAsia="Arial" w:hAnsi="Arial" w:cs="Arial"/>
          <w:i/>
        </w:rPr>
      </w:pPr>
      <w:r w:rsidRPr="00303307">
        <w:rPr>
          <w:rFonts w:ascii="Arial" w:eastAsia="Arial" w:hAnsi="Arial" w:cs="Arial"/>
          <w:i/>
        </w:rPr>
        <w:t xml:space="preserve">Tabulka č. 1 </w:t>
      </w:r>
      <w:r w:rsidRPr="00303307">
        <w:rPr>
          <w:rFonts w:ascii="Arial" w:eastAsia="Arial" w:hAnsi="Arial" w:cs="Arial"/>
          <w:i/>
        </w:rPr>
        <w:tab/>
        <w:t>Objem finančních prostředků dotačního programu MZ ČR Národního programu řešení problematiky HIV/AIDS</w:t>
      </w:r>
      <w:r w:rsidR="000B2506" w:rsidRPr="00303307">
        <w:rPr>
          <w:rStyle w:val="Znakapoznpodarou"/>
          <w:rFonts w:ascii="Arial" w:eastAsia="Arial" w:hAnsi="Arial" w:cs="Arial"/>
          <w:i/>
        </w:rPr>
        <w:footnoteReference w:id="28"/>
      </w:r>
    </w:p>
    <w:tbl>
      <w:tblPr>
        <w:tblStyle w:val="2"/>
        <w:tblW w:w="91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6"/>
        <w:gridCol w:w="1087"/>
        <w:gridCol w:w="1087"/>
        <w:gridCol w:w="1086"/>
        <w:gridCol w:w="1086"/>
        <w:gridCol w:w="1086"/>
        <w:gridCol w:w="1086"/>
        <w:gridCol w:w="1086"/>
      </w:tblGrid>
      <w:tr w:rsidR="004B607B" w:rsidRPr="00303307" w14:paraId="76494C3F" w14:textId="77777777">
        <w:tc>
          <w:tcPr>
            <w:tcW w:w="1515" w:type="dxa"/>
            <w:shd w:val="clear" w:color="auto" w:fill="auto"/>
            <w:tcMar>
              <w:top w:w="100" w:type="dxa"/>
              <w:left w:w="100" w:type="dxa"/>
              <w:bottom w:w="100" w:type="dxa"/>
              <w:right w:w="100" w:type="dxa"/>
            </w:tcMar>
          </w:tcPr>
          <w:p w14:paraId="722681A7" w14:textId="77777777" w:rsidR="004B607B" w:rsidRPr="00303307" w:rsidRDefault="00825AA5" w:rsidP="000B2506">
            <w:pPr>
              <w:widowControl w:val="0"/>
              <w:pBdr>
                <w:top w:val="nil"/>
                <w:left w:val="nil"/>
                <w:bottom w:val="nil"/>
                <w:right w:val="nil"/>
                <w:between w:val="nil"/>
              </w:pBdr>
              <w:spacing w:after="0" w:line="240" w:lineRule="auto"/>
              <w:rPr>
                <w:rFonts w:ascii="Arial" w:eastAsia="Arial" w:hAnsi="Arial" w:cs="Arial"/>
              </w:rPr>
            </w:pPr>
            <w:r w:rsidRPr="00303307">
              <w:rPr>
                <w:rFonts w:ascii="Arial" w:eastAsia="Arial" w:hAnsi="Arial" w:cs="Arial"/>
              </w:rPr>
              <w:t>Rok</w:t>
            </w:r>
          </w:p>
        </w:tc>
        <w:tc>
          <w:tcPr>
            <w:tcW w:w="1086" w:type="dxa"/>
            <w:shd w:val="clear" w:color="auto" w:fill="auto"/>
            <w:tcMar>
              <w:top w:w="100" w:type="dxa"/>
              <w:left w:w="100" w:type="dxa"/>
              <w:bottom w:w="100" w:type="dxa"/>
              <w:right w:w="100" w:type="dxa"/>
            </w:tcMar>
          </w:tcPr>
          <w:p w14:paraId="4A48E153"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2014</w:t>
            </w:r>
          </w:p>
        </w:tc>
        <w:tc>
          <w:tcPr>
            <w:tcW w:w="1086" w:type="dxa"/>
            <w:shd w:val="clear" w:color="auto" w:fill="auto"/>
            <w:tcMar>
              <w:top w:w="100" w:type="dxa"/>
              <w:left w:w="100" w:type="dxa"/>
              <w:bottom w:w="100" w:type="dxa"/>
              <w:right w:w="100" w:type="dxa"/>
            </w:tcMar>
          </w:tcPr>
          <w:p w14:paraId="68F8F827"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2015</w:t>
            </w:r>
          </w:p>
        </w:tc>
        <w:tc>
          <w:tcPr>
            <w:tcW w:w="1086" w:type="dxa"/>
            <w:shd w:val="clear" w:color="auto" w:fill="auto"/>
            <w:tcMar>
              <w:top w:w="100" w:type="dxa"/>
              <w:left w:w="100" w:type="dxa"/>
              <w:bottom w:w="100" w:type="dxa"/>
              <w:right w:w="100" w:type="dxa"/>
            </w:tcMar>
          </w:tcPr>
          <w:p w14:paraId="3254E98E"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2016</w:t>
            </w:r>
          </w:p>
        </w:tc>
        <w:tc>
          <w:tcPr>
            <w:tcW w:w="1086" w:type="dxa"/>
            <w:shd w:val="clear" w:color="auto" w:fill="auto"/>
            <w:tcMar>
              <w:top w:w="100" w:type="dxa"/>
              <w:left w:w="100" w:type="dxa"/>
              <w:bottom w:w="100" w:type="dxa"/>
              <w:right w:w="100" w:type="dxa"/>
            </w:tcMar>
          </w:tcPr>
          <w:p w14:paraId="7E90A9F3"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2017</w:t>
            </w:r>
          </w:p>
        </w:tc>
        <w:tc>
          <w:tcPr>
            <w:tcW w:w="1086" w:type="dxa"/>
            <w:shd w:val="clear" w:color="auto" w:fill="auto"/>
            <w:tcMar>
              <w:top w:w="100" w:type="dxa"/>
              <w:left w:w="100" w:type="dxa"/>
              <w:bottom w:w="100" w:type="dxa"/>
              <w:right w:w="100" w:type="dxa"/>
            </w:tcMar>
          </w:tcPr>
          <w:p w14:paraId="0ED4C66B"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2018</w:t>
            </w:r>
          </w:p>
        </w:tc>
        <w:tc>
          <w:tcPr>
            <w:tcW w:w="1086" w:type="dxa"/>
            <w:shd w:val="clear" w:color="auto" w:fill="auto"/>
            <w:tcMar>
              <w:top w:w="100" w:type="dxa"/>
              <w:left w:w="100" w:type="dxa"/>
              <w:bottom w:w="100" w:type="dxa"/>
              <w:right w:w="100" w:type="dxa"/>
            </w:tcMar>
          </w:tcPr>
          <w:p w14:paraId="13CCA328"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2019</w:t>
            </w:r>
          </w:p>
        </w:tc>
        <w:tc>
          <w:tcPr>
            <w:tcW w:w="1086" w:type="dxa"/>
            <w:shd w:val="clear" w:color="auto" w:fill="auto"/>
            <w:tcMar>
              <w:top w:w="100" w:type="dxa"/>
              <w:left w:w="100" w:type="dxa"/>
              <w:bottom w:w="100" w:type="dxa"/>
              <w:right w:w="100" w:type="dxa"/>
            </w:tcMar>
          </w:tcPr>
          <w:p w14:paraId="2C9BF66C"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i/>
              </w:rPr>
            </w:pPr>
            <w:r w:rsidRPr="00303307">
              <w:rPr>
                <w:rFonts w:ascii="Arial" w:eastAsia="Arial" w:hAnsi="Arial" w:cs="Arial"/>
                <w:i/>
              </w:rPr>
              <w:t>2020</w:t>
            </w:r>
          </w:p>
        </w:tc>
      </w:tr>
      <w:tr w:rsidR="004B607B" w:rsidRPr="00303307" w14:paraId="4D1A3149" w14:textId="77777777">
        <w:tc>
          <w:tcPr>
            <w:tcW w:w="1515" w:type="dxa"/>
            <w:shd w:val="clear" w:color="auto" w:fill="auto"/>
            <w:tcMar>
              <w:top w:w="100" w:type="dxa"/>
              <w:left w:w="100" w:type="dxa"/>
              <w:bottom w:w="100" w:type="dxa"/>
              <w:right w:w="100" w:type="dxa"/>
            </w:tcMar>
          </w:tcPr>
          <w:p w14:paraId="74FF03DF" w14:textId="77777777" w:rsidR="004B607B" w:rsidRPr="00303307" w:rsidRDefault="00825AA5" w:rsidP="000B2506">
            <w:pPr>
              <w:widowControl w:val="0"/>
              <w:pBdr>
                <w:top w:val="nil"/>
                <w:left w:val="nil"/>
                <w:bottom w:val="nil"/>
                <w:right w:val="nil"/>
                <w:between w:val="nil"/>
              </w:pBdr>
              <w:spacing w:after="0" w:line="240" w:lineRule="auto"/>
              <w:rPr>
                <w:rFonts w:ascii="Arial" w:eastAsia="Arial" w:hAnsi="Arial" w:cs="Arial"/>
              </w:rPr>
            </w:pPr>
            <w:r w:rsidRPr="00303307">
              <w:rPr>
                <w:rFonts w:ascii="Arial" w:eastAsia="Arial" w:hAnsi="Arial" w:cs="Arial"/>
              </w:rPr>
              <w:t xml:space="preserve">Objem finančních prostředků </w:t>
            </w:r>
            <w:r w:rsidRPr="00303307">
              <w:rPr>
                <w:rFonts w:ascii="Arial" w:eastAsia="Arial" w:hAnsi="Arial" w:cs="Arial"/>
              </w:rPr>
              <w:br/>
              <w:t>(</w:t>
            </w:r>
            <w:r w:rsidR="0032251D" w:rsidRPr="00303307">
              <w:rPr>
                <w:rFonts w:ascii="Arial" w:eastAsia="Arial" w:hAnsi="Arial" w:cs="Arial"/>
              </w:rPr>
              <w:t xml:space="preserve">v </w:t>
            </w:r>
            <w:r w:rsidRPr="00303307">
              <w:rPr>
                <w:rFonts w:ascii="Arial" w:eastAsia="Arial" w:hAnsi="Arial" w:cs="Arial"/>
              </w:rPr>
              <w:t>mil</w:t>
            </w:r>
            <w:r w:rsidR="0032251D" w:rsidRPr="00303307">
              <w:rPr>
                <w:rFonts w:ascii="Arial" w:eastAsia="Arial" w:hAnsi="Arial" w:cs="Arial"/>
              </w:rPr>
              <w:t>.</w:t>
            </w:r>
            <w:r w:rsidRPr="00303307">
              <w:rPr>
                <w:rFonts w:ascii="Arial" w:eastAsia="Arial" w:hAnsi="Arial" w:cs="Arial"/>
              </w:rPr>
              <w:t xml:space="preserve"> Kč)</w:t>
            </w:r>
          </w:p>
        </w:tc>
        <w:tc>
          <w:tcPr>
            <w:tcW w:w="1086" w:type="dxa"/>
            <w:shd w:val="clear" w:color="auto" w:fill="auto"/>
            <w:tcMar>
              <w:top w:w="100" w:type="dxa"/>
              <w:left w:w="100" w:type="dxa"/>
              <w:bottom w:w="100" w:type="dxa"/>
              <w:right w:w="100" w:type="dxa"/>
            </w:tcMar>
          </w:tcPr>
          <w:p w14:paraId="76446CEE" w14:textId="77777777" w:rsidR="004B607B" w:rsidRPr="00303307" w:rsidRDefault="004B607B" w:rsidP="000B2506">
            <w:pPr>
              <w:widowControl w:val="0"/>
              <w:pBdr>
                <w:top w:val="nil"/>
                <w:left w:val="nil"/>
                <w:bottom w:val="nil"/>
                <w:right w:val="nil"/>
                <w:between w:val="nil"/>
              </w:pBdr>
              <w:spacing w:after="0" w:line="240" w:lineRule="auto"/>
              <w:jc w:val="center"/>
              <w:rPr>
                <w:rFonts w:ascii="Arial" w:eastAsia="Arial" w:hAnsi="Arial" w:cs="Arial"/>
              </w:rPr>
            </w:pPr>
          </w:p>
          <w:p w14:paraId="3A13EE75"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 xml:space="preserve">3 </w:t>
            </w:r>
          </w:p>
        </w:tc>
        <w:tc>
          <w:tcPr>
            <w:tcW w:w="1086" w:type="dxa"/>
            <w:shd w:val="clear" w:color="auto" w:fill="auto"/>
            <w:tcMar>
              <w:top w:w="100" w:type="dxa"/>
              <w:left w:w="100" w:type="dxa"/>
              <w:bottom w:w="100" w:type="dxa"/>
              <w:right w:w="100" w:type="dxa"/>
            </w:tcMar>
          </w:tcPr>
          <w:p w14:paraId="29AFCC0E" w14:textId="77777777" w:rsidR="004B607B" w:rsidRPr="00303307" w:rsidRDefault="004B607B" w:rsidP="000B2506">
            <w:pPr>
              <w:widowControl w:val="0"/>
              <w:pBdr>
                <w:top w:val="nil"/>
                <w:left w:val="nil"/>
                <w:bottom w:val="nil"/>
                <w:right w:val="nil"/>
                <w:between w:val="nil"/>
              </w:pBdr>
              <w:spacing w:after="0" w:line="240" w:lineRule="auto"/>
              <w:jc w:val="center"/>
              <w:rPr>
                <w:rFonts w:ascii="Arial" w:eastAsia="Arial" w:hAnsi="Arial" w:cs="Arial"/>
              </w:rPr>
            </w:pPr>
          </w:p>
          <w:p w14:paraId="58340ED9"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 xml:space="preserve">4,3 </w:t>
            </w:r>
          </w:p>
        </w:tc>
        <w:tc>
          <w:tcPr>
            <w:tcW w:w="1086" w:type="dxa"/>
            <w:shd w:val="clear" w:color="auto" w:fill="auto"/>
            <w:tcMar>
              <w:top w:w="100" w:type="dxa"/>
              <w:left w:w="100" w:type="dxa"/>
              <w:bottom w:w="100" w:type="dxa"/>
              <w:right w:w="100" w:type="dxa"/>
            </w:tcMar>
          </w:tcPr>
          <w:p w14:paraId="602A8BE6" w14:textId="77777777" w:rsidR="004B607B" w:rsidRPr="00303307" w:rsidRDefault="004B607B" w:rsidP="000B2506">
            <w:pPr>
              <w:widowControl w:val="0"/>
              <w:pBdr>
                <w:top w:val="nil"/>
                <w:left w:val="nil"/>
                <w:bottom w:val="nil"/>
                <w:right w:val="nil"/>
                <w:between w:val="nil"/>
              </w:pBdr>
              <w:spacing w:after="0" w:line="240" w:lineRule="auto"/>
              <w:jc w:val="center"/>
              <w:rPr>
                <w:rFonts w:ascii="Arial" w:eastAsia="Arial" w:hAnsi="Arial" w:cs="Arial"/>
              </w:rPr>
            </w:pPr>
          </w:p>
          <w:p w14:paraId="5B45D410"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 xml:space="preserve">8,6 </w:t>
            </w:r>
          </w:p>
        </w:tc>
        <w:tc>
          <w:tcPr>
            <w:tcW w:w="1086" w:type="dxa"/>
            <w:shd w:val="clear" w:color="auto" w:fill="auto"/>
            <w:tcMar>
              <w:top w:w="100" w:type="dxa"/>
              <w:left w:w="100" w:type="dxa"/>
              <w:bottom w:w="100" w:type="dxa"/>
              <w:right w:w="100" w:type="dxa"/>
            </w:tcMar>
          </w:tcPr>
          <w:p w14:paraId="20E55E07" w14:textId="77777777" w:rsidR="004B607B" w:rsidRPr="00303307" w:rsidRDefault="004B607B" w:rsidP="000B2506">
            <w:pPr>
              <w:widowControl w:val="0"/>
              <w:pBdr>
                <w:top w:val="nil"/>
                <w:left w:val="nil"/>
                <w:bottom w:val="nil"/>
                <w:right w:val="nil"/>
                <w:between w:val="nil"/>
              </w:pBdr>
              <w:spacing w:after="0" w:line="240" w:lineRule="auto"/>
              <w:jc w:val="center"/>
              <w:rPr>
                <w:rFonts w:ascii="Arial" w:eastAsia="Arial" w:hAnsi="Arial" w:cs="Arial"/>
              </w:rPr>
            </w:pPr>
          </w:p>
          <w:p w14:paraId="1A5501D2"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 xml:space="preserve">10,6 </w:t>
            </w:r>
          </w:p>
        </w:tc>
        <w:tc>
          <w:tcPr>
            <w:tcW w:w="1086" w:type="dxa"/>
            <w:shd w:val="clear" w:color="auto" w:fill="auto"/>
            <w:tcMar>
              <w:top w:w="100" w:type="dxa"/>
              <w:left w:w="100" w:type="dxa"/>
              <w:bottom w:w="100" w:type="dxa"/>
              <w:right w:w="100" w:type="dxa"/>
            </w:tcMar>
          </w:tcPr>
          <w:p w14:paraId="4A338F82" w14:textId="77777777" w:rsidR="004B607B" w:rsidRPr="00303307" w:rsidRDefault="004B607B" w:rsidP="000B2506">
            <w:pPr>
              <w:widowControl w:val="0"/>
              <w:pBdr>
                <w:top w:val="nil"/>
                <w:left w:val="nil"/>
                <w:bottom w:val="nil"/>
                <w:right w:val="nil"/>
                <w:between w:val="nil"/>
              </w:pBdr>
              <w:spacing w:after="0" w:line="240" w:lineRule="auto"/>
              <w:jc w:val="center"/>
              <w:rPr>
                <w:rFonts w:ascii="Arial" w:eastAsia="Arial" w:hAnsi="Arial" w:cs="Arial"/>
              </w:rPr>
            </w:pPr>
          </w:p>
          <w:p w14:paraId="37154D3D"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 xml:space="preserve">11,3 </w:t>
            </w:r>
          </w:p>
        </w:tc>
        <w:tc>
          <w:tcPr>
            <w:tcW w:w="1086" w:type="dxa"/>
            <w:shd w:val="clear" w:color="auto" w:fill="auto"/>
            <w:tcMar>
              <w:top w:w="100" w:type="dxa"/>
              <w:left w:w="100" w:type="dxa"/>
              <w:bottom w:w="100" w:type="dxa"/>
              <w:right w:w="100" w:type="dxa"/>
            </w:tcMar>
          </w:tcPr>
          <w:p w14:paraId="4740DCED" w14:textId="77777777" w:rsidR="004B607B" w:rsidRPr="00303307" w:rsidRDefault="004B607B" w:rsidP="000B2506">
            <w:pPr>
              <w:widowControl w:val="0"/>
              <w:pBdr>
                <w:top w:val="nil"/>
                <w:left w:val="nil"/>
                <w:bottom w:val="nil"/>
                <w:right w:val="nil"/>
                <w:between w:val="nil"/>
              </w:pBdr>
              <w:spacing w:after="0" w:line="240" w:lineRule="auto"/>
              <w:jc w:val="center"/>
              <w:rPr>
                <w:rFonts w:ascii="Arial" w:eastAsia="Arial" w:hAnsi="Arial" w:cs="Arial"/>
              </w:rPr>
            </w:pPr>
          </w:p>
          <w:p w14:paraId="1E6839AE"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10,0</w:t>
            </w:r>
          </w:p>
        </w:tc>
        <w:tc>
          <w:tcPr>
            <w:tcW w:w="1086" w:type="dxa"/>
            <w:shd w:val="clear" w:color="auto" w:fill="auto"/>
            <w:tcMar>
              <w:top w:w="100" w:type="dxa"/>
              <w:left w:w="100" w:type="dxa"/>
              <w:bottom w:w="100" w:type="dxa"/>
              <w:right w:w="100" w:type="dxa"/>
            </w:tcMar>
          </w:tcPr>
          <w:p w14:paraId="1F7989ED" w14:textId="77777777" w:rsidR="004B607B" w:rsidRPr="00303307" w:rsidRDefault="004B607B" w:rsidP="000B2506">
            <w:pPr>
              <w:widowControl w:val="0"/>
              <w:pBdr>
                <w:top w:val="nil"/>
                <w:left w:val="nil"/>
                <w:bottom w:val="nil"/>
                <w:right w:val="nil"/>
                <w:between w:val="nil"/>
              </w:pBdr>
              <w:spacing w:after="0" w:line="240" w:lineRule="auto"/>
              <w:jc w:val="center"/>
              <w:rPr>
                <w:rFonts w:ascii="Arial" w:eastAsia="Arial" w:hAnsi="Arial" w:cs="Arial"/>
              </w:rPr>
            </w:pPr>
          </w:p>
          <w:p w14:paraId="14AD080A"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i/>
              </w:rPr>
            </w:pPr>
            <w:r w:rsidRPr="00303307">
              <w:rPr>
                <w:rFonts w:ascii="Arial" w:eastAsia="Arial" w:hAnsi="Arial" w:cs="Arial"/>
                <w:i/>
              </w:rPr>
              <w:t>10,0</w:t>
            </w:r>
          </w:p>
        </w:tc>
      </w:tr>
    </w:tbl>
    <w:p w14:paraId="00E1AC91" w14:textId="77777777" w:rsidR="00827EA4" w:rsidRPr="00303307" w:rsidRDefault="00827EA4" w:rsidP="000B2506">
      <w:pPr>
        <w:pBdr>
          <w:top w:val="nil"/>
          <w:left w:val="nil"/>
          <w:bottom w:val="nil"/>
          <w:right w:val="nil"/>
          <w:between w:val="nil"/>
        </w:pBdr>
        <w:spacing w:line="240" w:lineRule="auto"/>
        <w:rPr>
          <w:rFonts w:ascii="Arial" w:eastAsia="Arial" w:hAnsi="Arial" w:cs="Arial"/>
          <w:i/>
        </w:rPr>
      </w:pPr>
    </w:p>
    <w:p w14:paraId="6CA5F17E" w14:textId="77777777" w:rsidR="004B607B" w:rsidRPr="00303307" w:rsidRDefault="00825AA5" w:rsidP="000B2506">
      <w:pPr>
        <w:pBdr>
          <w:top w:val="nil"/>
          <w:left w:val="nil"/>
          <w:bottom w:val="nil"/>
          <w:right w:val="nil"/>
          <w:between w:val="nil"/>
        </w:pBdr>
        <w:spacing w:line="240" w:lineRule="auto"/>
        <w:rPr>
          <w:rFonts w:ascii="Arial" w:eastAsia="Arial" w:hAnsi="Arial" w:cs="Arial"/>
        </w:rPr>
      </w:pPr>
      <w:r w:rsidRPr="00303307">
        <w:rPr>
          <w:rFonts w:ascii="Arial" w:eastAsia="Arial" w:hAnsi="Arial" w:cs="Arial"/>
          <w:i/>
        </w:rPr>
        <w:t xml:space="preserve">Tabulka č. 2 </w:t>
      </w:r>
      <w:r w:rsidRPr="00303307">
        <w:rPr>
          <w:rFonts w:ascii="Arial" w:eastAsia="Arial" w:hAnsi="Arial" w:cs="Arial"/>
          <w:i/>
        </w:rPr>
        <w:tab/>
        <w:t>Porovnání nákladů na prevenci HIV v ČR a zemích EU/EFTA (v mil EUR)</w:t>
      </w:r>
      <w:r w:rsidR="0036218B" w:rsidRPr="00303307">
        <w:rPr>
          <w:rStyle w:val="Znakapoznpodarou"/>
          <w:rFonts w:ascii="Arial" w:eastAsia="Arial" w:hAnsi="Arial" w:cs="Arial"/>
          <w:i/>
        </w:rPr>
        <w:footnoteReference w:id="29"/>
      </w:r>
    </w:p>
    <w:tbl>
      <w:tblPr>
        <w:tblStyle w:val="1"/>
        <w:tblW w:w="92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3"/>
        <w:gridCol w:w="2303"/>
        <w:gridCol w:w="2304"/>
        <w:gridCol w:w="2304"/>
      </w:tblGrid>
      <w:tr w:rsidR="004B607B" w:rsidRPr="00303307" w14:paraId="0B7A3B2C" w14:textId="77777777" w:rsidTr="0036218B">
        <w:trPr>
          <w:trHeight w:val="203"/>
        </w:trPr>
        <w:tc>
          <w:tcPr>
            <w:tcW w:w="2303" w:type="dxa"/>
            <w:shd w:val="clear" w:color="auto" w:fill="auto"/>
            <w:tcMar>
              <w:top w:w="100" w:type="dxa"/>
              <w:left w:w="100" w:type="dxa"/>
              <w:bottom w:w="100" w:type="dxa"/>
              <w:right w:w="100" w:type="dxa"/>
            </w:tcMar>
          </w:tcPr>
          <w:p w14:paraId="352E5F2B" w14:textId="77777777" w:rsidR="004B607B" w:rsidRPr="00303307" w:rsidRDefault="004B607B" w:rsidP="000B2506">
            <w:pPr>
              <w:widowControl w:val="0"/>
              <w:pBdr>
                <w:top w:val="nil"/>
                <w:left w:val="nil"/>
                <w:bottom w:val="nil"/>
                <w:right w:val="nil"/>
                <w:between w:val="nil"/>
              </w:pBdr>
              <w:spacing w:after="0" w:line="240" w:lineRule="auto"/>
              <w:rPr>
                <w:rFonts w:ascii="Arial" w:eastAsia="Arial" w:hAnsi="Arial" w:cs="Arial"/>
              </w:rPr>
            </w:pPr>
          </w:p>
        </w:tc>
        <w:tc>
          <w:tcPr>
            <w:tcW w:w="2303" w:type="dxa"/>
            <w:shd w:val="clear" w:color="auto" w:fill="auto"/>
            <w:tcMar>
              <w:top w:w="100" w:type="dxa"/>
              <w:left w:w="100" w:type="dxa"/>
              <w:bottom w:w="100" w:type="dxa"/>
              <w:right w:w="100" w:type="dxa"/>
            </w:tcMar>
          </w:tcPr>
          <w:p w14:paraId="4F05C551"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Celkem</w:t>
            </w:r>
          </w:p>
        </w:tc>
        <w:tc>
          <w:tcPr>
            <w:tcW w:w="2303" w:type="dxa"/>
            <w:shd w:val="clear" w:color="auto" w:fill="auto"/>
            <w:tcMar>
              <w:top w:w="100" w:type="dxa"/>
              <w:left w:w="100" w:type="dxa"/>
              <w:bottom w:w="100" w:type="dxa"/>
              <w:right w:w="100" w:type="dxa"/>
            </w:tcMar>
          </w:tcPr>
          <w:p w14:paraId="2B6FA652"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Prevence</w:t>
            </w:r>
          </w:p>
        </w:tc>
        <w:tc>
          <w:tcPr>
            <w:tcW w:w="2303" w:type="dxa"/>
            <w:shd w:val="clear" w:color="auto" w:fill="auto"/>
            <w:tcMar>
              <w:top w:w="100" w:type="dxa"/>
              <w:left w:w="100" w:type="dxa"/>
              <w:bottom w:w="100" w:type="dxa"/>
              <w:right w:w="100" w:type="dxa"/>
            </w:tcMar>
          </w:tcPr>
          <w:p w14:paraId="754C4EDC"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 na prevenci</w:t>
            </w:r>
          </w:p>
        </w:tc>
      </w:tr>
      <w:tr w:rsidR="004B607B" w:rsidRPr="00303307" w14:paraId="65742BD1" w14:textId="77777777" w:rsidTr="0036218B">
        <w:trPr>
          <w:trHeight w:val="295"/>
        </w:trPr>
        <w:tc>
          <w:tcPr>
            <w:tcW w:w="2303" w:type="dxa"/>
            <w:shd w:val="clear" w:color="auto" w:fill="auto"/>
            <w:tcMar>
              <w:top w:w="100" w:type="dxa"/>
              <w:left w:w="100" w:type="dxa"/>
              <w:bottom w:w="100" w:type="dxa"/>
              <w:right w:w="100" w:type="dxa"/>
            </w:tcMar>
          </w:tcPr>
          <w:p w14:paraId="6B3CB42A" w14:textId="77777777" w:rsidR="004B607B" w:rsidRPr="00303307" w:rsidRDefault="00825AA5" w:rsidP="000B2506">
            <w:pPr>
              <w:widowControl w:val="0"/>
              <w:pBdr>
                <w:top w:val="nil"/>
                <w:left w:val="nil"/>
                <w:bottom w:val="nil"/>
                <w:right w:val="nil"/>
                <w:between w:val="nil"/>
              </w:pBdr>
              <w:spacing w:after="0" w:line="240" w:lineRule="auto"/>
              <w:rPr>
                <w:rFonts w:ascii="Arial" w:eastAsia="Arial" w:hAnsi="Arial" w:cs="Arial"/>
              </w:rPr>
            </w:pPr>
            <w:r w:rsidRPr="00303307">
              <w:rPr>
                <w:rFonts w:ascii="Arial" w:eastAsia="Arial" w:hAnsi="Arial" w:cs="Arial"/>
              </w:rPr>
              <w:t>Všechny státy analýzy (15)</w:t>
            </w:r>
          </w:p>
        </w:tc>
        <w:tc>
          <w:tcPr>
            <w:tcW w:w="2303" w:type="dxa"/>
            <w:shd w:val="clear" w:color="auto" w:fill="auto"/>
            <w:tcMar>
              <w:top w:w="100" w:type="dxa"/>
              <w:left w:w="100" w:type="dxa"/>
              <w:bottom w:w="100" w:type="dxa"/>
              <w:right w:w="100" w:type="dxa"/>
            </w:tcMar>
          </w:tcPr>
          <w:p w14:paraId="12D89D68"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1642</w:t>
            </w:r>
          </w:p>
        </w:tc>
        <w:tc>
          <w:tcPr>
            <w:tcW w:w="2303" w:type="dxa"/>
            <w:shd w:val="clear" w:color="auto" w:fill="auto"/>
            <w:tcMar>
              <w:top w:w="100" w:type="dxa"/>
              <w:left w:w="100" w:type="dxa"/>
              <w:bottom w:w="100" w:type="dxa"/>
              <w:right w:w="100" w:type="dxa"/>
            </w:tcMar>
          </w:tcPr>
          <w:p w14:paraId="1B1B52DC"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59</w:t>
            </w:r>
          </w:p>
        </w:tc>
        <w:tc>
          <w:tcPr>
            <w:tcW w:w="2303" w:type="dxa"/>
            <w:shd w:val="clear" w:color="auto" w:fill="auto"/>
            <w:tcMar>
              <w:top w:w="100" w:type="dxa"/>
              <w:left w:w="100" w:type="dxa"/>
              <w:bottom w:w="100" w:type="dxa"/>
              <w:right w:w="100" w:type="dxa"/>
            </w:tcMar>
          </w:tcPr>
          <w:p w14:paraId="02467E9E"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3,6</w:t>
            </w:r>
          </w:p>
        </w:tc>
      </w:tr>
      <w:tr w:rsidR="004B607B" w:rsidRPr="00303307" w14:paraId="0191E075" w14:textId="77777777">
        <w:tc>
          <w:tcPr>
            <w:tcW w:w="2303" w:type="dxa"/>
            <w:shd w:val="clear" w:color="auto" w:fill="auto"/>
            <w:tcMar>
              <w:top w:w="100" w:type="dxa"/>
              <w:left w:w="100" w:type="dxa"/>
              <w:bottom w:w="100" w:type="dxa"/>
              <w:right w:w="100" w:type="dxa"/>
            </w:tcMar>
          </w:tcPr>
          <w:p w14:paraId="34C1E884" w14:textId="77777777" w:rsidR="004B607B" w:rsidRPr="00303307" w:rsidRDefault="00825AA5" w:rsidP="000B2506">
            <w:pPr>
              <w:widowControl w:val="0"/>
              <w:spacing w:after="0" w:line="240" w:lineRule="auto"/>
              <w:rPr>
                <w:rFonts w:ascii="Arial" w:eastAsia="Arial" w:hAnsi="Arial" w:cs="Arial"/>
              </w:rPr>
            </w:pPr>
            <w:r w:rsidRPr="00303307">
              <w:rPr>
                <w:rFonts w:ascii="Arial" w:eastAsia="Arial" w:hAnsi="Arial" w:cs="Arial"/>
              </w:rPr>
              <w:t>Vybrané státy EU/EFTA (8)</w:t>
            </w:r>
          </w:p>
        </w:tc>
        <w:tc>
          <w:tcPr>
            <w:tcW w:w="2303" w:type="dxa"/>
            <w:shd w:val="clear" w:color="auto" w:fill="auto"/>
            <w:tcMar>
              <w:top w:w="100" w:type="dxa"/>
              <w:left w:w="100" w:type="dxa"/>
              <w:bottom w:w="100" w:type="dxa"/>
              <w:right w:w="100" w:type="dxa"/>
            </w:tcMar>
          </w:tcPr>
          <w:p w14:paraId="0E01D68A"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1551</w:t>
            </w:r>
          </w:p>
        </w:tc>
        <w:tc>
          <w:tcPr>
            <w:tcW w:w="2303" w:type="dxa"/>
            <w:shd w:val="clear" w:color="auto" w:fill="auto"/>
            <w:tcMar>
              <w:top w:w="100" w:type="dxa"/>
              <w:left w:w="100" w:type="dxa"/>
              <w:bottom w:w="100" w:type="dxa"/>
              <w:right w:w="100" w:type="dxa"/>
            </w:tcMar>
          </w:tcPr>
          <w:p w14:paraId="779023A7"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27</w:t>
            </w:r>
          </w:p>
        </w:tc>
        <w:tc>
          <w:tcPr>
            <w:tcW w:w="2303" w:type="dxa"/>
            <w:shd w:val="clear" w:color="auto" w:fill="auto"/>
            <w:tcMar>
              <w:top w:w="100" w:type="dxa"/>
              <w:left w:w="100" w:type="dxa"/>
              <w:bottom w:w="100" w:type="dxa"/>
              <w:right w:w="100" w:type="dxa"/>
            </w:tcMar>
          </w:tcPr>
          <w:p w14:paraId="6FB4AE5C"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1,7</w:t>
            </w:r>
          </w:p>
        </w:tc>
      </w:tr>
      <w:tr w:rsidR="004B607B" w:rsidRPr="00303307" w14:paraId="30888F32" w14:textId="77777777">
        <w:tc>
          <w:tcPr>
            <w:tcW w:w="2303" w:type="dxa"/>
            <w:shd w:val="clear" w:color="auto" w:fill="auto"/>
            <w:tcMar>
              <w:top w:w="100" w:type="dxa"/>
              <w:left w:w="100" w:type="dxa"/>
              <w:bottom w:w="100" w:type="dxa"/>
              <w:right w:w="100" w:type="dxa"/>
            </w:tcMar>
          </w:tcPr>
          <w:p w14:paraId="545CA4AC" w14:textId="77777777" w:rsidR="004B607B" w:rsidRPr="00303307" w:rsidRDefault="00825AA5" w:rsidP="000B2506">
            <w:pPr>
              <w:widowControl w:val="0"/>
              <w:pBdr>
                <w:top w:val="nil"/>
                <w:left w:val="nil"/>
                <w:bottom w:val="nil"/>
                <w:right w:val="nil"/>
                <w:between w:val="nil"/>
              </w:pBdr>
              <w:spacing w:after="0" w:line="240" w:lineRule="auto"/>
              <w:rPr>
                <w:rFonts w:ascii="Arial" w:eastAsia="Arial" w:hAnsi="Arial" w:cs="Arial"/>
              </w:rPr>
            </w:pPr>
            <w:r w:rsidRPr="00303307">
              <w:rPr>
                <w:rFonts w:ascii="Arial" w:eastAsia="Arial" w:hAnsi="Arial" w:cs="Arial"/>
              </w:rPr>
              <w:t>Vybrané státy mimo EU/EFTA (7)</w:t>
            </w:r>
          </w:p>
        </w:tc>
        <w:tc>
          <w:tcPr>
            <w:tcW w:w="2303" w:type="dxa"/>
            <w:shd w:val="clear" w:color="auto" w:fill="auto"/>
            <w:tcMar>
              <w:top w:w="100" w:type="dxa"/>
              <w:left w:w="100" w:type="dxa"/>
              <w:bottom w:w="100" w:type="dxa"/>
              <w:right w:w="100" w:type="dxa"/>
            </w:tcMar>
          </w:tcPr>
          <w:p w14:paraId="01262EDC"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91</w:t>
            </w:r>
          </w:p>
        </w:tc>
        <w:tc>
          <w:tcPr>
            <w:tcW w:w="2303" w:type="dxa"/>
            <w:shd w:val="clear" w:color="auto" w:fill="auto"/>
            <w:tcMar>
              <w:top w:w="100" w:type="dxa"/>
              <w:left w:w="100" w:type="dxa"/>
              <w:bottom w:w="100" w:type="dxa"/>
              <w:right w:w="100" w:type="dxa"/>
            </w:tcMar>
          </w:tcPr>
          <w:p w14:paraId="30E05ABB"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32</w:t>
            </w:r>
          </w:p>
        </w:tc>
        <w:tc>
          <w:tcPr>
            <w:tcW w:w="2303" w:type="dxa"/>
            <w:shd w:val="clear" w:color="auto" w:fill="auto"/>
            <w:tcMar>
              <w:top w:w="100" w:type="dxa"/>
              <w:left w:w="100" w:type="dxa"/>
              <w:bottom w:w="100" w:type="dxa"/>
              <w:right w:w="100" w:type="dxa"/>
            </w:tcMar>
          </w:tcPr>
          <w:p w14:paraId="2A05833D"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rPr>
            </w:pPr>
            <w:r w:rsidRPr="00303307">
              <w:rPr>
                <w:rFonts w:ascii="Arial" w:eastAsia="Arial" w:hAnsi="Arial" w:cs="Arial"/>
              </w:rPr>
              <w:t>35,8</w:t>
            </w:r>
          </w:p>
        </w:tc>
      </w:tr>
      <w:tr w:rsidR="004B607B" w:rsidRPr="00303307" w14:paraId="77B71D0D" w14:textId="77777777" w:rsidTr="00B54A8A">
        <w:trPr>
          <w:trHeight w:val="20"/>
        </w:trPr>
        <w:tc>
          <w:tcPr>
            <w:tcW w:w="2303" w:type="dxa"/>
            <w:shd w:val="clear" w:color="auto" w:fill="auto"/>
            <w:tcMar>
              <w:top w:w="100" w:type="dxa"/>
              <w:left w:w="100" w:type="dxa"/>
              <w:bottom w:w="100" w:type="dxa"/>
              <w:right w:w="100" w:type="dxa"/>
            </w:tcMar>
          </w:tcPr>
          <w:p w14:paraId="01EA2CB3" w14:textId="77777777" w:rsidR="004B607B" w:rsidRPr="00303307" w:rsidRDefault="00825AA5" w:rsidP="000B2506">
            <w:pPr>
              <w:widowControl w:val="0"/>
              <w:pBdr>
                <w:top w:val="nil"/>
                <w:left w:val="nil"/>
                <w:bottom w:val="nil"/>
                <w:right w:val="nil"/>
                <w:between w:val="nil"/>
              </w:pBdr>
              <w:spacing w:after="0" w:line="240" w:lineRule="auto"/>
              <w:rPr>
                <w:rFonts w:ascii="Arial" w:eastAsia="Arial" w:hAnsi="Arial" w:cs="Arial"/>
                <w:b/>
              </w:rPr>
            </w:pPr>
            <w:r w:rsidRPr="00303307">
              <w:rPr>
                <w:rFonts w:ascii="Arial" w:eastAsia="Arial" w:hAnsi="Arial" w:cs="Arial"/>
                <w:b/>
              </w:rPr>
              <w:t xml:space="preserve">Česká republika </w:t>
            </w:r>
          </w:p>
        </w:tc>
        <w:tc>
          <w:tcPr>
            <w:tcW w:w="2303" w:type="dxa"/>
            <w:shd w:val="clear" w:color="auto" w:fill="auto"/>
            <w:tcMar>
              <w:top w:w="100" w:type="dxa"/>
              <w:left w:w="100" w:type="dxa"/>
              <w:bottom w:w="100" w:type="dxa"/>
              <w:right w:w="100" w:type="dxa"/>
            </w:tcMar>
          </w:tcPr>
          <w:p w14:paraId="0FC17B5A"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b/>
              </w:rPr>
            </w:pPr>
            <w:r w:rsidRPr="00303307">
              <w:rPr>
                <w:rFonts w:ascii="Arial" w:eastAsia="Arial" w:hAnsi="Arial" w:cs="Arial"/>
                <w:b/>
              </w:rPr>
              <w:t>13,6</w:t>
            </w:r>
          </w:p>
        </w:tc>
        <w:tc>
          <w:tcPr>
            <w:tcW w:w="2303" w:type="dxa"/>
            <w:shd w:val="clear" w:color="auto" w:fill="auto"/>
            <w:tcMar>
              <w:top w:w="100" w:type="dxa"/>
              <w:left w:w="100" w:type="dxa"/>
              <w:bottom w:w="100" w:type="dxa"/>
              <w:right w:w="100" w:type="dxa"/>
            </w:tcMar>
          </w:tcPr>
          <w:p w14:paraId="0CA5DCE4"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b/>
              </w:rPr>
            </w:pPr>
            <w:r w:rsidRPr="00303307">
              <w:rPr>
                <w:rFonts w:ascii="Arial" w:eastAsia="Arial" w:hAnsi="Arial" w:cs="Arial"/>
                <w:b/>
              </w:rPr>
              <w:t>0,12</w:t>
            </w:r>
          </w:p>
        </w:tc>
        <w:tc>
          <w:tcPr>
            <w:tcW w:w="2303" w:type="dxa"/>
            <w:shd w:val="clear" w:color="auto" w:fill="auto"/>
            <w:tcMar>
              <w:top w:w="100" w:type="dxa"/>
              <w:left w:w="100" w:type="dxa"/>
              <w:bottom w:w="100" w:type="dxa"/>
              <w:right w:w="100" w:type="dxa"/>
            </w:tcMar>
          </w:tcPr>
          <w:p w14:paraId="5217D79A" w14:textId="77777777" w:rsidR="004B607B" w:rsidRPr="00303307" w:rsidRDefault="00825AA5" w:rsidP="000B2506">
            <w:pPr>
              <w:widowControl w:val="0"/>
              <w:pBdr>
                <w:top w:val="nil"/>
                <w:left w:val="nil"/>
                <w:bottom w:val="nil"/>
                <w:right w:val="nil"/>
                <w:between w:val="nil"/>
              </w:pBdr>
              <w:spacing w:after="0" w:line="240" w:lineRule="auto"/>
              <w:jc w:val="center"/>
              <w:rPr>
                <w:rFonts w:ascii="Arial" w:eastAsia="Arial" w:hAnsi="Arial" w:cs="Arial"/>
                <w:b/>
                <w:color w:val="FF0000"/>
              </w:rPr>
            </w:pPr>
            <w:r w:rsidRPr="00303307">
              <w:rPr>
                <w:rFonts w:ascii="Arial" w:eastAsia="Arial" w:hAnsi="Arial" w:cs="Arial"/>
                <w:b/>
              </w:rPr>
              <w:t>0,9</w:t>
            </w:r>
          </w:p>
        </w:tc>
      </w:tr>
    </w:tbl>
    <w:p w14:paraId="46E265AC" w14:textId="77777777" w:rsidR="00827EA4" w:rsidRPr="00303307" w:rsidRDefault="00827EA4" w:rsidP="000B2506">
      <w:pPr>
        <w:spacing w:line="240" w:lineRule="auto"/>
        <w:jc w:val="both"/>
        <w:rPr>
          <w:rFonts w:ascii="Arial" w:eastAsia="Arial" w:hAnsi="Arial" w:cs="Arial"/>
        </w:rPr>
      </w:pPr>
    </w:p>
    <w:p w14:paraId="5A4DB92B" w14:textId="39FB0062" w:rsidR="004B607B" w:rsidRPr="00303307" w:rsidRDefault="00825AA5" w:rsidP="000B2506">
      <w:pPr>
        <w:spacing w:line="240" w:lineRule="auto"/>
        <w:jc w:val="both"/>
        <w:rPr>
          <w:rFonts w:ascii="Arial" w:eastAsia="Arial" w:hAnsi="Arial" w:cs="Arial"/>
        </w:rPr>
      </w:pPr>
      <w:r w:rsidRPr="00303307">
        <w:rPr>
          <w:rFonts w:ascii="Arial" w:eastAsia="Arial" w:hAnsi="Arial" w:cs="Arial"/>
        </w:rPr>
        <w:t>V dotačním programu chybí víceleté financování klíčových projektů (např. podpora HIV testování na vlastní žádost a terénního testování v mo</w:t>
      </w:r>
      <w:r w:rsidR="00827EA4" w:rsidRPr="00303307">
        <w:rPr>
          <w:rFonts w:ascii="Arial" w:eastAsia="Arial" w:hAnsi="Arial" w:cs="Arial"/>
        </w:rPr>
        <w:t>bilních testovacích zařízeních)</w:t>
      </w:r>
      <w:r w:rsidR="0035498E">
        <w:rPr>
          <w:rFonts w:ascii="Arial" w:eastAsia="Arial" w:hAnsi="Arial" w:cs="Arial"/>
        </w:rPr>
        <w:t>.</w:t>
      </w:r>
      <w:r w:rsidRPr="00303307">
        <w:rPr>
          <w:rFonts w:ascii="Arial" w:eastAsia="Arial" w:hAnsi="Arial" w:cs="Arial"/>
        </w:rPr>
        <w:t xml:space="preserve"> Program rovněž neumožňuje financovat destigmatizační kampaně</w:t>
      </w:r>
      <w:r w:rsidR="0032251D" w:rsidRPr="00303307">
        <w:rPr>
          <w:rFonts w:ascii="Arial" w:eastAsia="Arial" w:hAnsi="Arial" w:cs="Arial"/>
        </w:rPr>
        <w:t>, ačkoliv</w:t>
      </w:r>
      <w:r w:rsidRPr="00303307">
        <w:rPr>
          <w:rFonts w:ascii="Arial" w:eastAsia="Arial" w:hAnsi="Arial" w:cs="Arial"/>
        </w:rPr>
        <w:t xml:space="preserve"> stigmatizace je ve východiscích Národního programu řešení problematiky HIV/AIDS v České republi</w:t>
      </w:r>
      <w:r w:rsidR="00827EA4" w:rsidRPr="00303307">
        <w:rPr>
          <w:rFonts w:ascii="Arial" w:eastAsia="Arial" w:hAnsi="Arial" w:cs="Arial"/>
        </w:rPr>
        <w:t>ce v období 2018 – 2022 označena</w:t>
      </w:r>
      <w:r w:rsidRPr="00303307">
        <w:rPr>
          <w:rFonts w:ascii="Arial" w:eastAsia="Arial" w:hAnsi="Arial" w:cs="Arial"/>
        </w:rPr>
        <w:t xml:space="preserve"> jako jeden z faktorů přispívajících k šíření HIV. Dotační program rovněž nedostatečně </w:t>
      </w:r>
      <w:r w:rsidR="00B54A8A" w:rsidRPr="00303307">
        <w:rPr>
          <w:rFonts w:ascii="Arial" w:eastAsia="Arial" w:hAnsi="Arial" w:cs="Arial"/>
        </w:rPr>
        <w:t>upřednostňuje</w:t>
      </w:r>
      <w:r w:rsidRPr="00303307">
        <w:rPr>
          <w:rFonts w:ascii="Arial" w:eastAsia="Arial" w:hAnsi="Arial" w:cs="Arial"/>
        </w:rPr>
        <w:t xml:space="preserve"> </w:t>
      </w:r>
      <w:r w:rsidR="0032251D" w:rsidRPr="00303307">
        <w:rPr>
          <w:rFonts w:ascii="Arial" w:eastAsia="Arial" w:hAnsi="Arial" w:cs="Arial"/>
        </w:rPr>
        <w:t xml:space="preserve">skupinu MSM jako </w:t>
      </w:r>
      <w:r w:rsidRPr="00303307">
        <w:rPr>
          <w:rFonts w:ascii="Arial" w:eastAsia="Arial" w:hAnsi="Arial" w:cs="Arial"/>
        </w:rPr>
        <w:t>hlavní klíčovou skupinu prevence s epidemiol</w:t>
      </w:r>
      <w:r w:rsidR="0032251D" w:rsidRPr="00303307">
        <w:rPr>
          <w:rFonts w:ascii="Arial" w:eastAsia="Arial" w:hAnsi="Arial" w:cs="Arial"/>
        </w:rPr>
        <w:t>ogicky nejvyšším rizikem nákazy</w:t>
      </w:r>
      <w:r w:rsidRPr="00303307">
        <w:rPr>
          <w:rFonts w:ascii="Arial" w:eastAsia="Arial" w:hAnsi="Arial" w:cs="Arial"/>
        </w:rPr>
        <w:t xml:space="preserve">. Zatímco za posledních pět let bylo přibližně 70 % všech nových nákaz právě ve skupině MSM, </w:t>
      </w:r>
      <w:r w:rsidR="00B54A8A" w:rsidRPr="00303307">
        <w:rPr>
          <w:rFonts w:ascii="Arial" w:eastAsia="Arial" w:hAnsi="Arial" w:cs="Arial"/>
        </w:rPr>
        <w:t>na cílenou prevenci ve skupině MSM bylo vynaloženo pouze okolo 30 % finančn</w:t>
      </w:r>
      <w:r w:rsidRPr="00303307">
        <w:rPr>
          <w:rFonts w:ascii="Arial" w:eastAsia="Arial" w:hAnsi="Arial" w:cs="Arial"/>
        </w:rPr>
        <w:t>ích prostředků dotačního programu.</w:t>
      </w:r>
      <w:r w:rsidRPr="00303307">
        <w:rPr>
          <w:rFonts w:ascii="Arial" w:eastAsia="Arial" w:hAnsi="Arial" w:cs="Arial"/>
          <w:vertAlign w:val="superscript"/>
        </w:rPr>
        <w:footnoteReference w:id="30"/>
      </w:r>
      <w:r w:rsidR="009D3859">
        <w:rPr>
          <w:rFonts w:ascii="Arial" w:eastAsia="Arial" w:hAnsi="Arial" w:cs="Arial"/>
        </w:rPr>
        <w:t xml:space="preserve"> </w:t>
      </w:r>
      <w:r w:rsidRPr="00303307">
        <w:rPr>
          <w:rFonts w:ascii="Arial" w:eastAsia="Arial" w:hAnsi="Arial" w:cs="Arial"/>
        </w:rPr>
        <w:t>Pro zajištění dostatečného, kontinuálního a efektivního financování prevence infekce HIV výbor považuje za nutné:</w:t>
      </w:r>
    </w:p>
    <w:p w14:paraId="72C596F0" w14:textId="77777777" w:rsidR="00B54A8A" w:rsidRPr="00303307" w:rsidRDefault="00B54A8A" w:rsidP="00B54A8A">
      <w:pPr>
        <w:numPr>
          <w:ilvl w:val="0"/>
          <w:numId w:val="2"/>
        </w:numPr>
        <w:pBdr>
          <w:top w:val="nil"/>
          <w:left w:val="nil"/>
          <w:bottom w:val="nil"/>
          <w:right w:val="nil"/>
          <w:between w:val="nil"/>
        </w:pBdr>
        <w:spacing w:after="0" w:line="240" w:lineRule="auto"/>
        <w:jc w:val="both"/>
        <w:rPr>
          <w:rFonts w:ascii="Arial" w:eastAsia="Arial" w:hAnsi="Arial" w:cs="Arial"/>
        </w:rPr>
      </w:pPr>
      <w:r w:rsidRPr="00303307">
        <w:rPr>
          <w:rFonts w:ascii="Arial" w:eastAsia="Arial" w:hAnsi="Arial" w:cs="Arial"/>
        </w:rPr>
        <w:lastRenderedPageBreak/>
        <w:t>navýšit prostředky dotačního programu Ministerstva zdravotnictví ČR Národní program řešení problematiky HIV/AIDS alespoň na výši 1,5 % celkových nákladů na řešení problematiky HIV/AIDS v ČR.</w:t>
      </w:r>
    </w:p>
    <w:p w14:paraId="213C59BE" w14:textId="77777777" w:rsidR="004B607B" w:rsidRPr="00303307" w:rsidRDefault="00825AA5" w:rsidP="000B2506">
      <w:pPr>
        <w:numPr>
          <w:ilvl w:val="0"/>
          <w:numId w:val="2"/>
        </w:numPr>
        <w:pBdr>
          <w:top w:val="nil"/>
          <w:left w:val="nil"/>
          <w:bottom w:val="nil"/>
          <w:right w:val="nil"/>
          <w:between w:val="nil"/>
        </w:pBdr>
        <w:spacing w:after="0" w:line="240" w:lineRule="auto"/>
        <w:jc w:val="both"/>
        <w:rPr>
          <w:rFonts w:ascii="Arial" w:eastAsia="Arial" w:hAnsi="Arial" w:cs="Arial"/>
        </w:rPr>
      </w:pPr>
      <w:r w:rsidRPr="00303307">
        <w:rPr>
          <w:rFonts w:ascii="Arial" w:eastAsia="Arial" w:hAnsi="Arial" w:cs="Arial"/>
        </w:rPr>
        <w:t>umožnit vícelet</w:t>
      </w:r>
      <w:r w:rsidR="00B54A8A" w:rsidRPr="00303307">
        <w:rPr>
          <w:rFonts w:ascii="Arial" w:eastAsia="Arial" w:hAnsi="Arial" w:cs="Arial"/>
        </w:rPr>
        <w:t>é</w:t>
      </w:r>
      <w:r w:rsidRPr="00303307">
        <w:rPr>
          <w:rFonts w:ascii="Arial" w:eastAsia="Arial" w:hAnsi="Arial" w:cs="Arial"/>
        </w:rPr>
        <w:t xml:space="preserve"> financování vybraných klíčových projektů, na kterých existuje odborná shoda a společenský zájem (např. HIV testování)</w:t>
      </w:r>
    </w:p>
    <w:p w14:paraId="234B9EE0" w14:textId="77777777" w:rsidR="004B607B" w:rsidRPr="00303307" w:rsidRDefault="00825AA5" w:rsidP="000B2506">
      <w:pPr>
        <w:numPr>
          <w:ilvl w:val="0"/>
          <w:numId w:val="2"/>
        </w:numPr>
        <w:pBdr>
          <w:top w:val="nil"/>
          <w:left w:val="nil"/>
          <w:bottom w:val="nil"/>
          <w:right w:val="nil"/>
          <w:between w:val="nil"/>
        </w:pBdr>
        <w:spacing w:line="240" w:lineRule="auto"/>
        <w:jc w:val="both"/>
        <w:rPr>
          <w:rFonts w:ascii="Arial" w:eastAsia="Arial" w:hAnsi="Arial" w:cs="Arial"/>
        </w:rPr>
      </w:pPr>
      <w:r w:rsidRPr="00303307">
        <w:rPr>
          <w:rFonts w:ascii="Arial" w:eastAsia="Arial" w:hAnsi="Arial" w:cs="Arial"/>
        </w:rPr>
        <w:t xml:space="preserve">zacílit prevenci HIV na </w:t>
      </w:r>
      <w:r w:rsidR="00B54A8A" w:rsidRPr="00303307">
        <w:rPr>
          <w:rFonts w:ascii="Arial" w:eastAsia="Arial" w:hAnsi="Arial" w:cs="Arial"/>
        </w:rPr>
        <w:t xml:space="preserve">skupinu MSM jako </w:t>
      </w:r>
      <w:r w:rsidRPr="00303307">
        <w:rPr>
          <w:rFonts w:ascii="Arial" w:eastAsia="Arial" w:hAnsi="Arial" w:cs="Arial"/>
        </w:rPr>
        <w:t xml:space="preserve">skupinu </w:t>
      </w:r>
      <w:r w:rsidR="00AF62B6" w:rsidRPr="00303307">
        <w:rPr>
          <w:rFonts w:ascii="Arial" w:eastAsia="Arial" w:hAnsi="Arial" w:cs="Arial"/>
        </w:rPr>
        <w:t>s nejvyšším rizikem</w:t>
      </w:r>
      <w:r w:rsidRPr="00303307">
        <w:rPr>
          <w:rFonts w:ascii="Arial" w:eastAsia="Arial" w:hAnsi="Arial" w:cs="Arial"/>
        </w:rPr>
        <w:t xml:space="preserve"> nákazy HIV s odpovídající alokací z prostředků dotačního programu.</w:t>
      </w:r>
    </w:p>
    <w:sectPr w:rsidR="004B607B" w:rsidRPr="00303307">
      <w:pgSz w:w="11906" w:h="16838"/>
      <w:pgMar w:top="1440" w:right="1252"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9EA0C" w14:textId="77777777" w:rsidR="00DA4665" w:rsidRDefault="00DA4665">
      <w:pPr>
        <w:spacing w:after="0" w:line="240" w:lineRule="auto"/>
      </w:pPr>
      <w:r>
        <w:separator/>
      </w:r>
    </w:p>
  </w:endnote>
  <w:endnote w:type="continuationSeparator" w:id="0">
    <w:p w14:paraId="4F45D538" w14:textId="77777777" w:rsidR="00DA4665" w:rsidRDefault="00DA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870A5" w14:textId="77777777" w:rsidR="00DA4665" w:rsidRDefault="00DA4665">
      <w:pPr>
        <w:spacing w:after="0" w:line="240" w:lineRule="auto"/>
      </w:pPr>
      <w:r>
        <w:separator/>
      </w:r>
    </w:p>
  </w:footnote>
  <w:footnote w:type="continuationSeparator" w:id="0">
    <w:p w14:paraId="2553E42D" w14:textId="77777777" w:rsidR="00DA4665" w:rsidRDefault="00DA4665">
      <w:pPr>
        <w:spacing w:after="0" w:line="240" w:lineRule="auto"/>
      </w:pPr>
      <w:r>
        <w:continuationSeparator/>
      </w:r>
    </w:p>
  </w:footnote>
  <w:footnote w:id="1">
    <w:p w14:paraId="3A2F8F38" w14:textId="07AED079" w:rsidR="00303307" w:rsidRPr="00303307" w:rsidRDefault="00303307">
      <w:pPr>
        <w:pStyle w:val="Textpoznpodarou"/>
        <w:rPr>
          <w:b/>
        </w:rPr>
      </w:pPr>
      <w:r>
        <w:rPr>
          <w:rStyle w:val="Znakapoznpodarou"/>
        </w:rPr>
        <w:footnoteRef/>
      </w:r>
      <w:r>
        <w:t xml:space="preserve"> </w:t>
      </w:r>
      <w:r w:rsidR="006A5AA0" w:rsidRPr="00C9793D">
        <w:rPr>
          <w:rFonts w:ascii="Arial" w:hAnsi="Arial" w:cs="Arial"/>
        </w:rPr>
        <w:t xml:space="preserve">Viz WHO (2015), Sexual health, human rights and the law. Dostupné z: </w:t>
      </w:r>
      <w:hyperlink r:id="rId1" w:history="1">
        <w:r w:rsidR="00C9793D" w:rsidRPr="00C9793D">
          <w:rPr>
            <w:rStyle w:val="Hypertextovodkaz"/>
            <w:rFonts w:ascii="Arial" w:hAnsi="Arial" w:cs="Arial"/>
          </w:rPr>
          <w:t>https://apps.who.int/iris/bitstream/handle/10665/175556/9789241564984_eng.pdf;jsessionid=4DAD4937A1C1E57A10D48B49BA95AFDC?sequence=1</w:t>
        </w:r>
      </w:hyperlink>
      <w:r w:rsidR="00C9793D">
        <w:rPr>
          <w:b/>
        </w:rPr>
        <w:t xml:space="preserve"> </w:t>
      </w:r>
    </w:p>
  </w:footnote>
  <w:footnote w:id="2">
    <w:p w14:paraId="4D963C46" w14:textId="77777777" w:rsidR="00860F2F" w:rsidRPr="0036218B" w:rsidRDefault="00860F2F" w:rsidP="00860F2F">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Viz On the Fast-Track to end AIDS: UNAIDS | 2016–2021 Strategy]. Dostupné z:</w:t>
      </w:r>
      <w:hyperlink r:id="rId2">
        <w:r w:rsidRPr="0036218B">
          <w:rPr>
            <w:rFonts w:ascii="Arial" w:hAnsi="Arial" w:cs="Arial"/>
            <w:sz w:val="20"/>
            <w:szCs w:val="20"/>
          </w:rPr>
          <w:t xml:space="preserve"> </w:t>
        </w:r>
      </w:hyperlink>
      <w:hyperlink r:id="rId3">
        <w:r w:rsidRPr="0036218B">
          <w:rPr>
            <w:rFonts w:ascii="Arial" w:hAnsi="Arial" w:cs="Arial"/>
            <w:color w:val="0000FF"/>
            <w:sz w:val="20"/>
            <w:szCs w:val="20"/>
            <w:u w:val="single"/>
          </w:rPr>
          <w:t>http://www.unaids.org/sites/default/files/media_asset/20151027_UNAIDS_PCB37_15_18_EN_rev1.pdf</w:t>
        </w:r>
      </w:hyperlink>
      <w:r w:rsidRPr="0036218B">
        <w:rPr>
          <w:rFonts w:ascii="Arial" w:hAnsi="Arial" w:cs="Arial"/>
          <w:sz w:val="20"/>
          <w:szCs w:val="20"/>
        </w:rPr>
        <w:t>.</w:t>
      </w:r>
    </w:p>
  </w:footnote>
  <w:footnote w:id="3">
    <w:p w14:paraId="1793169C" w14:textId="77777777" w:rsidR="00C5146C" w:rsidRPr="0036218B" w:rsidRDefault="00C5146C" w:rsidP="00C5146C">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Srov. STANTON, C, a QUIRK H. Criminalising contagion: legal and ethical challenges of disease transmission and the criminal law. Cambridge: Cambridge University Press, 2016. ISBN 978-1-107-09182-5.</w:t>
      </w:r>
    </w:p>
  </w:footnote>
  <w:footnote w:id="4">
    <w:p w14:paraId="00D71599" w14:textId="7FB1434E" w:rsidR="008D0416" w:rsidRPr="008D0416" w:rsidRDefault="008D0416">
      <w:pPr>
        <w:pStyle w:val="Textpoznpodarou"/>
        <w:rPr>
          <w:b/>
        </w:rPr>
      </w:pPr>
      <w:r>
        <w:rPr>
          <w:rStyle w:val="Znakapoznpodarou"/>
        </w:rPr>
        <w:footnoteRef/>
      </w:r>
      <w:r>
        <w:t xml:space="preserve"> </w:t>
      </w:r>
      <w:r w:rsidR="006A5AA0" w:rsidRPr="00C9793D">
        <w:rPr>
          <w:rFonts w:ascii="Arial" w:hAnsi="Arial" w:cs="Arial"/>
        </w:rPr>
        <w:t>Viz ČSAP (20</w:t>
      </w:r>
      <w:r w:rsidR="00D1291E" w:rsidRPr="00C9793D">
        <w:rPr>
          <w:rFonts w:ascii="Arial" w:hAnsi="Arial" w:cs="Arial"/>
        </w:rPr>
        <w:t>16), Má zkušenost s péčí o HIV+ pacienty (výsledky dotazníkového šetření). Dostupné z</w:t>
      </w:r>
      <w:r w:rsidR="00C9793D">
        <w:rPr>
          <w:rFonts w:ascii="Arial" w:hAnsi="Arial" w:cs="Arial"/>
        </w:rPr>
        <w:t xml:space="preserve"> </w:t>
      </w:r>
      <w:hyperlink r:id="rId4" w:history="1">
        <w:r w:rsidR="00C9793D" w:rsidRPr="00C9793D">
          <w:rPr>
            <w:rFonts w:ascii="Arial" w:hAnsi="Arial" w:cs="Arial"/>
            <w:color w:val="0000FF"/>
            <w:u w:val="single"/>
          </w:rPr>
          <w:t>https://www.hiv-komunita.cz/fls/web/vysledky-spreads.pdf</w:t>
        </w:r>
      </w:hyperlink>
      <w:r w:rsidR="00C9793D">
        <w:rPr>
          <w:rFonts w:ascii="Arial" w:hAnsi="Arial" w:cs="Arial"/>
        </w:rPr>
        <w:t xml:space="preserve"> </w:t>
      </w:r>
      <w:r w:rsidR="00D1291E" w:rsidRPr="00C9793D">
        <w:rPr>
          <w:rFonts w:ascii="Arial" w:hAnsi="Arial" w:cs="Arial"/>
        </w:rPr>
        <w:t>.</w:t>
      </w:r>
      <w:r w:rsidR="00C9793D">
        <w:rPr>
          <w:rFonts w:ascii="Arial" w:hAnsi="Arial" w:cs="Arial"/>
        </w:rPr>
        <w:t xml:space="preserve"> </w:t>
      </w:r>
      <w:r w:rsidR="00D1291E" w:rsidRPr="00C9793D">
        <w:t xml:space="preserve"> </w:t>
      </w:r>
    </w:p>
  </w:footnote>
  <w:footnote w:id="5">
    <w:p w14:paraId="56644787" w14:textId="77777777" w:rsidR="00C5146C" w:rsidRPr="008D0416" w:rsidRDefault="00C5146C" w:rsidP="00C5146C">
      <w:pPr>
        <w:pBdr>
          <w:top w:val="nil"/>
          <w:left w:val="nil"/>
          <w:bottom w:val="nil"/>
          <w:right w:val="nil"/>
          <w:between w:val="nil"/>
        </w:pBdr>
        <w:spacing w:after="0" w:line="240" w:lineRule="auto"/>
        <w:ind w:left="283" w:hanging="283"/>
        <w:rPr>
          <w:rFonts w:ascii="Arial" w:hAnsi="Arial" w:cs="Arial"/>
          <w:color w:val="000000"/>
          <w:sz w:val="20"/>
          <w:szCs w:val="20"/>
        </w:rPr>
      </w:pPr>
      <w:r w:rsidRPr="008D0416">
        <w:rPr>
          <w:rFonts w:ascii="Arial" w:hAnsi="Arial" w:cs="Arial"/>
          <w:sz w:val="20"/>
          <w:szCs w:val="20"/>
          <w:vertAlign w:val="superscript"/>
        </w:rPr>
        <w:footnoteRef/>
      </w:r>
      <w:r w:rsidRPr="008D0416">
        <w:rPr>
          <w:rFonts w:ascii="Arial" w:hAnsi="Arial" w:cs="Arial"/>
          <w:color w:val="000000"/>
          <w:sz w:val="20"/>
          <w:szCs w:val="20"/>
        </w:rPr>
        <w:t xml:space="preserve"> </w:t>
      </w:r>
      <w:hyperlink r:id="rId5">
        <w:r w:rsidRPr="008D0416">
          <w:rPr>
            <w:rStyle w:val="Hypertextovodkaz"/>
            <w:rFonts w:ascii="Arial" w:hAnsi="Arial" w:cs="Arial"/>
            <w:sz w:val="20"/>
            <w:szCs w:val="20"/>
          </w:rPr>
          <w:t>www.hivjustice.net/advancing3</w:t>
        </w:r>
      </w:hyperlink>
      <w:r w:rsidRPr="008D0416">
        <w:rPr>
          <w:rFonts w:ascii="Arial" w:hAnsi="Arial" w:cs="Arial"/>
          <w:color w:val="000000"/>
          <w:sz w:val="20"/>
          <w:szCs w:val="20"/>
        </w:rPr>
        <w:t>, str. 10</w:t>
      </w:r>
    </w:p>
  </w:footnote>
  <w:footnote w:id="6">
    <w:p w14:paraId="6018E1AE" w14:textId="77777777" w:rsidR="0010545E" w:rsidRPr="0036218B" w:rsidRDefault="0010545E" w:rsidP="0010545E">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ECDC, WHO (2018): HIV/AIDS surveillance in Europe 2018 – 2017 data. Copenhagen: WHO Regional Office for Europe; 2018.</w:t>
      </w:r>
    </w:p>
  </w:footnote>
  <w:footnote w:id="7">
    <w:p w14:paraId="3596BB22" w14:textId="77777777" w:rsidR="004B607B" w:rsidRPr="0036218B" w:rsidRDefault="00825AA5" w:rsidP="0036218B">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Viz § 152 a násl. trestního zákoníku a nařízení vlády č. 453/2009 Sb., kterým se pro účely trestního zákoníku stanoví, co se považuje za nakažlivé lidské nemoci, nakažlivé nemoci zvířat, nakažlivé nemoci rostlin a škůdce užitkových rostlin.</w:t>
      </w:r>
    </w:p>
  </w:footnote>
  <w:footnote w:id="8">
    <w:p w14:paraId="7295E8E8" w14:textId="77777777" w:rsidR="004B607B" w:rsidRPr="0036218B" w:rsidRDefault="00825AA5" w:rsidP="0036218B">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Viz především usnesení Nejvyššího soudu ČR ze dne 15. 9. 2005, sp. zn. 8 Tdo 1172/2005.</w:t>
      </w:r>
    </w:p>
  </w:footnote>
  <w:footnote w:id="9">
    <w:p w14:paraId="7C14F926" w14:textId="77777777" w:rsidR="00C5146C" w:rsidRPr="0036218B" w:rsidRDefault="00C5146C" w:rsidP="00C5146C">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Viz § 145 </w:t>
      </w:r>
      <w:r>
        <w:rPr>
          <w:rFonts w:ascii="Arial" w:hAnsi="Arial" w:cs="Arial"/>
          <w:sz w:val="20"/>
          <w:szCs w:val="20"/>
        </w:rPr>
        <w:t xml:space="preserve">současného </w:t>
      </w:r>
      <w:r w:rsidRPr="0036218B">
        <w:rPr>
          <w:rFonts w:ascii="Arial" w:hAnsi="Arial" w:cs="Arial"/>
          <w:sz w:val="20"/>
          <w:szCs w:val="20"/>
        </w:rPr>
        <w:t>trestního zákoníku.</w:t>
      </w:r>
    </w:p>
  </w:footnote>
  <w:footnote w:id="10">
    <w:p w14:paraId="4BA72429" w14:textId="77777777" w:rsidR="00C5146C" w:rsidRPr="00C5146C" w:rsidRDefault="00C5146C">
      <w:pPr>
        <w:pStyle w:val="Textpoznpodarou"/>
        <w:rPr>
          <w:rFonts w:ascii="Arial" w:hAnsi="Arial" w:cs="Arial"/>
        </w:rPr>
      </w:pPr>
      <w:r w:rsidRPr="00C5146C">
        <w:rPr>
          <w:rStyle w:val="Znakapoznpodarou"/>
          <w:rFonts w:ascii="Arial" w:hAnsi="Arial" w:cs="Arial"/>
        </w:rPr>
        <w:footnoteRef/>
      </w:r>
      <w:r w:rsidRPr="00C5146C">
        <w:rPr>
          <w:rFonts w:ascii="Arial" w:hAnsi="Arial" w:cs="Arial"/>
        </w:rPr>
        <w:t xml:space="preserve"> Viz § 122 odst. 2 trestního zákoníku.</w:t>
      </w:r>
    </w:p>
  </w:footnote>
  <w:footnote w:id="11">
    <w:p w14:paraId="66230E63" w14:textId="77777777" w:rsidR="004B607B" w:rsidRPr="0036218B" w:rsidRDefault="00825AA5" w:rsidP="0036218B">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Viz § 21 odst. 1 trestního zákoníku.</w:t>
      </w:r>
    </w:p>
  </w:footnote>
  <w:footnote w:id="12">
    <w:p w14:paraId="69EBCF78" w14:textId="77777777" w:rsidR="004B607B" w:rsidRPr="0036218B" w:rsidRDefault="00825AA5" w:rsidP="0036218B">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Viz § 15 </w:t>
      </w:r>
      <w:r w:rsidR="008D0416">
        <w:rPr>
          <w:rFonts w:ascii="Arial" w:hAnsi="Arial" w:cs="Arial"/>
          <w:sz w:val="20"/>
          <w:szCs w:val="20"/>
        </w:rPr>
        <w:t>o</w:t>
      </w:r>
      <w:r w:rsidRPr="0036218B">
        <w:rPr>
          <w:rFonts w:ascii="Arial" w:hAnsi="Arial" w:cs="Arial"/>
          <w:sz w:val="20"/>
          <w:szCs w:val="20"/>
        </w:rPr>
        <w:t xml:space="preserve">dst. 1 písm. b) trestního zákoníku. </w:t>
      </w:r>
    </w:p>
  </w:footnote>
  <w:footnote w:id="13">
    <w:p w14:paraId="168310D4" w14:textId="12FFAE93" w:rsidR="004B607B" w:rsidRPr="0036218B" w:rsidRDefault="00825AA5" w:rsidP="0036218B">
      <w:pPr>
        <w:spacing w:after="0" w:line="240" w:lineRule="auto"/>
        <w:rPr>
          <w:rFonts w:ascii="Arial" w:hAnsi="Arial" w:cs="Arial"/>
          <w:sz w:val="20"/>
          <w:szCs w:val="20"/>
        </w:rPr>
      </w:pPr>
      <w:r w:rsidRPr="0036218B">
        <w:rPr>
          <w:rFonts w:ascii="Arial" w:hAnsi="Arial" w:cs="Arial"/>
          <w:sz w:val="20"/>
          <w:szCs w:val="20"/>
          <w:vertAlign w:val="superscript"/>
        </w:rPr>
        <w:footnoteRef/>
      </w:r>
      <w:r w:rsidR="008D0416">
        <w:rPr>
          <w:rFonts w:ascii="Arial" w:hAnsi="Arial" w:cs="Arial"/>
          <w:sz w:val="20"/>
          <w:szCs w:val="20"/>
        </w:rPr>
        <w:t xml:space="preserve"> Prohlášení je v češtině</w:t>
      </w:r>
      <w:r w:rsidRPr="0036218B">
        <w:rPr>
          <w:rFonts w:ascii="Arial" w:hAnsi="Arial" w:cs="Arial"/>
          <w:sz w:val="20"/>
          <w:szCs w:val="20"/>
        </w:rPr>
        <w:t xml:space="preserve"> k dispozici zde:  </w:t>
      </w:r>
      <w:hyperlink r:id="rId6" w:history="1">
        <w:r w:rsidR="009D3859" w:rsidRPr="00F80ACD">
          <w:rPr>
            <w:rStyle w:val="Hypertextovodkaz"/>
            <w:rFonts w:ascii="Arial" w:hAnsi="Arial" w:cs="Arial"/>
            <w:sz w:val="20"/>
            <w:szCs w:val="20"/>
          </w:rPr>
          <w:t>https://www.infekce.cz/zprava19-57.htm</w:t>
        </w:r>
      </w:hyperlink>
      <w:r w:rsidR="009D3859">
        <w:rPr>
          <w:rFonts w:ascii="Arial" w:hAnsi="Arial" w:cs="Arial"/>
          <w:sz w:val="20"/>
          <w:szCs w:val="20"/>
        </w:rPr>
        <w:t xml:space="preserve"> </w:t>
      </w:r>
    </w:p>
  </w:footnote>
  <w:footnote w:id="14">
    <w:p w14:paraId="3D294D83" w14:textId="77777777" w:rsidR="004B607B" w:rsidRPr="008D0416" w:rsidRDefault="00825AA5" w:rsidP="0036218B">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Viz  </w:t>
      </w:r>
      <w:r w:rsidRPr="00C33A59">
        <w:rPr>
          <w:rFonts w:ascii="Arial" w:hAnsi="Arial" w:cs="Arial"/>
          <w:sz w:val="20"/>
          <w:szCs w:val="20"/>
          <w:lang w:val="en-AU"/>
        </w:rPr>
        <w:t>Undetectable = Untransmittable</w:t>
      </w:r>
      <w:r w:rsidRPr="0036218B">
        <w:rPr>
          <w:rFonts w:ascii="Arial" w:hAnsi="Arial" w:cs="Arial"/>
          <w:sz w:val="20"/>
          <w:szCs w:val="20"/>
        </w:rPr>
        <w:t xml:space="preserve"> dostupné z: </w:t>
      </w:r>
      <w:hyperlink r:id="rId7" w:history="1">
        <w:r w:rsidR="008D0416" w:rsidRPr="00E97773">
          <w:rPr>
            <w:rStyle w:val="Hypertextovodkaz"/>
            <w:rFonts w:ascii="Arial" w:hAnsi="Arial" w:cs="Arial"/>
            <w:sz w:val="20"/>
            <w:szCs w:val="20"/>
          </w:rPr>
          <w:t>https://www.preventionaccess.org/undetectable</w:t>
        </w:r>
      </w:hyperlink>
      <w:r w:rsidR="008D0416">
        <w:rPr>
          <w:rFonts w:ascii="Arial" w:hAnsi="Arial" w:cs="Arial"/>
          <w:sz w:val="20"/>
          <w:szCs w:val="20"/>
        </w:rPr>
        <w:t xml:space="preserve"> </w:t>
      </w:r>
      <w:r w:rsidRPr="0036218B">
        <w:rPr>
          <w:rFonts w:ascii="Arial" w:hAnsi="Arial" w:cs="Arial"/>
          <w:sz w:val="20"/>
          <w:szCs w:val="20"/>
        </w:rPr>
        <w:t>.</w:t>
      </w:r>
    </w:p>
  </w:footnote>
  <w:footnote w:id="15">
    <w:p w14:paraId="748F72C7" w14:textId="77777777" w:rsidR="008D0416" w:rsidRPr="008D0416" w:rsidRDefault="008D0416">
      <w:pPr>
        <w:pStyle w:val="Textpoznpodarou"/>
        <w:rPr>
          <w:rFonts w:ascii="Arial" w:hAnsi="Arial" w:cs="Arial"/>
        </w:rPr>
      </w:pPr>
      <w:r w:rsidRPr="008D0416">
        <w:rPr>
          <w:rStyle w:val="Znakapoznpodarou"/>
          <w:rFonts w:ascii="Arial" w:hAnsi="Arial" w:cs="Arial"/>
        </w:rPr>
        <w:footnoteRef/>
      </w:r>
      <w:r w:rsidRPr="008D0416">
        <w:rPr>
          <w:rFonts w:ascii="Arial" w:hAnsi="Arial" w:cs="Arial"/>
        </w:rPr>
        <w:t xml:space="preserve"> Viz § 12 odst. 2 trestního zákoníku.</w:t>
      </w:r>
    </w:p>
  </w:footnote>
  <w:footnote w:id="16">
    <w:p w14:paraId="3E33347A" w14:textId="5BE889C0" w:rsidR="004B607B" w:rsidRPr="0036218B" w:rsidRDefault="00825AA5" w:rsidP="0036218B">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Viz § 53 odst. 1 písm. d) a e)</w:t>
      </w:r>
      <w:r w:rsidR="00B32C84">
        <w:rPr>
          <w:rFonts w:ascii="Arial" w:hAnsi="Arial" w:cs="Arial"/>
          <w:sz w:val="20"/>
          <w:szCs w:val="20"/>
        </w:rPr>
        <w:t xml:space="preserve"> zákona o ochraně veřejného zdraví</w:t>
      </w:r>
    </w:p>
  </w:footnote>
  <w:footnote w:id="17">
    <w:p w14:paraId="4D7113A5" w14:textId="77777777" w:rsidR="004B607B" w:rsidRPr="0036218B" w:rsidRDefault="00825AA5" w:rsidP="0036218B">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Viz čl. 9 odst. 1 obecného nařízení o ochraně osobních údajů.</w:t>
      </w:r>
    </w:p>
  </w:footnote>
  <w:footnote w:id="18">
    <w:p w14:paraId="060B8D4B" w14:textId="77777777" w:rsidR="00F4168F" w:rsidRPr="0036218B" w:rsidRDefault="00F4168F" w:rsidP="00F4168F">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Viz čl. 10 odst. 3 Listiny základních práv a svobod, čl. 8. Evropské úmluvy o ochraně lidských práv a základních svobod či čl. 8 “Listiny základních práv EU. </w:t>
      </w:r>
    </w:p>
  </w:footnote>
  <w:footnote w:id="19">
    <w:p w14:paraId="04381C63" w14:textId="77777777" w:rsidR="004B607B" w:rsidRPr="0036218B" w:rsidRDefault="00825AA5" w:rsidP="0036218B">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Viz Metodický pokyn k řešení problematiky HIV/AIDS v České republice publikovaný ve Věstníku Ministerstva zdravotnictví č. 10/2016.</w:t>
      </w:r>
    </w:p>
  </w:footnote>
  <w:footnote w:id="20">
    <w:p w14:paraId="77A5C6E5" w14:textId="77777777" w:rsidR="003B5324" w:rsidRPr="004C7DDD" w:rsidRDefault="003B5324" w:rsidP="003B5324">
      <w:pPr>
        <w:pStyle w:val="Textpoznpodarou"/>
        <w:rPr>
          <w:rFonts w:ascii="Arial" w:hAnsi="Arial" w:cs="Arial"/>
        </w:rPr>
      </w:pPr>
      <w:r w:rsidRPr="004C7DDD">
        <w:rPr>
          <w:rStyle w:val="Znakapoznpodarou"/>
          <w:rFonts w:ascii="Arial" w:hAnsi="Arial" w:cs="Arial"/>
        </w:rPr>
        <w:footnoteRef/>
      </w:r>
      <w:r w:rsidRPr="004C7DDD">
        <w:rPr>
          <w:rFonts w:ascii="Arial" w:hAnsi="Arial" w:cs="Arial"/>
        </w:rPr>
        <w:t xml:space="preserve"> Viz § 41 odst. 1 písm. d) zákona o zdravotních službách.</w:t>
      </w:r>
    </w:p>
  </w:footnote>
  <w:footnote w:id="21">
    <w:p w14:paraId="2DCC4397" w14:textId="76E29220" w:rsidR="004C7DDD" w:rsidRPr="004C7DDD" w:rsidRDefault="004C7DDD">
      <w:pPr>
        <w:pStyle w:val="Textpoznpodarou"/>
        <w:rPr>
          <w:rFonts w:ascii="Arial" w:hAnsi="Arial" w:cs="Arial"/>
        </w:rPr>
      </w:pPr>
      <w:r w:rsidRPr="004C7DDD">
        <w:rPr>
          <w:rStyle w:val="Znakapoznpodarou"/>
          <w:rFonts w:ascii="Arial" w:hAnsi="Arial" w:cs="Arial"/>
        </w:rPr>
        <w:footnoteRef/>
      </w:r>
      <w:r w:rsidRPr="004C7DDD">
        <w:rPr>
          <w:rFonts w:ascii="Arial" w:hAnsi="Arial" w:cs="Arial"/>
        </w:rPr>
        <w:t xml:space="preserve"> </w:t>
      </w:r>
      <w:r w:rsidR="003B5324">
        <w:rPr>
          <w:rFonts w:ascii="Arial" w:hAnsi="Arial" w:cs="Arial"/>
        </w:rPr>
        <w:t xml:space="preserve">Viz </w:t>
      </w:r>
      <w:r w:rsidRPr="004C7DDD">
        <w:rPr>
          <w:rFonts w:ascii="Arial" w:hAnsi="Arial" w:cs="Arial"/>
        </w:rPr>
        <w:t xml:space="preserve">§ 92k odst. 6 </w:t>
      </w:r>
      <w:r w:rsidR="003B5324">
        <w:rPr>
          <w:rFonts w:ascii="Arial" w:hAnsi="Arial" w:cs="Arial"/>
        </w:rPr>
        <w:t>a</w:t>
      </w:r>
      <w:r w:rsidR="003B5324" w:rsidRPr="004C7DDD">
        <w:rPr>
          <w:rFonts w:ascii="Arial" w:hAnsi="Arial" w:cs="Arial"/>
        </w:rPr>
        <w:t xml:space="preserve"> odst. 7 písm. d) </w:t>
      </w:r>
      <w:r w:rsidRPr="004C7DDD">
        <w:rPr>
          <w:rFonts w:ascii="Arial" w:hAnsi="Arial" w:cs="Arial"/>
        </w:rPr>
        <w:t xml:space="preserve">zákona o ochraně veřejného zdraví </w:t>
      </w:r>
    </w:p>
  </w:footnote>
  <w:footnote w:id="22">
    <w:p w14:paraId="1049D033" w14:textId="77777777" w:rsidR="00B454FE" w:rsidRPr="00B454FE" w:rsidRDefault="00B454FE">
      <w:pPr>
        <w:pStyle w:val="Textpoznpodarou"/>
        <w:rPr>
          <w:rFonts w:ascii="Arial" w:hAnsi="Arial" w:cs="Arial"/>
        </w:rPr>
      </w:pPr>
      <w:r w:rsidRPr="00B454FE">
        <w:rPr>
          <w:rStyle w:val="Znakapoznpodarou"/>
          <w:rFonts w:ascii="Arial" w:hAnsi="Arial" w:cs="Arial"/>
        </w:rPr>
        <w:footnoteRef/>
      </w:r>
      <w:r w:rsidRPr="00B454FE">
        <w:rPr>
          <w:rFonts w:ascii="Arial" w:hAnsi="Arial" w:cs="Arial"/>
        </w:rPr>
        <w:t xml:space="preserve"> Viz § 71 odst. 2 zákona o ochraně veřejného zdraví.</w:t>
      </w:r>
    </w:p>
  </w:footnote>
  <w:footnote w:id="23">
    <w:p w14:paraId="7AC4EDEB" w14:textId="77777777" w:rsidR="00AF62B6" w:rsidRPr="0036218B" w:rsidRDefault="00AF62B6" w:rsidP="00AF62B6">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Guideline on when to start antiretroviral therapy and on pre-exposure prophylaxis for HIV. Geneva. WHO, 2015.</w:t>
      </w:r>
    </w:p>
  </w:footnote>
  <w:footnote w:id="24">
    <w:p w14:paraId="6FE855D1" w14:textId="77777777" w:rsidR="00AF62B6" w:rsidRPr="0036218B" w:rsidRDefault="00AF62B6" w:rsidP="00AF62B6">
      <w:pPr>
        <w:spacing w:after="0" w:line="240" w:lineRule="auto"/>
        <w:rPr>
          <w:rFonts w:ascii="Arial" w:hAnsi="Arial" w:cs="Arial"/>
          <w:sz w:val="20"/>
          <w:szCs w:val="20"/>
        </w:rPr>
      </w:pPr>
      <w:r w:rsidRPr="0036218B">
        <w:rPr>
          <w:rFonts w:ascii="Arial" w:hAnsi="Arial" w:cs="Arial"/>
          <w:sz w:val="20"/>
          <w:szCs w:val="20"/>
          <w:vertAlign w:val="superscript"/>
        </w:rPr>
        <w:footnoteRef/>
      </w:r>
      <w:hyperlink r:id="rId8">
        <w:r w:rsidRPr="0036218B">
          <w:rPr>
            <w:rFonts w:ascii="Arial" w:hAnsi="Arial" w:cs="Arial"/>
            <w:sz w:val="20"/>
            <w:szCs w:val="20"/>
          </w:rPr>
          <w:t>Hayes Rosalie</w:t>
        </w:r>
      </w:hyperlink>
      <w:r w:rsidRPr="0036218B">
        <w:rPr>
          <w:rFonts w:ascii="Arial" w:hAnsi="Arial" w:cs="Arial"/>
          <w:sz w:val="20"/>
          <w:szCs w:val="20"/>
        </w:rPr>
        <w:t xml:space="preserve">, </w:t>
      </w:r>
      <w:hyperlink r:id="rId9">
        <w:r w:rsidRPr="0036218B">
          <w:rPr>
            <w:rFonts w:ascii="Arial" w:hAnsi="Arial" w:cs="Arial"/>
            <w:sz w:val="20"/>
            <w:szCs w:val="20"/>
          </w:rPr>
          <w:t>Schmidt Axel J</w:t>
        </w:r>
      </w:hyperlink>
      <w:r w:rsidRPr="0036218B">
        <w:rPr>
          <w:rFonts w:ascii="Arial" w:hAnsi="Arial" w:cs="Arial"/>
          <w:sz w:val="20"/>
          <w:szCs w:val="20"/>
        </w:rPr>
        <w:t xml:space="preserve">, </w:t>
      </w:r>
      <w:hyperlink r:id="rId10">
        <w:r w:rsidRPr="0036218B">
          <w:rPr>
            <w:rFonts w:ascii="Arial" w:hAnsi="Arial" w:cs="Arial"/>
            <w:sz w:val="20"/>
            <w:szCs w:val="20"/>
          </w:rPr>
          <w:t>Pharris Anastasia</w:t>
        </w:r>
      </w:hyperlink>
      <w:r w:rsidRPr="0036218B">
        <w:rPr>
          <w:rFonts w:ascii="Arial" w:hAnsi="Arial" w:cs="Arial"/>
          <w:sz w:val="20"/>
          <w:szCs w:val="20"/>
        </w:rPr>
        <w:t xml:space="preserve">, </w:t>
      </w:r>
      <w:hyperlink r:id="rId11">
        <w:r w:rsidRPr="0036218B">
          <w:rPr>
            <w:rFonts w:ascii="Arial" w:hAnsi="Arial" w:cs="Arial"/>
            <w:sz w:val="20"/>
            <w:szCs w:val="20"/>
          </w:rPr>
          <w:t>Azad Yusef</w:t>
        </w:r>
      </w:hyperlink>
      <w:r w:rsidRPr="0036218B">
        <w:rPr>
          <w:rFonts w:ascii="Arial" w:hAnsi="Arial" w:cs="Arial"/>
          <w:sz w:val="20"/>
          <w:szCs w:val="20"/>
        </w:rPr>
        <w:t xml:space="preserve">, </w:t>
      </w:r>
      <w:hyperlink r:id="rId12">
        <w:r w:rsidRPr="0036218B">
          <w:rPr>
            <w:rFonts w:ascii="Arial" w:hAnsi="Arial" w:cs="Arial"/>
            <w:sz w:val="20"/>
            <w:szCs w:val="20"/>
          </w:rPr>
          <w:t>Brown Alison E</w:t>
        </w:r>
      </w:hyperlink>
      <w:r w:rsidRPr="0036218B">
        <w:rPr>
          <w:rFonts w:ascii="Arial" w:hAnsi="Arial" w:cs="Arial"/>
          <w:sz w:val="20"/>
          <w:szCs w:val="20"/>
        </w:rPr>
        <w:t xml:space="preserve">, </w:t>
      </w:r>
      <w:hyperlink r:id="rId13">
        <w:r w:rsidRPr="0036218B">
          <w:rPr>
            <w:rFonts w:ascii="Arial" w:hAnsi="Arial" w:cs="Arial"/>
            <w:sz w:val="20"/>
            <w:szCs w:val="20"/>
          </w:rPr>
          <w:t>Weatherburn Peter</w:t>
        </w:r>
      </w:hyperlink>
      <w:r w:rsidRPr="0036218B">
        <w:rPr>
          <w:rFonts w:ascii="Arial" w:hAnsi="Arial" w:cs="Arial"/>
          <w:sz w:val="20"/>
          <w:szCs w:val="20"/>
        </w:rPr>
        <w:t xml:space="preserve">, </w:t>
      </w:r>
      <w:hyperlink r:id="rId14">
        <w:r w:rsidRPr="0036218B">
          <w:rPr>
            <w:rFonts w:ascii="Arial" w:hAnsi="Arial" w:cs="Arial"/>
            <w:sz w:val="20"/>
            <w:szCs w:val="20"/>
          </w:rPr>
          <w:t>Hickson Ford</w:t>
        </w:r>
      </w:hyperlink>
      <w:r w:rsidRPr="0036218B">
        <w:rPr>
          <w:rFonts w:ascii="Arial" w:hAnsi="Arial" w:cs="Arial"/>
          <w:sz w:val="20"/>
          <w:szCs w:val="20"/>
        </w:rPr>
        <w:t xml:space="preserve">, </w:t>
      </w:r>
      <w:hyperlink r:id="rId15">
        <w:r w:rsidRPr="0036218B">
          <w:rPr>
            <w:rFonts w:ascii="Arial" w:hAnsi="Arial" w:cs="Arial"/>
            <w:sz w:val="20"/>
            <w:szCs w:val="20"/>
          </w:rPr>
          <w:t>Delpech Valerie</w:t>
        </w:r>
      </w:hyperlink>
      <w:r w:rsidRPr="0036218B">
        <w:rPr>
          <w:rFonts w:ascii="Arial" w:hAnsi="Arial" w:cs="Arial"/>
          <w:sz w:val="20"/>
          <w:szCs w:val="20"/>
        </w:rPr>
        <w:t xml:space="preserve">, </w:t>
      </w:r>
      <w:hyperlink r:id="rId16">
        <w:r w:rsidRPr="0036218B">
          <w:rPr>
            <w:rFonts w:ascii="Arial" w:hAnsi="Arial" w:cs="Arial"/>
            <w:sz w:val="20"/>
            <w:szCs w:val="20"/>
          </w:rPr>
          <w:t>Noori Teymur</w:t>
        </w:r>
      </w:hyperlink>
      <w:r w:rsidRPr="0036218B">
        <w:rPr>
          <w:rFonts w:ascii="Arial" w:hAnsi="Arial" w:cs="Arial"/>
          <w:sz w:val="20"/>
          <w:szCs w:val="20"/>
        </w:rPr>
        <w:t xml:space="preserve">, </w:t>
      </w:r>
      <w:hyperlink r:id="rId17">
        <w:r w:rsidRPr="0036218B">
          <w:rPr>
            <w:rFonts w:ascii="Arial" w:hAnsi="Arial" w:cs="Arial"/>
            <w:sz w:val="20"/>
            <w:szCs w:val="20"/>
          </w:rPr>
          <w:t>the ECDC Dublin Declaration Monitoring Network</w:t>
        </w:r>
      </w:hyperlink>
      <w:r w:rsidRPr="0036218B">
        <w:rPr>
          <w:rFonts w:ascii="Arial" w:hAnsi="Arial" w:cs="Arial"/>
          <w:sz w:val="20"/>
          <w:szCs w:val="20"/>
        </w:rPr>
        <w:t xml:space="preserve">. Estimating the ‘PrEP Gap’: how implementation and access to PrEP differ between countries in Europe and Central Asia in 2019. </w:t>
      </w:r>
      <w:hyperlink r:id="rId18">
        <w:r w:rsidRPr="0036218B">
          <w:rPr>
            <w:rFonts w:ascii="Arial" w:hAnsi="Arial" w:cs="Arial"/>
            <w:sz w:val="20"/>
            <w:szCs w:val="20"/>
          </w:rPr>
          <w:t>Euro Surveill.</w:t>
        </w:r>
      </w:hyperlink>
      <w:r w:rsidRPr="0036218B">
        <w:rPr>
          <w:rFonts w:ascii="Arial" w:hAnsi="Arial" w:cs="Arial"/>
          <w:sz w:val="20"/>
          <w:szCs w:val="20"/>
        </w:rPr>
        <w:t xml:space="preserve"> 2019;24(41):pii=1900598. </w:t>
      </w:r>
      <w:hyperlink r:id="rId19">
        <w:r w:rsidRPr="0036218B">
          <w:rPr>
            <w:rFonts w:ascii="Arial" w:hAnsi="Arial" w:cs="Arial"/>
            <w:sz w:val="20"/>
            <w:szCs w:val="20"/>
          </w:rPr>
          <w:t>https://doi.org/10.2807/1560-7917.ES.2019.24.41.1900598</w:t>
        </w:r>
      </w:hyperlink>
      <w:r w:rsidRPr="0036218B">
        <w:rPr>
          <w:rFonts w:ascii="Arial" w:hAnsi="Arial" w:cs="Arial"/>
          <w:sz w:val="20"/>
          <w:szCs w:val="20"/>
        </w:rPr>
        <w:t xml:space="preserve"> </w:t>
      </w:r>
    </w:p>
  </w:footnote>
  <w:footnote w:id="25">
    <w:p w14:paraId="3F312019" w14:textId="77777777" w:rsidR="00AF62B6" w:rsidRPr="0036218B" w:rsidRDefault="00AF62B6" w:rsidP="00AF62B6">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Dlouhý, Pavel: Pracovní postup pro poskytování preexpoziční profylaxe (PrEP) infekce lidským virem imunodeficience (HIV), dostupné z: </w:t>
      </w:r>
      <w:hyperlink r:id="rId20">
        <w:r w:rsidRPr="0036218B">
          <w:rPr>
            <w:rFonts w:ascii="Arial" w:hAnsi="Arial" w:cs="Arial"/>
            <w:color w:val="1155CC"/>
            <w:sz w:val="20"/>
            <w:szCs w:val="20"/>
            <w:u w:val="single"/>
          </w:rPr>
          <w:t>www.infekce.cz/PPPrEP18.htm</w:t>
        </w:r>
      </w:hyperlink>
      <w:r w:rsidRPr="0036218B">
        <w:rPr>
          <w:rFonts w:ascii="Arial" w:hAnsi="Arial" w:cs="Arial"/>
          <w:sz w:val="20"/>
          <w:szCs w:val="20"/>
        </w:rPr>
        <w:t xml:space="preserve">. </w:t>
      </w:r>
    </w:p>
  </w:footnote>
  <w:footnote w:id="26">
    <w:p w14:paraId="5AA92B95" w14:textId="21850B67" w:rsidR="00AF62B6" w:rsidRPr="0036218B" w:rsidRDefault="00AF62B6" w:rsidP="00AF62B6">
      <w:pPr>
        <w:pBdr>
          <w:top w:val="nil"/>
          <w:left w:val="nil"/>
          <w:bottom w:val="nil"/>
          <w:right w:val="nil"/>
          <w:between w:val="nil"/>
        </w:pBdr>
        <w:spacing w:after="0"/>
        <w:rPr>
          <w:rFonts w:ascii="Arial" w:hAnsi="Arial" w:cs="Arial"/>
          <w:color w:val="000000"/>
          <w:sz w:val="20"/>
          <w:szCs w:val="20"/>
        </w:rPr>
      </w:pPr>
      <w:r w:rsidRPr="0036218B">
        <w:rPr>
          <w:rFonts w:ascii="Arial" w:hAnsi="Arial" w:cs="Arial"/>
          <w:sz w:val="20"/>
          <w:szCs w:val="20"/>
          <w:vertAlign w:val="superscript"/>
        </w:rPr>
        <w:footnoteRef/>
      </w:r>
      <w:r w:rsidRPr="0036218B">
        <w:rPr>
          <w:rFonts w:ascii="Arial" w:hAnsi="Arial" w:cs="Arial"/>
          <w:color w:val="000000"/>
          <w:sz w:val="20"/>
          <w:szCs w:val="20"/>
        </w:rPr>
        <w:t xml:space="preserve"> SZÚ (2019): Sexuální chování mužů, kteří mají sex s muži v Česku (Výsledky ze studie European MSM Internet Survey (EMIS 2017)</w:t>
      </w:r>
      <w:r w:rsidR="00E827E6">
        <w:rPr>
          <w:rFonts w:ascii="Arial" w:hAnsi="Arial" w:cs="Arial"/>
          <w:i/>
          <w:color w:val="000000"/>
          <w:sz w:val="20"/>
          <w:szCs w:val="20"/>
        </w:rPr>
        <w:t xml:space="preserve">. </w:t>
      </w:r>
      <w:r w:rsidR="00E827E6">
        <w:rPr>
          <w:rFonts w:ascii="Arial" w:hAnsi="Arial" w:cs="Arial"/>
          <w:color w:val="000000"/>
          <w:sz w:val="20"/>
          <w:szCs w:val="20"/>
        </w:rPr>
        <w:t xml:space="preserve">Dostupné z: </w:t>
      </w:r>
      <w:hyperlink r:id="rId21" w:history="1">
        <w:r w:rsidR="00E827E6" w:rsidRPr="00AB42AC">
          <w:rPr>
            <w:rStyle w:val="Hypertextovodkaz"/>
            <w:rFonts w:ascii="Arial" w:hAnsi="Arial" w:cs="Arial"/>
            <w:sz w:val="20"/>
            <w:szCs w:val="20"/>
          </w:rPr>
          <w:t>http://www.szu.cz/uploads/documents/CeM/STD/EMIS_2017.pdf</w:t>
        </w:r>
      </w:hyperlink>
      <w:r w:rsidR="00E827E6">
        <w:rPr>
          <w:rFonts w:ascii="Arial" w:hAnsi="Arial" w:cs="Arial"/>
          <w:color w:val="000000"/>
          <w:sz w:val="20"/>
          <w:szCs w:val="20"/>
        </w:rPr>
        <w:t xml:space="preserve">. </w:t>
      </w:r>
    </w:p>
  </w:footnote>
  <w:footnote w:id="27">
    <w:p w14:paraId="26F9DE6E" w14:textId="08134005" w:rsidR="00AF62B6" w:rsidRPr="0036218B" w:rsidRDefault="00AF62B6" w:rsidP="00AF62B6">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w:t>
      </w:r>
      <w:hyperlink r:id="rId22">
        <w:r w:rsidRPr="0036218B">
          <w:rPr>
            <w:rFonts w:ascii="Arial" w:hAnsi="Arial" w:cs="Arial"/>
            <w:sz w:val="20"/>
            <w:szCs w:val="20"/>
          </w:rPr>
          <w:t>Hayes Rosalie</w:t>
        </w:r>
      </w:hyperlink>
      <w:r w:rsidRPr="0036218B">
        <w:rPr>
          <w:rFonts w:ascii="Arial" w:hAnsi="Arial" w:cs="Arial"/>
          <w:sz w:val="20"/>
          <w:szCs w:val="20"/>
        </w:rPr>
        <w:t xml:space="preserve">, </w:t>
      </w:r>
      <w:hyperlink r:id="rId23">
        <w:r w:rsidRPr="0036218B">
          <w:rPr>
            <w:rFonts w:ascii="Arial" w:hAnsi="Arial" w:cs="Arial"/>
            <w:sz w:val="20"/>
            <w:szCs w:val="20"/>
          </w:rPr>
          <w:t>Schmidt Axel J</w:t>
        </w:r>
      </w:hyperlink>
      <w:r w:rsidRPr="0036218B">
        <w:rPr>
          <w:rFonts w:ascii="Arial" w:hAnsi="Arial" w:cs="Arial"/>
          <w:sz w:val="20"/>
          <w:szCs w:val="20"/>
        </w:rPr>
        <w:t xml:space="preserve">, </w:t>
      </w:r>
      <w:hyperlink r:id="rId24">
        <w:r w:rsidRPr="0036218B">
          <w:rPr>
            <w:rFonts w:ascii="Arial" w:hAnsi="Arial" w:cs="Arial"/>
            <w:sz w:val="20"/>
            <w:szCs w:val="20"/>
          </w:rPr>
          <w:t>Pharris Anastasia</w:t>
        </w:r>
      </w:hyperlink>
      <w:r w:rsidRPr="0036218B">
        <w:rPr>
          <w:rFonts w:ascii="Arial" w:hAnsi="Arial" w:cs="Arial"/>
          <w:sz w:val="20"/>
          <w:szCs w:val="20"/>
        </w:rPr>
        <w:t xml:space="preserve">, </w:t>
      </w:r>
      <w:hyperlink r:id="rId25">
        <w:r w:rsidRPr="0036218B">
          <w:rPr>
            <w:rFonts w:ascii="Arial" w:hAnsi="Arial" w:cs="Arial"/>
            <w:sz w:val="20"/>
            <w:szCs w:val="20"/>
          </w:rPr>
          <w:t>Azad Yusef</w:t>
        </w:r>
      </w:hyperlink>
      <w:r w:rsidRPr="0036218B">
        <w:rPr>
          <w:rFonts w:ascii="Arial" w:hAnsi="Arial" w:cs="Arial"/>
          <w:sz w:val="20"/>
          <w:szCs w:val="20"/>
        </w:rPr>
        <w:t xml:space="preserve">, </w:t>
      </w:r>
      <w:hyperlink r:id="rId26">
        <w:r w:rsidRPr="0036218B">
          <w:rPr>
            <w:rFonts w:ascii="Arial" w:hAnsi="Arial" w:cs="Arial"/>
            <w:sz w:val="20"/>
            <w:szCs w:val="20"/>
          </w:rPr>
          <w:t>Brown Alison E</w:t>
        </w:r>
      </w:hyperlink>
      <w:r w:rsidRPr="0036218B">
        <w:rPr>
          <w:rFonts w:ascii="Arial" w:hAnsi="Arial" w:cs="Arial"/>
          <w:sz w:val="20"/>
          <w:szCs w:val="20"/>
        </w:rPr>
        <w:t xml:space="preserve">, </w:t>
      </w:r>
      <w:hyperlink r:id="rId27">
        <w:r w:rsidRPr="0036218B">
          <w:rPr>
            <w:rFonts w:ascii="Arial" w:hAnsi="Arial" w:cs="Arial"/>
            <w:sz w:val="20"/>
            <w:szCs w:val="20"/>
          </w:rPr>
          <w:t>Weatherburn Peter</w:t>
        </w:r>
      </w:hyperlink>
      <w:r w:rsidRPr="0036218B">
        <w:rPr>
          <w:rFonts w:ascii="Arial" w:hAnsi="Arial" w:cs="Arial"/>
          <w:sz w:val="20"/>
          <w:szCs w:val="20"/>
        </w:rPr>
        <w:t xml:space="preserve">, </w:t>
      </w:r>
      <w:hyperlink r:id="rId28">
        <w:r w:rsidRPr="0036218B">
          <w:rPr>
            <w:rFonts w:ascii="Arial" w:hAnsi="Arial" w:cs="Arial"/>
            <w:sz w:val="20"/>
            <w:szCs w:val="20"/>
          </w:rPr>
          <w:t>Hickson Ford</w:t>
        </w:r>
      </w:hyperlink>
      <w:r w:rsidRPr="0036218B">
        <w:rPr>
          <w:rFonts w:ascii="Arial" w:hAnsi="Arial" w:cs="Arial"/>
          <w:sz w:val="20"/>
          <w:szCs w:val="20"/>
        </w:rPr>
        <w:t xml:space="preserve">, </w:t>
      </w:r>
      <w:hyperlink r:id="rId29">
        <w:r w:rsidRPr="0036218B">
          <w:rPr>
            <w:rFonts w:ascii="Arial" w:hAnsi="Arial" w:cs="Arial"/>
            <w:sz w:val="20"/>
            <w:szCs w:val="20"/>
          </w:rPr>
          <w:t>Delpech Valerie</w:t>
        </w:r>
      </w:hyperlink>
      <w:r w:rsidRPr="0036218B">
        <w:rPr>
          <w:rFonts w:ascii="Arial" w:hAnsi="Arial" w:cs="Arial"/>
          <w:sz w:val="20"/>
          <w:szCs w:val="20"/>
        </w:rPr>
        <w:t xml:space="preserve">, </w:t>
      </w:r>
      <w:hyperlink r:id="rId30">
        <w:r w:rsidRPr="0036218B">
          <w:rPr>
            <w:rFonts w:ascii="Arial" w:hAnsi="Arial" w:cs="Arial"/>
            <w:sz w:val="20"/>
            <w:szCs w:val="20"/>
          </w:rPr>
          <w:t>Noori Teymur</w:t>
        </w:r>
      </w:hyperlink>
      <w:r w:rsidRPr="0036218B">
        <w:rPr>
          <w:rFonts w:ascii="Arial" w:hAnsi="Arial" w:cs="Arial"/>
          <w:sz w:val="20"/>
          <w:szCs w:val="20"/>
        </w:rPr>
        <w:t xml:space="preserve">, </w:t>
      </w:r>
      <w:hyperlink r:id="rId31">
        <w:r w:rsidRPr="0036218B">
          <w:rPr>
            <w:rFonts w:ascii="Arial" w:hAnsi="Arial" w:cs="Arial"/>
            <w:sz w:val="20"/>
            <w:szCs w:val="20"/>
          </w:rPr>
          <w:t>the ECDC Dublin Declaration Monitoring Network</w:t>
        </w:r>
      </w:hyperlink>
      <w:r w:rsidRPr="0036218B">
        <w:rPr>
          <w:rFonts w:ascii="Arial" w:hAnsi="Arial" w:cs="Arial"/>
          <w:sz w:val="20"/>
          <w:szCs w:val="20"/>
        </w:rPr>
        <w:t xml:space="preserve">. Estimating the ‘PrEP Gap’: how implementation and access to PrEP differ between countries in Europe and Central Asia in 2019. </w:t>
      </w:r>
      <w:hyperlink r:id="rId32">
        <w:r w:rsidRPr="0036218B">
          <w:rPr>
            <w:rFonts w:ascii="Arial" w:hAnsi="Arial" w:cs="Arial"/>
            <w:sz w:val="20"/>
            <w:szCs w:val="20"/>
          </w:rPr>
          <w:t>Euro Surveill.</w:t>
        </w:r>
      </w:hyperlink>
      <w:r w:rsidRPr="0036218B">
        <w:rPr>
          <w:rFonts w:ascii="Arial" w:hAnsi="Arial" w:cs="Arial"/>
          <w:sz w:val="20"/>
          <w:szCs w:val="20"/>
        </w:rPr>
        <w:t xml:space="preserve"> 2019;24(41):pii=1900598. </w:t>
      </w:r>
      <w:hyperlink r:id="rId33">
        <w:r w:rsidRPr="0036218B">
          <w:rPr>
            <w:rFonts w:ascii="Arial" w:hAnsi="Arial" w:cs="Arial"/>
            <w:sz w:val="20"/>
            <w:szCs w:val="20"/>
          </w:rPr>
          <w:t>https://doi.org/10.2807/1560-7917.ES.2019.24.41.1900598</w:t>
        </w:r>
      </w:hyperlink>
      <w:r w:rsidR="009D3859">
        <w:rPr>
          <w:rFonts w:ascii="Arial" w:hAnsi="Arial" w:cs="Arial"/>
          <w:sz w:val="20"/>
          <w:szCs w:val="20"/>
        </w:rPr>
        <w:t xml:space="preserve"> </w:t>
      </w:r>
      <w:r w:rsidRPr="0036218B">
        <w:rPr>
          <w:rFonts w:ascii="Arial" w:hAnsi="Arial" w:cs="Arial"/>
          <w:sz w:val="20"/>
          <w:szCs w:val="20"/>
        </w:rPr>
        <w:t xml:space="preserve"> </w:t>
      </w:r>
    </w:p>
  </w:footnote>
  <w:footnote w:id="28">
    <w:p w14:paraId="5AD6D9A2" w14:textId="77777777" w:rsidR="000B2506" w:rsidRPr="0036218B" w:rsidRDefault="000B2506" w:rsidP="0036218B">
      <w:pPr>
        <w:pBdr>
          <w:top w:val="nil"/>
          <w:left w:val="nil"/>
          <w:bottom w:val="nil"/>
          <w:right w:val="nil"/>
          <w:between w:val="nil"/>
        </w:pBdr>
        <w:spacing w:after="0" w:line="240" w:lineRule="auto"/>
        <w:rPr>
          <w:rFonts w:ascii="Arial" w:eastAsia="Arial" w:hAnsi="Arial" w:cs="Arial"/>
          <w:sz w:val="20"/>
          <w:szCs w:val="20"/>
        </w:rPr>
      </w:pPr>
      <w:r w:rsidRPr="0036218B">
        <w:rPr>
          <w:rStyle w:val="Znakapoznpodarou"/>
          <w:rFonts w:ascii="Arial" w:hAnsi="Arial" w:cs="Arial"/>
          <w:sz w:val="20"/>
          <w:szCs w:val="20"/>
        </w:rPr>
        <w:footnoteRef/>
      </w:r>
      <w:r w:rsidRPr="0036218B">
        <w:rPr>
          <w:rFonts w:ascii="Arial" w:hAnsi="Arial" w:cs="Arial"/>
          <w:sz w:val="20"/>
          <w:szCs w:val="20"/>
        </w:rPr>
        <w:t xml:space="preserve"> </w:t>
      </w:r>
      <w:r w:rsidRPr="0036218B">
        <w:rPr>
          <w:rFonts w:ascii="Arial" w:eastAsia="Arial" w:hAnsi="Arial" w:cs="Arial"/>
          <w:sz w:val="20"/>
          <w:szCs w:val="20"/>
        </w:rPr>
        <w:t xml:space="preserve">Zdroj: údaje pro 2014-2019 z </w:t>
      </w:r>
      <w:hyperlink r:id="rId34">
        <w:r w:rsidRPr="0036218B">
          <w:rPr>
            <w:rFonts w:ascii="Arial" w:eastAsia="Arial" w:hAnsi="Arial" w:cs="Arial"/>
            <w:color w:val="1155CC"/>
            <w:sz w:val="20"/>
            <w:szCs w:val="20"/>
            <w:u w:val="single"/>
          </w:rPr>
          <w:t>www.mzcr.cz/obsah/dotace_2171_1.html</w:t>
        </w:r>
      </w:hyperlink>
      <w:r w:rsidRPr="0036218B">
        <w:rPr>
          <w:rFonts w:ascii="Arial" w:eastAsia="Arial" w:hAnsi="Arial" w:cs="Arial"/>
          <w:sz w:val="20"/>
          <w:szCs w:val="20"/>
        </w:rPr>
        <w:t xml:space="preserve">, údaje pro 2020 z </w:t>
      </w:r>
      <w:hyperlink r:id="rId35">
        <w:r w:rsidRPr="0036218B">
          <w:rPr>
            <w:rFonts w:ascii="Arial" w:eastAsia="Arial" w:hAnsi="Arial" w:cs="Arial"/>
            <w:color w:val="1155CC"/>
            <w:sz w:val="20"/>
            <w:szCs w:val="20"/>
            <w:u w:val="single"/>
          </w:rPr>
          <w:t>www.vlada.cz/cz/ppov/rnno/aktuality/prehled-dotacnich-programu-ze-statniho-rozpoctu-pro-rok-2020-176314</w:t>
        </w:r>
      </w:hyperlink>
      <w:r w:rsidRPr="0036218B">
        <w:rPr>
          <w:rFonts w:ascii="Arial" w:eastAsia="Arial" w:hAnsi="Arial" w:cs="Arial"/>
          <w:sz w:val="20"/>
          <w:szCs w:val="20"/>
        </w:rPr>
        <w:t xml:space="preserve">. </w:t>
      </w:r>
    </w:p>
  </w:footnote>
  <w:footnote w:id="29">
    <w:p w14:paraId="7F67F41D" w14:textId="77777777" w:rsidR="0036218B" w:rsidRPr="0036218B" w:rsidRDefault="0036218B" w:rsidP="0036218B">
      <w:pPr>
        <w:spacing w:after="0" w:line="240" w:lineRule="auto"/>
        <w:rPr>
          <w:rFonts w:ascii="Arial" w:eastAsia="Arial" w:hAnsi="Arial" w:cs="Arial"/>
          <w:sz w:val="20"/>
          <w:szCs w:val="20"/>
        </w:rPr>
      </w:pPr>
      <w:r w:rsidRPr="0036218B">
        <w:rPr>
          <w:rStyle w:val="Znakapoznpodarou"/>
          <w:rFonts w:ascii="Arial" w:hAnsi="Arial" w:cs="Arial"/>
          <w:sz w:val="20"/>
          <w:szCs w:val="20"/>
        </w:rPr>
        <w:footnoteRef/>
      </w:r>
      <w:r w:rsidRPr="0036218B">
        <w:rPr>
          <w:rFonts w:ascii="Arial" w:hAnsi="Arial" w:cs="Arial"/>
          <w:sz w:val="20"/>
          <w:szCs w:val="20"/>
        </w:rPr>
        <w:t xml:space="preserve"> </w:t>
      </w:r>
      <w:r w:rsidRPr="0036218B">
        <w:rPr>
          <w:rFonts w:ascii="Arial" w:eastAsia="Arial" w:hAnsi="Arial" w:cs="Arial"/>
          <w:sz w:val="20"/>
          <w:szCs w:val="20"/>
        </w:rPr>
        <w:t xml:space="preserve">Zdroj: Ročenka národního programu HIV/AIDS v České republice 2011/12, SZÚ. Dostupné z: </w:t>
      </w:r>
      <w:hyperlink r:id="rId36">
        <w:r w:rsidRPr="0036218B">
          <w:rPr>
            <w:rFonts w:ascii="Arial" w:eastAsia="Arial" w:hAnsi="Arial" w:cs="Arial"/>
            <w:color w:val="1155CC"/>
            <w:sz w:val="20"/>
            <w:szCs w:val="20"/>
            <w:u w:val="single"/>
          </w:rPr>
          <w:t>www.prevencehiv.cz/materialy/rocenky/2011/rocenka-2011.pdf</w:t>
        </w:r>
      </w:hyperlink>
      <w:r w:rsidRPr="0036218B">
        <w:rPr>
          <w:rFonts w:ascii="Arial" w:eastAsia="Arial" w:hAnsi="Arial" w:cs="Arial"/>
          <w:sz w:val="20"/>
          <w:szCs w:val="20"/>
        </w:rPr>
        <w:t xml:space="preserve"> </w:t>
      </w:r>
    </w:p>
  </w:footnote>
  <w:footnote w:id="30">
    <w:p w14:paraId="520CFBB0" w14:textId="77777777" w:rsidR="004B607B" w:rsidRPr="0036218B" w:rsidRDefault="00825AA5" w:rsidP="0036218B">
      <w:pPr>
        <w:spacing w:after="0" w:line="240" w:lineRule="auto"/>
        <w:rPr>
          <w:rFonts w:ascii="Arial" w:hAnsi="Arial" w:cs="Arial"/>
          <w:sz w:val="20"/>
          <w:szCs w:val="20"/>
        </w:rPr>
      </w:pPr>
      <w:r w:rsidRPr="0036218B">
        <w:rPr>
          <w:rFonts w:ascii="Arial" w:hAnsi="Arial" w:cs="Arial"/>
          <w:sz w:val="20"/>
          <w:szCs w:val="20"/>
          <w:vertAlign w:val="superscript"/>
        </w:rPr>
        <w:footnoteRef/>
      </w:r>
      <w:r w:rsidRPr="0036218B">
        <w:rPr>
          <w:rFonts w:ascii="Arial" w:hAnsi="Arial" w:cs="Arial"/>
          <w:sz w:val="20"/>
          <w:szCs w:val="20"/>
        </w:rPr>
        <w:t xml:space="preserve"> Dostupné na </w:t>
      </w:r>
      <w:hyperlink r:id="rId37">
        <w:r w:rsidRPr="0036218B">
          <w:rPr>
            <w:rFonts w:ascii="Arial" w:eastAsia="Arial" w:hAnsi="Arial" w:cs="Arial"/>
            <w:color w:val="1155CC"/>
            <w:sz w:val="20"/>
            <w:szCs w:val="20"/>
            <w:u w:val="single"/>
          </w:rPr>
          <w:t>www.mzcr.cz/obsah/dotace_2171_1.html</w:t>
        </w:r>
      </w:hyperlink>
      <w:r w:rsidRPr="0036218B">
        <w:rPr>
          <w:rFonts w:ascii="Arial" w:eastAsia="Arial"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86CA5"/>
    <w:multiLevelType w:val="hybridMultilevel"/>
    <w:tmpl w:val="7396A878"/>
    <w:lvl w:ilvl="0" w:tplc="EF10D35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3DBA4F22"/>
    <w:multiLevelType w:val="multilevel"/>
    <w:tmpl w:val="100CEE54"/>
    <w:lvl w:ilvl="0">
      <w:start w:val="1"/>
      <w:numFmt w:val="decimal"/>
      <w:lvlText w:val="%1."/>
      <w:lvlJc w:val="left"/>
      <w:pPr>
        <w:ind w:left="720" w:hanging="360"/>
      </w:pPr>
      <w:rPr>
        <w:rFonts w:ascii="Arial" w:eastAsia="Arial" w:hAnsi="Arial" w:cs="Arial"/>
        <w:color w:val="000000"/>
        <w:vertAlign w:val="baseline"/>
      </w:rPr>
    </w:lvl>
    <w:lvl w:ilvl="1">
      <w:start w:val="1"/>
      <w:numFmt w:val="lowerLetter"/>
      <w:lvlText w:val="%2)"/>
      <w:lvlJc w:val="left"/>
      <w:pPr>
        <w:ind w:left="1080" w:hanging="360"/>
      </w:pPr>
      <w:rPr>
        <w:rFonts w:ascii="Arial" w:eastAsia="Arial" w:hAnsi="Arial" w:cs="Arial"/>
        <w:color w:val="000000"/>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15:restartNumberingAfterBreak="0">
    <w:nsid w:val="55F31BAB"/>
    <w:multiLevelType w:val="hybridMultilevel"/>
    <w:tmpl w:val="FDDC6FE0"/>
    <w:lvl w:ilvl="0" w:tplc="CE644A6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597E0211"/>
    <w:multiLevelType w:val="multilevel"/>
    <w:tmpl w:val="F1C49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75742F"/>
    <w:multiLevelType w:val="multilevel"/>
    <w:tmpl w:val="5CE8ACB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98313F"/>
    <w:multiLevelType w:val="multilevel"/>
    <w:tmpl w:val="33FA8AC4"/>
    <w:lvl w:ilvl="0">
      <w:start w:val="1"/>
      <w:numFmt w:val="upperRoman"/>
      <w:lvlText w:val="%1."/>
      <w:lvlJc w:val="righ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7B"/>
    <w:rsid w:val="00002140"/>
    <w:rsid w:val="000715EC"/>
    <w:rsid w:val="00074540"/>
    <w:rsid w:val="000832AA"/>
    <w:rsid w:val="000A7CA7"/>
    <w:rsid w:val="000B2506"/>
    <w:rsid w:val="000F4723"/>
    <w:rsid w:val="0010545E"/>
    <w:rsid w:val="0015219F"/>
    <w:rsid w:val="001C61F9"/>
    <w:rsid w:val="001D060A"/>
    <w:rsid w:val="00203A70"/>
    <w:rsid w:val="002646B9"/>
    <w:rsid w:val="002A1A75"/>
    <w:rsid w:val="002A71D3"/>
    <w:rsid w:val="002B3F4B"/>
    <w:rsid w:val="002C7EF4"/>
    <w:rsid w:val="002D75BF"/>
    <w:rsid w:val="00303307"/>
    <w:rsid w:val="0032251D"/>
    <w:rsid w:val="0035498E"/>
    <w:rsid w:val="0036218B"/>
    <w:rsid w:val="003B5324"/>
    <w:rsid w:val="004B607B"/>
    <w:rsid w:val="004C7DDD"/>
    <w:rsid w:val="004D0AD7"/>
    <w:rsid w:val="00552530"/>
    <w:rsid w:val="005C58B6"/>
    <w:rsid w:val="006055BE"/>
    <w:rsid w:val="006975A4"/>
    <w:rsid w:val="006A5AA0"/>
    <w:rsid w:val="00734511"/>
    <w:rsid w:val="00784905"/>
    <w:rsid w:val="007D0C42"/>
    <w:rsid w:val="007E36D7"/>
    <w:rsid w:val="007F063F"/>
    <w:rsid w:val="007F4442"/>
    <w:rsid w:val="008046F9"/>
    <w:rsid w:val="008059E8"/>
    <w:rsid w:val="00825AA5"/>
    <w:rsid w:val="00827EA4"/>
    <w:rsid w:val="00851CE3"/>
    <w:rsid w:val="00860F2F"/>
    <w:rsid w:val="00874B8A"/>
    <w:rsid w:val="008A5F7B"/>
    <w:rsid w:val="008C0012"/>
    <w:rsid w:val="008D0416"/>
    <w:rsid w:val="0091133C"/>
    <w:rsid w:val="009D3859"/>
    <w:rsid w:val="009F2EEE"/>
    <w:rsid w:val="00AA3A6D"/>
    <w:rsid w:val="00AB5F48"/>
    <w:rsid w:val="00AF62B6"/>
    <w:rsid w:val="00B225A8"/>
    <w:rsid w:val="00B32C84"/>
    <w:rsid w:val="00B454FE"/>
    <w:rsid w:val="00B54A8A"/>
    <w:rsid w:val="00B56258"/>
    <w:rsid w:val="00B76D70"/>
    <w:rsid w:val="00B93E83"/>
    <w:rsid w:val="00BC2564"/>
    <w:rsid w:val="00BF1454"/>
    <w:rsid w:val="00BF318E"/>
    <w:rsid w:val="00C07B3B"/>
    <w:rsid w:val="00C33A59"/>
    <w:rsid w:val="00C5146C"/>
    <w:rsid w:val="00C9793D"/>
    <w:rsid w:val="00CA4E12"/>
    <w:rsid w:val="00D1291E"/>
    <w:rsid w:val="00D43BFC"/>
    <w:rsid w:val="00D65719"/>
    <w:rsid w:val="00DA4665"/>
    <w:rsid w:val="00DC536D"/>
    <w:rsid w:val="00E17586"/>
    <w:rsid w:val="00E827E6"/>
    <w:rsid w:val="00ED66EB"/>
    <w:rsid w:val="00F134C9"/>
    <w:rsid w:val="00F32AF4"/>
    <w:rsid w:val="00F4168F"/>
    <w:rsid w:val="00FA7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A59"/>
  <w15:docId w15:val="{BA8DC9CE-188F-475D-B36E-302B00BF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outlineLvl w:val="0"/>
    </w:pPr>
    <w:rPr>
      <w:rFonts w:ascii="Arial" w:eastAsia="Arial" w:hAnsi="Arial" w:cs="Arial"/>
      <w:b/>
      <w:u w:val="single"/>
    </w:rPr>
  </w:style>
  <w:style w:type="paragraph" w:styleId="Nadpis2">
    <w:name w:val="heading 2"/>
    <w:basedOn w:val="Normln"/>
    <w:next w:val="Normln"/>
    <w:pPr>
      <w:keepNext/>
      <w:keepLines/>
      <w:outlineLvl w:val="1"/>
    </w:pPr>
    <w:rPr>
      <w:rFonts w:ascii="Arial" w:eastAsia="Arial" w:hAnsi="Arial" w:cs="Arial"/>
      <w:u w:val="single"/>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0B2506"/>
    <w:pPr>
      <w:ind w:left="720"/>
      <w:contextualSpacing/>
    </w:pPr>
  </w:style>
  <w:style w:type="paragraph" w:styleId="Textbubliny">
    <w:name w:val="Balloon Text"/>
    <w:basedOn w:val="Normln"/>
    <w:link w:val="TextbublinyChar"/>
    <w:uiPriority w:val="99"/>
    <w:semiHidden/>
    <w:unhideWhenUsed/>
    <w:rsid w:val="000B25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2506"/>
    <w:rPr>
      <w:rFonts w:ascii="Segoe UI" w:hAnsi="Segoe UI" w:cs="Segoe UI"/>
      <w:sz w:val="18"/>
      <w:szCs w:val="18"/>
    </w:rPr>
  </w:style>
  <w:style w:type="paragraph" w:styleId="Textpoznpodarou">
    <w:name w:val="footnote text"/>
    <w:basedOn w:val="Normln"/>
    <w:link w:val="TextpoznpodarouChar"/>
    <w:uiPriority w:val="99"/>
    <w:semiHidden/>
    <w:unhideWhenUsed/>
    <w:rsid w:val="000B250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2506"/>
    <w:rPr>
      <w:sz w:val="20"/>
      <w:szCs w:val="20"/>
    </w:rPr>
  </w:style>
  <w:style w:type="character" w:styleId="Znakapoznpodarou">
    <w:name w:val="footnote reference"/>
    <w:basedOn w:val="Standardnpsmoodstavce"/>
    <w:uiPriority w:val="99"/>
    <w:semiHidden/>
    <w:unhideWhenUsed/>
    <w:rsid w:val="000B2506"/>
    <w:rPr>
      <w:vertAlign w:val="superscript"/>
    </w:rPr>
  </w:style>
  <w:style w:type="character" w:styleId="Hypertextovodkaz">
    <w:name w:val="Hyperlink"/>
    <w:basedOn w:val="Standardnpsmoodstavce"/>
    <w:uiPriority w:val="99"/>
    <w:unhideWhenUsed/>
    <w:rsid w:val="009F2EEE"/>
    <w:rPr>
      <w:color w:val="0000FF"/>
      <w:u w:val="single"/>
    </w:rPr>
  </w:style>
  <w:style w:type="paragraph" w:styleId="Pedmtkomente">
    <w:name w:val="annotation subject"/>
    <w:basedOn w:val="Textkomente"/>
    <w:next w:val="Textkomente"/>
    <w:link w:val="PedmtkomenteChar"/>
    <w:uiPriority w:val="99"/>
    <w:semiHidden/>
    <w:unhideWhenUsed/>
    <w:rsid w:val="00D43BFC"/>
    <w:rPr>
      <w:b/>
      <w:bCs/>
    </w:rPr>
  </w:style>
  <w:style w:type="character" w:customStyle="1" w:styleId="PedmtkomenteChar">
    <w:name w:val="Předmět komentáře Char"/>
    <w:basedOn w:val="TextkomenteChar"/>
    <w:link w:val="Pedmtkomente"/>
    <w:uiPriority w:val="99"/>
    <w:semiHidden/>
    <w:rsid w:val="00D43B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8300">
      <w:bodyDiv w:val="1"/>
      <w:marLeft w:val="0"/>
      <w:marRight w:val="0"/>
      <w:marTop w:val="0"/>
      <w:marBottom w:val="0"/>
      <w:divBdr>
        <w:top w:val="none" w:sz="0" w:space="0" w:color="auto"/>
        <w:left w:val="none" w:sz="0" w:space="0" w:color="auto"/>
        <w:bottom w:val="none" w:sz="0" w:space="0" w:color="auto"/>
        <w:right w:val="none" w:sz="0" w:space="0" w:color="auto"/>
      </w:divBdr>
      <w:divsChild>
        <w:div w:id="1562593828">
          <w:marLeft w:val="0"/>
          <w:marRight w:val="0"/>
          <w:marTop w:val="0"/>
          <w:marBottom w:val="0"/>
          <w:divBdr>
            <w:top w:val="none" w:sz="0" w:space="0" w:color="auto"/>
            <w:left w:val="none" w:sz="0" w:space="0" w:color="auto"/>
            <w:bottom w:val="none" w:sz="0" w:space="0" w:color="auto"/>
            <w:right w:val="none" w:sz="0" w:space="0" w:color="auto"/>
          </w:divBdr>
        </w:div>
        <w:div w:id="1607075583">
          <w:marLeft w:val="0"/>
          <w:marRight w:val="0"/>
          <w:marTop w:val="0"/>
          <w:marBottom w:val="0"/>
          <w:divBdr>
            <w:top w:val="none" w:sz="0" w:space="0" w:color="auto"/>
            <w:left w:val="none" w:sz="0" w:space="0" w:color="auto"/>
            <w:bottom w:val="none" w:sz="0" w:space="0" w:color="auto"/>
            <w:right w:val="none" w:sz="0" w:space="0" w:color="auto"/>
          </w:divBdr>
        </w:div>
        <w:div w:id="2045521278">
          <w:marLeft w:val="0"/>
          <w:marRight w:val="0"/>
          <w:marTop w:val="0"/>
          <w:marBottom w:val="0"/>
          <w:divBdr>
            <w:top w:val="none" w:sz="0" w:space="0" w:color="auto"/>
            <w:left w:val="none" w:sz="0" w:space="0" w:color="auto"/>
            <w:bottom w:val="none" w:sz="0" w:space="0" w:color="auto"/>
            <w:right w:val="none" w:sz="0" w:space="0" w:color="auto"/>
          </w:divBdr>
        </w:div>
      </w:divsChild>
    </w:div>
    <w:div w:id="990794245">
      <w:bodyDiv w:val="1"/>
      <w:marLeft w:val="0"/>
      <w:marRight w:val="0"/>
      <w:marTop w:val="0"/>
      <w:marBottom w:val="0"/>
      <w:divBdr>
        <w:top w:val="none" w:sz="0" w:space="0" w:color="auto"/>
        <w:left w:val="none" w:sz="0" w:space="0" w:color="auto"/>
        <w:bottom w:val="none" w:sz="0" w:space="0" w:color="auto"/>
        <w:right w:val="none" w:sz="0" w:space="0" w:color="auto"/>
      </w:divBdr>
    </w:div>
    <w:div w:id="213883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eurosurveillance.org/search?value1=Peter+Weatherburn&amp;option1=author&amp;noRedirect=true" TargetMode="External"/><Relationship Id="rId18" Type="http://schemas.openxmlformats.org/officeDocument/2006/relationships/hyperlink" Target="https://www.eurosurveillance.org/content/ecdc" TargetMode="External"/><Relationship Id="rId26" Type="http://schemas.openxmlformats.org/officeDocument/2006/relationships/hyperlink" Target="https://www.eurosurveillance.org/search?value1=Alison+E+Brown&amp;option1=author&amp;noRedirect=true" TargetMode="External"/><Relationship Id="rId21" Type="http://schemas.openxmlformats.org/officeDocument/2006/relationships/hyperlink" Target="http://www.szu.cz/uploads/documents/CeM/STD/EMIS_2017.pdf" TargetMode="External"/><Relationship Id="rId34" Type="http://schemas.openxmlformats.org/officeDocument/2006/relationships/hyperlink" Target="http://www.mzcr.cz/obsah/dotace_2171_1.html" TargetMode="External"/><Relationship Id="rId7" Type="http://schemas.openxmlformats.org/officeDocument/2006/relationships/hyperlink" Target="https://www.preventionaccess.org/undetectable" TargetMode="External"/><Relationship Id="rId12" Type="http://schemas.openxmlformats.org/officeDocument/2006/relationships/hyperlink" Target="https://www.eurosurveillance.org/search?value1=Alison+E+Brown&amp;option1=author&amp;noRedirect=true" TargetMode="External"/><Relationship Id="rId17" Type="http://schemas.openxmlformats.org/officeDocument/2006/relationships/hyperlink" Target="https://www.eurosurveillance.org/search?value1=the+ECDC+Dublin+Declaration+Monitoring+Network&amp;option1=author&amp;noRedirect=true" TargetMode="External"/><Relationship Id="rId25" Type="http://schemas.openxmlformats.org/officeDocument/2006/relationships/hyperlink" Target="https://www.eurosurveillance.org/search?value1=Yusef+Azad&amp;option1=author&amp;noRedirect=true" TargetMode="External"/><Relationship Id="rId33" Type="http://schemas.openxmlformats.org/officeDocument/2006/relationships/hyperlink" Target="https://doi.org/10.2807/1560-7917.ES.2019.24.41.1900598" TargetMode="External"/><Relationship Id="rId2" Type="http://schemas.openxmlformats.org/officeDocument/2006/relationships/hyperlink" Target="http://www.unaids.org/sites/default/files/media_asset/20151027_UNAIDS_PCB37_15_18_EN_rev1.pdf" TargetMode="External"/><Relationship Id="rId16" Type="http://schemas.openxmlformats.org/officeDocument/2006/relationships/hyperlink" Target="https://www.eurosurveillance.org/search?value1=Teymur+Noori&amp;option1=author&amp;noRedirect=true" TargetMode="External"/><Relationship Id="rId20" Type="http://schemas.openxmlformats.org/officeDocument/2006/relationships/hyperlink" Target="https://www.infekce.cz/PPPrEP18.htm" TargetMode="External"/><Relationship Id="rId29" Type="http://schemas.openxmlformats.org/officeDocument/2006/relationships/hyperlink" Target="https://www.eurosurveillance.org/search?value1=Valerie+Delpech&amp;option1=author&amp;noRedirect=true" TargetMode="External"/><Relationship Id="rId1" Type="http://schemas.openxmlformats.org/officeDocument/2006/relationships/hyperlink" Target="https://apps.who.int/iris/bitstream/handle/10665/175556/9789241564984_eng.pdf;jsessionid=4DAD4937A1C1E57A10D48B49BA95AFDC?sequence=1" TargetMode="External"/><Relationship Id="rId6" Type="http://schemas.openxmlformats.org/officeDocument/2006/relationships/hyperlink" Target="https://www.infekce.cz/zprava19-57.htm" TargetMode="External"/><Relationship Id="rId11" Type="http://schemas.openxmlformats.org/officeDocument/2006/relationships/hyperlink" Target="https://www.eurosurveillance.org/search?value1=Yusef+Azad&amp;option1=author&amp;noRedirect=true" TargetMode="External"/><Relationship Id="rId24" Type="http://schemas.openxmlformats.org/officeDocument/2006/relationships/hyperlink" Target="https://www.eurosurveillance.org/search?value1=Anastasia+Pharris&amp;option1=author&amp;noRedirect=true" TargetMode="External"/><Relationship Id="rId32" Type="http://schemas.openxmlformats.org/officeDocument/2006/relationships/hyperlink" Target="https://www.eurosurveillance.org/content/ecdc" TargetMode="External"/><Relationship Id="rId37" Type="http://schemas.openxmlformats.org/officeDocument/2006/relationships/hyperlink" Target="http://www.mzcr.cz/obsah/dotace_2171_1.html" TargetMode="External"/><Relationship Id="rId5" Type="http://schemas.openxmlformats.org/officeDocument/2006/relationships/hyperlink" Target="http://www.hivjustice.net/advancing3" TargetMode="External"/><Relationship Id="rId15" Type="http://schemas.openxmlformats.org/officeDocument/2006/relationships/hyperlink" Target="https://www.eurosurveillance.org/search?value1=Valerie+Delpech&amp;option1=author&amp;noRedirect=true" TargetMode="External"/><Relationship Id="rId23" Type="http://schemas.openxmlformats.org/officeDocument/2006/relationships/hyperlink" Target="https://www.eurosurveillance.org/search?value1=Axel+J+Schmidt&amp;option1=author&amp;noRedirect=true" TargetMode="External"/><Relationship Id="rId28" Type="http://schemas.openxmlformats.org/officeDocument/2006/relationships/hyperlink" Target="https://www.eurosurveillance.org/search?value1=Ford+Hickson&amp;option1=author&amp;noRedirect=true" TargetMode="External"/><Relationship Id="rId36" Type="http://schemas.openxmlformats.org/officeDocument/2006/relationships/hyperlink" Target="http://www.prevencehiv.cz/materialy/rocenky/2011/rocenka-2011.pdf" TargetMode="External"/><Relationship Id="rId10" Type="http://schemas.openxmlformats.org/officeDocument/2006/relationships/hyperlink" Target="https://www.eurosurveillance.org/search?value1=Anastasia+Pharris&amp;option1=author&amp;noRedirect=true" TargetMode="External"/><Relationship Id="rId19" Type="http://schemas.openxmlformats.org/officeDocument/2006/relationships/hyperlink" Target="https://doi.org/10.2807/1560-7917.ES.2019.24.41.1900598" TargetMode="External"/><Relationship Id="rId31" Type="http://schemas.openxmlformats.org/officeDocument/2006/relationships/hyperlink" Target="https://www.eurosurveillance.org/search?value1=the+ECDC+Dublin+Declaration+Monitoring+Network&amp;option1=author&amp;noRedirect=true" TargetMode="External"/><Relationship Id="rId4" Type="http://schemas.openxmlformats.org/officeDocument/2006/relationships/hyperlink" Target="https://www.hiv-komunita.cz/fls/web/vysledky-spreads.pdf" TargetMode="External"/><Relationship Id="rId9" Type="http://schemas.openxmlformats.org/officeDocument/2006/relationships/hyperlink" Target="https://www.eurosurveillance.org/search?value1=Axel+J+Schmidt&amp;option1=author&amp;noRedirect=true" TargetMode="External"/><Relationship Id="rId14" Type="http://schemas.openxmlformats.org/officeDocument/2006/relationships/hyperlink" Target="https://www.eurosurveillance.org/search?value1=Ford+Hickson&amp;option1=author&amp;noRedirect=true" TargetMode="External"/><Relationship Id="rId22" Type="http://schemas.openxmlformats.org/officeDocument/2006/relationships/hyperlink" Target="https://www.eurosurveillance.org/search?value1=Rosalie+Hayes&amp;option1=author&amp;noRedirect=true" TargetMode="External"/><Relationship Id="rId27" Type="http://schemas.openxmlformats.org/officeDocument/2006/relationships/hyperlink" Target="https://www.eurosurveillance.org/search?value1=Peter+Weatherburn&amp;option1=author&amp;noRedirect=true" TargetMode="External"/><Relationship Id="rId30" Type="http://schemas.openxmlformats.org/officeDocument/2006/relationships/hyperlink" Target="https://www.eurosurveillance.org/search?value1=Teymur+Noori&amp;option1=author&amp;noRedirect=true" TargetMode="External"/><Relationship Id="rId35" Type="http://schemas.openxmlformats.org/officeDocument/2006/relationships/hyperlink" Target="http://www.vlada.cz/cz/ppov/rnno/aktuality/prehled-dotacnich-programu-ze-statniho-rozpoctu-pro-rok-2020-176314" TargetMode="External"/><Relationship Id="rId8" Type="http://schemas.openxmlformats.org/officeDocument/2006/relationships/hyperlink" Target="https://www.eurosurveillance.org/search?value1=Rosalie+Hayes&amp;option1=author&amp;noRedirect=true" TargetMode="External"/><Relationship Id="rId3" Type="http://schemas.openxmlformats.org/officeDocument/2006/relationships/hyperlink" Target="http://www.unaids.org/sites/default/files/media_asset/20151027_UNAIDS_PCB37_15_18_EN_re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3886-3D22-44A9-A887-5C3D8D83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3087</Words>
  <Characters>18218</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Úřad vlády ČR</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Machačka Jakub</cp:lastModifiedBy>
  <cp:revision>2</cp:revision>
  <cp:lastPrinted>2020-02-10T06:40:00Z</cp:lastPrinted>
  <dcterms:created xsi:type="dcterms:W3CDTF">2021-12-15T17:44:00Z</dcterms:created>
  <dcterms:modified xsi:type="dcterms:W3CDTF">2021-12-15T17:44:00Z</dcterms:modified>
</cp:coreProperties>
</file>