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676D6" w14:paraId="67538013" w14:textId="77777777" w:rsidTr="00B90C8C">
        <w:trPr>
          <w:cantSplit/>
          <w:trHeight w:hRule="exact" w:val="851"/>
        </w:trPr>
        <w:tc>
          <w:tcPr>
            <w:tcW w:w="1276" w:type="dxa"/>
            <w:tcBorders>
              <w:bottom w:val="single" w:sz="4" w:space="0" w:color="auto"/>
            </w:tcBorders>
            <w:vAlign w:val="bottom"/>
          </w:tcPr>
          <w:p w14:paraId="49E9ED61" w14:textId="77777777" w:rsidR="00B56E9C" w:rsidRPr="002676D6" w:rsidRDefault="00B56E9C" w:rsidP="00B90C8C">
            <w:pPr>
              <w:spacing w:after="80"/>
              <w:rPr>
                <w:lang w:val="cs-CZ"/>
              </w:rPr>
            </w:pPr>
            <w:bookmarkStart w:id="0" w:name="_GoBack"/>
            <w:bookmarkEnd w:id="0"/>
          </w:p>
        </w:tc>
        <w:tc>
          <w:tcPr>
            <w:tcW w:w="2268" w:type="dxa"/>
            <w:tcBorders>
              <w:bottom w:val="single" w:sz="4" w:space="0" w:color="auto"/>
            </w:tcBorders>
            <w:vAlign w:val="bottom"/>
          </w:tcPr>
          <w:p w14:paraId="2E4479AE" w14:textId="375D890B" w:rsidR="00B56E9C" w:rsidRPr="002676D6" w:rsidRDefault="00C369DB" w:rsidP="00B90C8C">
            <w:pPr>
              <w:spacing w:after="80" w:line="300" w:lineRule="exact"/>
              <w:rPr>
                <w:b/>
                <w:sz w:val="24"/>
                <w:szCs w:val="24"/>
                <w:lang w:val="cs-CZ"/>
              </w:rPr>
            </w:pPr>
            <w:r w:rsidRPr="002676D6">
              <w:rPr>
                <w:sz w:val="28"/>
                <w:szCs w:val="28"/>
                <w:lang w:val="cs-CZ"/>
              </w:rPr>
              <w:t>Organizace spojených národů</w:t>
            </w:r>
          </w:p>
        </w:tc>
        <w:tc>
          <w:tcPr>
            <w:tcW w:w="6095" w:type="dxa"/>
            <w:gridSpan w:val="2"/>
            <w:tcBorders>
              <w:bottom w:val="single" w:sz="4" w:space="0" w:color="auto"/>
            </w:tcBorders>
            <w:vAlign w:val="bottom"/>
          </w:tcPr>
          <w:p w14:paraId="13FCE114" w14:textId="234C2116" w:rsidR="00B56E9C" w:rsidRPr="002676D6" w:rsidRDefault="00F86622" w:rsidP="00BA3CC6">
            <w:pPr>
              <w:jc w:val="right"/>
              <w:rPr>
                <w:lang w:val="cs-CZ"/>
              </w:rPr>
            </w:pPr>
            <w:r w:rsidRPr="002676D6">
              <w:rPr>
                <w:sz w:val="40"/>
                <w:lang w:val="cs-CZ"/>
              </w:rPr>
              <w:t>CRPD</w:t>
            </w:r>
            <w:r w:rsidR="00BA3CC6" w:rsidRPr="002676D6">
              <w:rPr>
                <w:lang w:val="cs-CZ"/>
              </w:rPr>
              <w:t>/C/18/</w:t>
            </w:r>
            <w:r w:rsidRPr="002676D6">
              <w:rPr>
                <w:lang w:val="cs-CZ"/>
              </w:rPr>
              <w:t>1</w:t>
            </w:r>
          </w:p>
        </w:tc>
      </w:tr>
      <w:tr w:rsidR="00B56E9C" w:rsidRPr="000A7503" w14:paraId="69F60AD7" w14:textId="77777777" w:rsidTr="00B90C8C">
        <w:trPr>
          <w:cantSplit/>
          <w:trHeight w:hRule="exact" w:val="2835"/>
        </w:trPr>
        <w:tc>
          <w:tcPr>
            <w:tcW w:w="1276" w:type="dxa"/>
            <w:tcBorders>
              <w:top w:val="single" w:sz="4" w:space="0" w:color="auto"/>
              <w:bottom w:val="single" w:sz="12" w:space="0" w:color="auto"/>
            </w:tcBorders>
          </w:tcPr>
          <w:p w14:paraId="09654182" w14:textId="77777777" w:rsidR="00B56E9C" w:rsidRPr="002676D6" w:rsidRDefault="00893F61" w:rsidP="00B90C8C">
            <w:pPr>
              <w:spacing w:before="120"/>
              <w:jc w:val="center"/>
              <w:rPr>
                <w:lang w:val="cs-CZ"/>
              </w:rPr>
            </w:pPr>
            <w:r w:rsidRPr="002676D6">
              <w:rPr>
                <w:noProof/>
                <w:lang w:val="cs-CZ" w:eastAsia="cs-CZ"/>
              </w:rPr>
              <w:drawing>
                <wp:inline distT="0" distB="0" distL="0" distR="0" wp14:anchorId="34C53C7F" wp14:editId="0DAE9ADF">
                  <wp:extent cx="716280" cy="594360"/>
                  <wp:effectExtent l="0" t="0" r="7620"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8EBB39" w14:textId="73C17469" w:rsidR="00B56E9C" w:rsidRPr="002676D6" w:rsidRDefault="00C369DB" w:rsidP="00B90C8C">
            <w:pPr>
              <w:spacing w:before="120" w:line="380" w:lineRule="exact"/>
              <w:rPr>
                <w:b/>
                <w:sz w:val="34"/>
                <w:szCs w:val="40"/>
                <w:lang w:val="cs-CZ"/>
              </w:rPr>
            </w:pPr>
            <w:r w:rsidRPr="002676D6">
              <w:rPr>
                <w:b/>
                <w:sz w:val="34"/>
                <w:szCs w:val="40"/>
                <w:lang w:val="cs-CZ"/>
              </w:rPr>
              <w:t>Úmluva o právech osob se zdravotním postižením</w:t>
            </w:r>
          </w:p>
          <w:p w14:paraId="5AB12683" w14:textId="77777777" w:rsidR="00B56E9C" w:rsidRPr="002676D6" w:rsidRDefault="00B56E9C" w:rsidP="00B90C8C">
            <w:pPr>
              <w:spacing w:before="120" w:line="420" w:lineRule="exact"/>
              <w:rPr>
                <w:lang w:val="cs-CZ"/>
              </w:rPr>
            </w:pPr>
          </w:p>
        </w:tc>
        <w:tc>
          <w:tcPr>
            <w:tcW w:w="2835" w:type="dxa"/>
            <w:tcBorders>
              <w:top w:val="single" w:sz="4" w:space="0" w:color="auto"/>
              <w:bottom w:val="single" w:sz="12" w:space="0" w:color="auto"/>
            </w:tcBorders>
          </w:tcPr>
          <w:p w14:paraId="591F6141" w14:textId="77777777" w:rsidR="00B56E9C" w:rsidRPr="002676D6" w:rsidRDefault="00F86622" w:rsidP="00F86622">
            <w:pPr>
              <w:spacing w:before="240" w:line="240" w:lineRule="exact"/>
              <w:rPr>
                <w:lang w:val="cs-CZ"/>
              </w:rPr>
            </w:pPr>
            <w:proofErr w:type="spellStart"/>
            <w:r w:rsidRPr="002676D6">
              <w:rPr>
                <w:lang w:val="cs-CZ"/>
              </w:rPr>
              <w:t>Distr</w:t>
            </w:r>
            <w:proofErr w:type="spellEnd"/>
            <w:r w:rsidRPr="002676D6">
              <w:rPr>
                <w:lang w:val="cs-CZ"/>
              </w:rPr>
              <w:t xml:space="preserve">.: </w:t>
            </w:r>
            <w:proofErr w:type="spellStart"/>
            <w:r w:rsidRPr="002676D6">
              <w:rPr>
                <w:lang w:val="cs-CZ"/>
              </w:rPr>
              <w:t>Restricted</w:t>
            </w:r>
            <w:proofErr w:type="spellEnd"/>
          </w:p>
          <w:p w14:paraId="23E2E982" w14:textId="7E3055AC" w:rsidR="00F86622" w:rsidRPr="002676D6" w:rsidRDefault="00A852D5" w:rsidP="00F86622">
            <w:pPr>
              <w:spacing w:line="240" w:lineRule="exact"/>
              <w:rPr>
                <w:lang w:val="cs-CZ"/>
              </w:rPr>
            </w:pPr>
            <w:r w:rsidRPr="002676D6">
              <w:rPr>
                <w:lang w:val="cs-CZ"/>
              </w:rPr>
              <w:t>29</w:t>
            </w:r>
            <w:r w:rsidR="00C369DB" w:rsidRPr="002676D6">
              <w:rPr>
                <w:lang w:val="cs-CZ"/>
              </w:rPr>
              <w:t xml:space="preserve">. srpna </w:t>
            </w:r>
            <w:r w:rsidR="00F86622" w:rsidRPr="002676D6">
              <w:rPr>
                <w:lang w:val="cs-CZ"/>
              </w:rPr>
              <w:t>2017</w:t>
            </w:r>
          </w:p>
          <w:p w14:paraId="5324F379" w14:textId="77777777" w:rsidR="00F86622" w:rsidRPr="002676D6" w:rsidRDefault="00F86622" w:rsidP="00F86622">
            <w:pPr>
              <w:spacing w:line="240" w:lineRule="exact"/>
              <w:rPr>
                <w:lang w:val="cs-CZ"/>
              </w:rPr>
            </w:pPr>
          </w:p>
          <w:p w14:paraId="4B9D3B3A" w14:textId="5B3661FF" w:rsidR="00F86622" w:rsidRPr="002676D6" w:rsidRDefault="002676D6" w:rsidP="00C46031">
            <w:pPr>
              <w:spacing w:line="240" w:lineRule="exact"/>
              <w:rPr>
                <w:lang w:val="cs-CZ"/>
              </w:rPr>
            </w:pPr>
            <w:r>
              <w:rPr>
                <w:lang w:val="cs-CZ"/>
              </w:rPr>
              <w:t>Originá</w:t>
            </w:r>
            <w:r w:rsidR="00F86622" w:rsidRPr="002676D6">
              <w:rPr>
                <w:lang w:val="cs-CZ"/>
              </w:rPr>
              <w:t xml:space="preserve">l: </w:t>
            </w:r>
            <w:r w:rsidR="00C369DB" w:rsidRPr="002676D6">
              <w:rPr>
                <w:lang w:val="cs-CZ"/>
              </w:rPr>
              <w:t>Angličtina</w:t>
            </w:r>
            <w:r w:rsidR="00FF2C3D" w:rsidRPr="002676D6">
              <w:rPr>
                <w:lang w:val="cs-CZ"/>
              </w:rPr>
              <w:br/>
            </w:r>
            <w:r w:rsidR="00C369DB" w:rsidRPr="002676D6">
              <w:rPr>
                <w:lang w:val="cs-CZ"/>
              </w:rPr>
              <w:t>pouze v angličtině, ruštině a španělštině</w:t>
            </w:r>
          </w:p>
        </w:tc>
      </w:tr>
    </w:tbl>
    <w:p w14:paraId="1F0AD417" w14:textId="05698F5A" w:rsidR="00D12D66" w:rsidRPr="002676D6" w:rsidRDefault="00C369DB" w:rsidP="00D12D66">
      <w:pPr>
        <w:spacing w:line="240" w:lineRule="auto"/>
        <w:rPr>
          <w:color w:val="000000"/>
          <w:lang w:val="cs-CZ"/>
        </w:rPr>
      </w:pPr>
      <w:r w:rsidRPr="002676D6">
        <w:rPr>
          <w:rFonts w:eastAsia="SimHei"/>
          <w:b/>
          <w:sz w:val="24"/>
          <w:szCs w:val="24"/>
          <w:lang w:val="cs-CZ"/>
        </w:rPr>
        <w:t>Výbor pro práva osob se zdravotním postižením</w:t>
      </w:r>
      <w:r w:rsidR="00D12D66" w:rsidRPr="002676D6">
        <w:rPr>
          <w:rFonts w:eastAsia="SimHei"/>
          <w:b/>
          <w:sz w:val="24"/>
          <w:szCs w:val="24"/>
          <w:lang w:val="cs-CZ"/>
        </w:rPr>
        <w:br/>
      </w:r>
      <w:r w:rsidRPr="002676D6">
        <w:rPr>
          <w:rFonts w:eastAsia="SimHei"/>
          <w:b/>
          <w:lang w:val="cs-CZ"/>
        </w:rPr>
        <w:t>18. zasedání</w:t>
      </w:r>
      <w:r w:rsidR="00D12D66" w:rsidRPr="002676D6">
        <w:rPr>
          <w:rFonts w:eastAsia="SimHei"/>
          <w:b/>
          <w:lang w:val="cs-CZ"/>
        </w:rPr>
        <w:br/>
      </w:r>
      <w:r w:rsidR="00D12D66" w:rsidRPr="002676D6">
        <w:rPr>
          <w:color w:val="000000"/>
          <w:lang w:val="cs-CZ"/>
        </w:rPr>
        <w:t>14-31</w:t>
      </w:r>
      <w:r w:rsidRPr="002676D6">
        <w:rPr>
          <w:color w:val="000000"/>
          <w:lang w:val="cs-CZ"/>
        </w:rPr>
        <w:t>. srpna</w:t>
      </w:r>
      <w:r w:rsidR="00D12D66" w:rsidRPr="002676D6">
        <w:rPr>
          <w:color w:val="000000"/>
          <w:lang w:val="cs-CZ"/>
        </w:rPr>
        <w:t xml:space="preserve"> 2017</w:t>
      </w:r>
    </w:p>
    <w:p w14:paraId="7D77451A" w14:textId="7D601AC8" w:rsidR="00D12D66" w:rsidRPr="002676D6" w:rsidRDefault="00C369DB" w:rsidP="00D12D66">
      <w:pPr>
        <w:spacing w:line="240" w:lineRule="auto"/>
        <w:rPr>
          <w:color w:val="000000"/>
          <w:lang w:val="cs-CZ"/>
        </w:rPr>
      </w:pPr>
      <w:r w:rsidRPr="002676D6">
        <w:rPr>
          <w:color w:val="000000"/>
          <w:lang w:val="cs-CZ"/>
        </w:rPr>
        <w:t>Položka</w:t>
      </w:r>
      <w:r w:rsidR="00D12D66" w:rsidRPr="002676D6">
        <w:rPr>
          <w:color w:val="000000"/>
          <w:lang w:val="cs-CZ"/>
        </w:rPr>
        <w:t xml:space="preserve"> 8 </w:t>
      </w:r>
      <w:r w:rsidRPr="002676D6">
        <w:rPr>
          <w:color w:val="000000"/>
          <w:lang w:val="cs-CZ"/>
        </w:rPr>
        <w:t>předběžného programu</w:t>
      </w:r>
    </w:p>
    <w:p w14:paraId="63A2F2F9" w14:textId="00821ED7" w:rsidR="00D12D66" w:rsidRPr="002676D6" w:rsidRDefault="00C369DB" w:rsidP="00D12D66">
      <w:pPr>
        <w:spacing w:line="240" w:lineRule="auto"/>
        <w:rPr>
          <w:rFonts w:eastAsia="SimHei"/>
          <w:b/>
          <w:sz w:val="24"/>
          <w:szCs w:val="24"/>
          <w:lang w:val="cs-CZ"/>
        </w:rPr>
      </w:pPr>
      <w:r w:rsidRPr="002676D6">
        <w:rPr>
          <w:b/>
          <w:color w:val="000000"/>
          <w:lang w:val="cs-CZ"/>
        </w:rPr>
        <w:t>Obecné komentáře</w:t>
      </w:r>
    </w:p>
    <w:p w14:paraId="09463E50" w14:textId="1931C5A9" w:rsidR="00D12D66" w:rsidRPr="002676D6" w:rsidRDefault="00D12D66" w:rsidP="00BA3CC6">
      <w:pPr>
        <w:keepNext/>
        <w:keepLines/>
        <w:tabs>
          <w:tab w:val="right" w:pos="851"/>
          <w:tab w:val="left" w:pos="1134"/>
        </w:tabs>
        <w:spacing w:before="360" w:after="240" w:line="300" w:lineRule="exact"/>
        <w:ind w:left="1134" w:right="1134" w:hanging="1134"/>
        <w:rPr>
          <w:b/>
          <w:sz w:val="28"/>
          <w:lang w:val="cs-CZ"/>
        </w:rPr>
      </w:pPr>
      <w:r w:rsidRPr="002676D6">
        <w:rPr>
          <w:b/>
          <w:sz w:val="28"/>
          <w:lang w:val="cs-CZ"/>
        </w:rPr>
        <w:tab/>
      </w:r>
      <w:r w:rsidRPr="002676D6">
        <w:rPr>
          <w:b/>
          <w:sz w:val="28"/>
          <w:lang w:val="cs-CZ"/>
        </w:rPr>
        <w:tab/>
      </w:r>
      <w:r w:rsidR="00C369DB" w:rsidRPr="002676D6">
        <w:rPr>
          <w:b/>
          <w:sz w:val="28"/>
          <w:lang w:val="cs-CZ"/>
        </w:rPr>
        <w:t>Obecný komentář k článku</w:t>
      </w:r>
      <w:r w:rsidRPr="002676D6">
        <w:rPr>
          <w:b/>
          <w:sz w:val="28"/>
          <w:lang w:val="cs-CZ"/>
        </w:rPr>
        <w:t xml:space="preserve"> 19: </w:t>
      </w:r>
      <w:r w:rsidR="00C369DB" w:rsidRPr="002676D6">
        <w:rPr>
          <w:b/>
          <w:sz w:val="28"/>
          <w:lang w:val="cs-CZ"/>
        </w:rPr>
        <w:t xml:space="preserve">Žít nezávisle a být začleněn do komunity </w:t>
      </w:r>
    </w:p>
    <w:p w14:paraId="66D136D6" w14:textId="1BA6BB8E" w:rsidR="00D12D66" w:rsidRPr="002676D6" w:rsidRDefault="00696CC0" w:rsidP="00696CC0">
      <w:pPr>
        <w:pStyle w:val="HChG"/>
        <w:rPr>
          <w:rFonts w:eastAsia="SimSun"/>
          <w:lang w:val="cs-CZ"/>
        </w:rPr>
      </w:pPr>
      <w:r w:rsidRPr="002676D6">
        <w:rPr>
          <w:rFonts w:eastAsia="SimSun"/>
          <w:lang w:val="cs-CZ"/>
        </w:rPr>
        <w:tab/>
        <w:t>I.</w:t>
      </w:r>
      <w:r w:rsidRPr="002676D6">
        <w:rPr>
          <w:rFonts w:eastAsia="SimSun"/>
          <w:lang w:val="cs-CZ"/>
        </w:rPr>
        <w:tab/>
      </w:r>
      <w:r w:rsidR="00C369DB" w:rsidRPr="002676D6">
        <w:rPr>
          <w:rFonts w:eastAsia="SimSun"/>
          <w:lang w:val="cs-CZ"/>
        </w:rPr>
        <w:t>Úvod</w:t>
      </w:r>
    </w:p>
    <w:p w14:paraId="03319D4B" w14:textId="124C9DF0" w:rsidR="004762B3" w:rsidRPr="002676D6" w:rsidRDefault="004762B3" w:rsidP="00F1612D">
      <w:pPr>
        <w:pStyle w:val="Listeafsnit1"/>
        <w:spacing w:after="120" w:line="240" w:lineRule="atLeast"/>
        <w:ind w:left="1134" w:right="1134"/>
        <w:jc w:val="both"/>
        <w:rPr>
          <w:rFonts w:ascii="Times New Roman" w:hAnsi="Times New Roman" w:cs="Times New Roman"/>
          <w:sz w:val="20"/>
          <w:szCs w:val="20"/>
          <w:lang w:val="cs-CZ"/>
        </w:rPr>
      </w:pPr>
      <w:r w:rsidRPr="002676D6">
        <w:rPr>
          <w:rFonts w:ascii="Times New Roman" w:hAnsi="Times New Roman" w:cs="Times New Roman"/>
          <w:sz w:val="20"/>
          <w:szCs w:val="20"/>
          <w:lang w:val="cs-CZ"/>
        </w:rPr>
        <w:t>1.</w:t>
      </w:r>
      <w:r w:rsidRPr="002676D6">
        <w:rPr>
          <w:rFonts w:ascii="Times New Roman" w:hAnsi="Times New Roman" w:cs="Times New Roman"/>
          <w:sz w:val="20"/>
          <w:szCs w:val="20"/>
          <w:lang w:val="cs-CZ"/>
        </w:rPr>
        <w:tab/>
      </w:r>
      <w:r w:rsidR="00C369DB" w:rsidRPr="002676D6">
        <w:rPr>
          <w:rFonts w:ascii="Times New Roman" w:hAnsi="Times New Roman" w:cs="Times New Roman"/>
          <w:sz w:val="20"/>
          <w:szCs w:val="20"/>
          <w:lang w:val="cs-CZ"/>
        </w:rPr>
        <w:t xml:space="preserve">Lidem s postižením bylo </w:t>
      </w:r>
      <w:r w:rsidR="00BA43F1">
        <w:rPr>
          <w:rFonts w:ascii="Times New Roman" w:hAnsi="Times New Roman" w:cs="Times New Roman"/>
          <w:sz w:val="20"/>
          <w:szCs w:val="20"/>
          <w:lang w:val="cs-CZ"/>
        </w:rPr>
        <w:t>historicky odpíráno p</w:t>
      </w:r>
      <w:r w:rsidR="002B6C2F" w:rsidRPr="002676D6">
        <w:rPr>
          <w:rFonts w:ascii="Times New Roman" w:hAnsi="Times New Roman" w:cs="Times New Roman"/>
          <w:sz w:val="20"/>
          <w:szCs w:val="20"/>
          <w:lang w:val="cs-CZ"/>
        </w:rPr>
        <w:t>r</w:t>
      </w:r>
      <w:r w:rsidR="00BA43F1">
        <w:rPr>
          <w:rFonts w:ascii="Times New Roman" w:hAnsi="Times New Roman" w:cs="Times New Roman"/>
          <w:sz w:val="20"/>
          <w:szCs w:val="20"/>
          <w:lang w:val="cs-CZ"/>
        </w:rPr>
        <w:t>á</w:t>
      </w:r>
      <w:r w:rsidR="002B6C2F" w:rsidRPr="002676D6">
        <w:rPr>
          <w:rFonts w:ascii="Times New Roman" w:hAnsi="Times New Roman" w:cs="Times New Roman"/>
          <w:sz w:val="20"/>
          <w:szCs w:val="20"/>
          <w:lang w:val="cs-CZ"/>
        </w:rPr>
        <w:t>vo provádět svůj osobní a individuální výběr a kontrolovat všechny oblasti svých životů. U mnoha z nich bylo předpokládáno, že nejsou schopni žít nezávisle v komunitách, které si sami zvolí. Pod</w:t>
      </w:r>
      <w:r w:rsidR="00BA43F1">
        <w:rPr>
          <w:rFonts w:ascii="Times New Roman" w:hAnsi="Times New Roman" w:cs="Times New Roman"/>
          <w:sz w:val="20"/>
          <w:szCs w:val="20"/>
          <w:lang w:val="cs-CZ"/>
        </w:rPr>
        <w:t>pora je nedostupná anebo svázána</w:t>
      </w:r>
      <w:r w:rsidR="002B6C2F" w:rsidRPr="002676D6">
        <w:rPr>
          <w:rFonts w:ascii="Times New Roman" w:hAnsi="Times New Roman" w:cs="Times New Roman"/>
          <w:sz w:val="20"/>
          <w:szCs w:val="20"/>
          <w:lang w:val="cs-CZ"/>
        </w:rPr>
        <w:t xml:space="preserve"> se specifickým uspořádáním života a komunitní infrastruktura není </w:t>
      </w:r>
      <w:r w:rsidR="00BA43F1">
        <w:rPr>
          <w:rFonts w:ascii="Times New Roman" w:hAnsi="Times New Roman" w:cs="Times New Roman"/>
          <w:sz w:val="20"/>
          <w:szCs w:val="20"/>
          <w:lang w:val="cs-CZ"/>
        </w:rPr>
        <w:t>navržena</w:t>
      </w:r>
      <w:r w:rsidR="00F1612D" w:rsidRPr="002676D6">
        <w:rPr>
          <w:rFonts w:ascii="Times New Roman" w:hAnsi="Times New Roman" w:cs="Times New Roman"/>
          <w:sz w:val="20"/>
          <w:szCs w:val="20"/>
          <w:lang w:val="cs-CZ"/>
        </w:rPr>
        <w:t xml:space="preserve"> univerzálně. Zdroje jsou investovány do institucí namísto toho, aby byly rozvíjeny možnosti pro lidi se zdravotním postižením žít nezávisle v komunitě. To vedlo k opuštění, závislosti na rodině, institucionalizaci, izolaci a segregaci. </w:t>
      </w:r>
    </w:p>
    <w:p w14:paraId="216BE8CA" w14:textId="77777777" w:rsidR="004762B3" w:rsidRPr="002676D6"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2478A4E5" w14:textId="775C486D" w:rsidR="00F1612D" w:rsidRPr="002676D6" w:rsidRDefault="004762B3" w:rsidP="004762B3">
      <w:pPr>
        <w:pStyle w:val="Listeafsnit1"/>
        <w:spacing w:after="120" w:line="240" w:lineRule="atLeast"/>
        <w:ind w:left="1134" w:right="1134"/>
        <w:jc w:val="both"/>
        <w:rPr>
          <w:rFonts w:ascii="Times New Roman" w:hAnsi="Times New Roman" w:cs="Times New Roman"/>
          <w:sz w:val="20"/>
          <w:szCs w:val="20"/>
          <w:lang w:val="cs-CZ"/>
        </w:rPr>
      </w:pPr>
      <w:r w:rsidRPr="002676D6">
        <w:rPr>
          <w:rFonts w:ascii="Times New Roman" w:hAnsi="Times New Roman" w:cs="Times New Roman"/>
          <w:sz w:val="20"/>
          <w:szCs w:val="20"/>
          <w:lang w:val="cs-CZ"/>
        </w:rPr>
        <w:t>2.</w:t>
      </w:r>
      <w:r w:rsidRPr="002676D6">
        <w:rPr>
          <w:rFonts w:ascii="Times New Roman" w:hAnsi="Times New Roman" w:cs="Times New Roman"/>
          <w:sz w:val="20"/>
          <w:szCs w:val="20"/>
          <w:lang w:val="cs-CZ"/>
        </w:rPr>
        <w:tab/>
      </w:r>
      <w:r w:rsidR="00F1612D" w:rsidRPr="002676D6">
        <w:rPr>
          <w:rFonts w:ascii="Times New Roman" w:hAnsi="Times New Roman" w:cs="Times New Roman"/>
          <w:sz w:val="20"/>
          <w:szCs w:val="20"/>
          <w:lang w:val="cs-CZ"/>
        </w:rPr>
        <w:t xml:space="preserve">Článek 19 Úmluvy o právech osob se zdravotním postižením uznává </w:t>
      </w:r>
      <w:r w:rsidR="002676D6" w:rsidRPr="002676D6">
        <w:rPr>
          <w:rFonts w:ascii="Times New Roman" w:hAnsi="Times New Roman" w:cs="Times New Roman"/>
          <w:sz w:val="20"/>
          <w:szCs w:val="20"/>
          <w:lang w:val="cs-CZ"/>
        </w:rPr>
        <w:t>rovné právo</w:t>
      </w:r>
      <w:r w:rsidR="002676D6">
        <w:rPr>
          <w:rFonts w:ascii="Times New Roman" w:hAnsi="Times New Roman" w:cs="Times New Roman"/>
          <w:sz w:val="20"/>
          <w:szCs w:val="20"/>
          <w:lang w:val="cs-CZ"/>
        </w:rPr>
        <w:t xml:space="preserve"> všech lidí se zdravotním postižen</w:t>
      </w:r>
      <w:r w:rsidR="00BA43F1">
        <w:rPr>
          <w:rFonts w:ascii="Times New Roman" w:hAnsi="Times New Roman" w:cs="Times New Roman"/>
          <w:sz w:val="20"/>
          <w:szCs w:val="20"/>
          <w:lang w:val="cs-CZ"/>
        </w:rPr>
        <w:t>ím žít nezávisle a být začleněn</w:t>
      </w:r>
      <w:r w:rsidR="002676D6">
        <w:rPr>
          <w:rFonts w:ascii="Times New Roman" w:hAnsi="Times New Roman" w:cs="Times New Roman"/>
          <w:sz w:val="20"/>
          <w:szCs w:val="20"/>
          <w:lang w:val="cs-CZ"/>
        </w:rPr>
        <w:t xml:space="preserve"> do komunity, společně se svobodou volby a kontroly svých životů. </w:t>
      </w:r>
      <w:r w:rsidR="00BA43F1">
        <w:rPr>
          <w:rFonts w:ascii="Times New Roman" w:hAnsi="Times New Roman" w:cs="Times New Roman"/>
          <w:sz w:val="20"/>
          <w:szCs w:val="20"/>
          <w:lang w:val="cs-CZ"/>
        </w:rPr>
        <w:t>Jádrem</w:t>
      </w:r>
      <w:r w:rsidR="002676D6">
        <w:rPr>
          <w:rFonts w:ascii="Times New Roman" w:hAnsi="Times New Roman" w:cs="Times New Roman"/>
          <w:sz w:val="20"/>
          <w:szCs w:val="20"/>
          <w:lang w:val="cs-CZ"/>
        </w:rPr>
        <w:t xml:space="preserve"> je základní princip lidských práv, že všechny lidské bytosti se rodí rovné ve své důstojnosti a právech a že všechny životy mají stejnou hodnotu.</w:t>
      </w:r>
    </w:p>
    <w:p w14:paraId="5ED6CFD7" w14:textId="77777777" w:rsidR="004762B3" w:rsidRPr="002676D6"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5BD0B762" w14:textId="6BA8EC86" w:rsidR="002676D6" w:rsidRDefault="004762B3" w:rsidP="004762B3">
      <w:pPr>
        <w:pStyle w:val="Listeafsnit1"/>
        <w:spacing w:after="120" w:line="240" w:lineRule="atLeast"/>
        <w:ind w:left="1134" w:right="1134"/>
        <w:jc w:val="both"/>
        <w:rPr>
          <w:rFonts w:ascii="Times New Roman" w:hAnsi="Times New Roman" w:cs="Times New Roman"/>
          <w:sz w:val="20"/>
          <w:szCs w:val="20"/>
          <w:lang w:val="cs-CZ"/>
        </w:rPr>
      </w:pPr>
      <w:r w:rsidRPr="002676D6">
        <w:rPr>
          <w:rFonts w:ascii="Times New Roman" w:hAnsi="Times New Roman" w:cs="Times New Roman"/>
          <w:sz w:val="20"/>
          <w:szCs w:val="20"/>
          <w:lang w:val="cs-CZ"/>
        </w:rPr>
        <w:t>3.</w:t>
      </w:r>
      <w:r w:rsidRPr="002676D6">
        <w:rPr>
          <w:rFonts w:ascii="Times New Roman" w:hAnsi="Times New Roman" w:cs="Times New Roman"/>
          <w:sz w:val="20"/>
          <w:szCs w:val="20"/>
          <w:lang w:val="cs-CZ"/>
        </w:rPr>
        <w:tab/>
      </w:r>
      <w:r w:rsidR="00BA43F1">
        <w:rPr>
          <w:rFonts w:ascii="Times New Roman" w:hAnsi="Times New Roman" w:cs="Times New Roman"/>
          <w:sz w:val="20"/>
          <w:szCs w:val="20"/>
          <w:lang w:val="cs-CZ"/>
        </w:rPr>
        <w:t>Článek 19 zdůrazňuje, že lidé</w:t>
      </w:r>
      <w:r w:rsidR="002676D6">
        <w:rPr>
          <w:rFonts w:ascii="Times New Roman" w:hAnsi="Times New Roman" w:cs="Times New Roman"/>
          <w:sz w:val="20"/>
          <w:szCs w:val="20"/>
          <w:lang w:val="cs-CZ"/>
        </w:rPr>
        <w:t xml:space="preserve"> se zdravotním postižením jsou subjekty práv a nositeli práv. Základem práva žít nezávisle a být začleněn do komunity jsou obecné principy Úmluvy (čl. 3), především pak respekt k vrozené důstojnosti jednotlivce, jeho autonomii a nezávislosti (čl. 3 (a)), a </w:t>
      </w:r>
      <w:r w:rsidR="008D636E">
        <w:rPr>
          <w:rFonts w:ascii="Times New Roman" w:hAnsi="Times New Roman" w:cs="Times New Roman"/>
          <w:sz w:val="20"/>
          <w:szCs w:val="20"/>
          <w:lang w:val="cs-CZ"/>
        </w:rPr>
        <w:t>plné a účinné zapojení a začlenění do společnosti</w:t>
      </w:r>
      <w:r w:rsidR="002676D6">
        <w:rPr>
          <w:rFonts w:ascii="Times New Roman" w:hAnsi="Times New Roman" w:cs="Times New Roman"/>
          <w:sz w:val="20"/>
          <w:szCs w:val="20"/>
          <w:lang w:val="cs-CZ"/>
        </w:rPr>
        <w:t xml:space="preserve"> (čl. 3 (c)). Další principy zakotvené v Úmluvě jsou rovněž významné pro interpretaci a aplikaci článku 19. </w:t>
      </w:r>
    </w:p>
    <w:p w14:paraId="2B0778C6" w14:textId="77777777" w:rsidR="004762B3" w:rsidRPr="007F64D8" w:rsidRDefault="004762B3" w:rsidP="004762B3">
      <w:pPr>
        <w:pStyle w:val="Listeafsnit1"/>
        <w:spacing w:after="120" w:line="240" w:lineRule="atLeast"/>
        <w:ind w:left="1134" w:right="1134"/>
        <w:jc w:val="both"/>
        <w:rPr>
          <w:rFonts w:ascii="Times New Roman" w:hAnsi="Times New Roman" w:cs="Times New Roman"/>
          <w:sz w:val="20"/>
          <w:szCs w:val="20"/>
        </w:rPr>
      </w:pPr>
    </w:p>
    <w:p w14:paraId="10F74E17" w14:textId="0A7AD3A6" w:rsidR="002676D6" w:rsidRPr="002676D6" w:rsidRDefault="004762B3" w:rsidP="00BB6D74">
      <w:pPr>
        <w:pStyle w:val="Listeafsnit1"/>
        <w:spacing w:after="120" w:line="240" w:lineRule="atLeast"/>
        <w:ind w:left="1134" w:right="1134"/>
        <w:jc w:val="both"/>
        <w:rPr>
          <w:rFonts w:ascii="Times New Roman" w:hAnsi="Times New Roman" w:cs="Times New Roman"/>
          <w:sz w:val="20"/>
          <w:szCs w:val="20"/>
          <w:lang w:val="cs-CZ"/>
        </w:rPr>
      </w:pPr>
      <w:r w:rsidRPr="007F64D8">
        <w:rPr>
          <w:rFonts w:ascii="Times New Roman" w:hAnsi="Times New Roman" w:cs="Times New Roman"/>
          <w:sz w:val="20"/>
          <w:szCs w:val="20"/>
        </w:rPr>
        <w:t>4.</w:t>
      </w:r>
      <w:r w:rsidRPr="007F64D8">
        <w:rPr>
          <w:rFonts w:ascii="Times New Roman" w:hAnsi="Times New Roman" w:cs="Times New Roman"/>
          <w:sz w:val="20"/>
          <w:szCs w:val="20"/>
        </w:rPr>
        <w:tab/>
      </w:r>
      <w:r w:rsidR="002676D6" w:rsidRPr="002676D6">
        <w:rPr>
          <w:rFonts w:ascii="Times New Roman" w:hAnsi="Times New Roman" w:cs="Times New Roman"/>
          <w:sz w:val="20"/>
          <w:szCs w:val="20"/>
          <w:lang w:val="cs-CZ"/>
        </w:rPr>
        <w:t>Nezávislé žití a in</w:t>
      </w:r>
      <w:r w:rsidR="002676D6">
        <w:rPr>
          <w:rFonts w:ascii="Times New Roman" w:hAnsi="Times New Roman" w:cs="Times New Roman"/>
          <w:sz w:val="20"/>
          <w:szCs w:val="20"/>
          <w:lang w:val="cs-CZ"/>
        </w:rPr>
        <w:t xml:space="preserve">kluzivní život v komunitě jsou myšlenkami, které historicky pocházejí od lidí se zdravotním postižením, kteří se domáhají kontroly nad způsobem, jímž chtějí žít, </w:t>
      </w:r>
      <w:r w:rsidR="008D636E">
        <w:rPr>
          <w:rFonts w:ascii="Times New Roman" w:hAnsi="Times New Roman" w:cs="Times New Roman"/>
          <w:sz w:val="20"/>
          <w:szCs w:val="20"/>
          <w:lang w:val="cs-CZ"/>
        </w:rPr>
        <w:t>a to tak</w:t>
      </w:r>
      <w:r w:rsidR="002676D6">
        <w:rPr>
          <w:rFonts w:ascii="Times New Roman" w:hAnsi="Times New Roman" w:cs="Times New Roman"/>
          <w:sz w:val="20"/>
          <w:szCs w:val="20"/>
          <w:lang w:val="cs-CZ"/>
        </w:rPr>
        <w:t xml:space="preserve">, že vytvářejí </w:t>
      </w:r>
      <w:proofErr w:type="spellStart"/>
      <w:r w:rsidR="002676D6">
        <w:rPr>
          <w:rFonts w:ascii="Times New Roman" w:hAnsi="Times New Roman" w:cs="Times New Roman"/>
          <w:sz w:val="20"/>
          <w:szCs w:val="20"/>
          <w:lang w:val="cs-CZ"/>
        </w:rPr>
        <w:t>zeschopňující</w:t>
      </w:r>
      <w:proofErr w:type="spellEnd"/>
      <w:r w:rsidR="002676D6">
        <w:rPr>
          <w:rFonts w:ascii="Times New Roman" w:hAnsi="Times New Roman" w:cs="Times New Roman"/>
          <w:sz w:val="20"/>
          <w:szCs w:val="20"/>
          <w:lang w:val="cs-CZ"/>
        </w:rPr>
        <w:t xml:space="preserve"> formy podpory</w:t>
      </w:r>
      <w:r w:rsidR="008D636E">
        <w:rPr>
          <w:rFonts w:ascii="Times New Roman" w:hAnsi="Times New Roman" w:cs="Times New Roman"/>
          <w:sz w:val="20"/>
          <w:szCs w:val="20"/>
          <w:lang w:val="cs-CZ"/>
        </w:rPr>
        <w:t>,</w:t>
      </w:r>
      <w:r w:rsidR="002676D6">
        <w:rPr>
          <w:rFonts w:ascii="Times New Roman" w:hAnsi="Times New Roman" w:cs="Times New Roman"/>
          <w:sz w:val="20"/>
          <w:szCs w:val="20"/>
          <w:lang w:val="cs-CZ"/>
        </w:rPr>
        <w:t xml:space="preserve"> jako je osobní asistence</w:t>
      </w:r>
      <w:r w:rsidR="008D636E">
        <w:rPr>
          <w:rFonts w:ascii="Times New Roman" w:hAnsi="Times New Roman" w:cs="Times New Roman"/>
          <w:sz w:val="20"/>
          <w:szCs w:val="20"/>
          <w:lang w:val="cs-CZ"/>
        </w:rPr>
        <w:t>,</w:t>
      </w:r>
      <w:r w:rsidR="002676D6">
        <w:rPr>
          <w:rFonts w:ascii="Times New Roman" w:hAnsi="Times New Roman" w:cs="Times New Roman"/>
          <w:sz w:val="20"/>
          <w:szCs w:val="20"/>
          <w:lang w:val="cs-CZ"/>
        </w:rPr>
        <w:t xml:space="preserve"> a vyžadují, aby komunitní zařízení odpovídala </w:t>
      </w:r>
      <w:r w:rsidR="008D636E">
        <w:rPr>
          <w:rFonts w:ascii="Times New Roman" w:hAnsi="Times New Roman" w:cs="Times New Roman"/>
          <w:sz w:val="20"/>
          <w:szCs w:val="20"/>
          <w:lang w:val="cs-CZ"/>
        </w:rPr>
        <w:t>neodvolatelnému právu na univerzální design</w:t>
      </w:r>
      <w:r w:rsidR="002676D6">
        <w:rPr>
          <w:rFonts w:ascii="Times New Roman" w:hAnsi="Times New Roman" w:cs="Times New Roman"/>
          <w:sz w:val="20"/>
          <w:szCs w:val="20"/>
          <w:lang w:val="cs-CZ"/>
        </w:rPr>
        <w:t xml:space="preserve">.  </w:t>
      </w:r>
    </w:p>
    <w:p w14:paraId="1DF25EB0" w14:textId="77777777" w:rsidR="004762B3" w:rsidRPr="002676D6"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21A12B08" w14:textId="376ED913" w:rsidR="002676D6" w:rsidRDefault="004762B3" w:rsidP="004762B3">
      <w:pPr>
        <w:pStyle w:val="Listeafsnit1"/>
        <w:spacing w:after="120" w:line="240" w:lineRule="atLeast"/>
        <w:ind w:left="1134" w:right="1134"/>
        <w:jc w:val="both"/>
        <w:rPr>
          <w:rFonts w:ascii="Times New Roman" w:hAnsi="Times New Roman" w:cs="Times New Roman"/>
          <w:sz w:val="20"/>
          <w:szCs w:val="20"/>
          <w:lang w:val="cs-CZ"/>
        </w:rPr>
      </w:pPr>
      <w:r w:rsidRPr="002676D6">
        <w:rPr>
          <w:rFonts w:ascii="Times New Roman" w:hAnsi="Times New Roman" w:cs="Times New Roman"/>
          <w:sz w:val="20"/>
          <w:szCs w:val="20"/>
          <w:lang w:val="cs-CZ"/>
        </w:rPr>
        <w:t>5.</w:t>
      </w:r>
      <w:r w:rsidR="002676D6">
        <w:rPr>
          <w:rFonts w:ascii="Times New Roman" w:hAnsi="Times New Roman" w:cs="Times New Roman"/>
          <w:sz w:val="20"/>
          <w:szCs w:val="20"/>
          <w:lang w:val="cs-CZ"/>
        </w:rPr>
        <w:tab/>
        <w:t>V preambuli k Úmluvě smluvní státy uznávají, že mnoho lidí se zdravotním postižením žije v</w:t>
      </w:r>
      <w:r w:rsidR="00E51AEF">
        <w:rPr>
          <w:rFonts w:ascii="Times New Roman" w:hAnsi="Times New Roman" w:cs="Times New Roman"/>
          <w:sz w:val="20"/>
          <w:szCs w:val="20"/>
          <w:lang w:val="cs-CZ"/>
        </w:rPr>
        <w:t xml:space="preserve"> chudobě, a zdůrazňují potřebu řešit dopad chudoby. Cena sociálního vyloučení je vysoká a zachovává závislost, a tudíž zasahuje do svobody jednotlivce. Sociální vyloučení rovněž zakládá stigma, segregaci a diskriminaci, které mohou vést k násilí, vykořisťování, zneužívání, a to vedle negativních stereotypů, které přiživují cyklus marginalizace lidí se zdravotním postižením. Politiky a konkrétní akční plány sociální inkluze lidí se zdravotním postižením, a to včetně prosazování práva na nezávislý život (článek 19), představují </w:t>
      </w:r>
      <w:r w:rsidR="008D636E">
        <w:rPr>
          <w:rFonts w:ascii="Times New Roman" w:hAnsi="Times New Roman" w:cs="Times New Roman"/>
          <w:sz w:val="20"/>
          <w:szCs w:val="20"/>
          <w:lang w:val="cs-CZ"/>
        </w:rPr>
        <w:t>nákladově</w:t>
      </w:r>
      <w:r w:rsidR="00E51AEF">
        <w:rPr>
          <w:rFonts w:ascii="Times New Roman" w:hAnsi="Times New Roman" w:cs="Times New Roman"/>
          <w:sz w:val="20"/>
          <w:szCs w:val="20"/>
          <w:lang w:val="cs-CZ"/>
        </w:rPr>
        <w:t xml:space="preserve"> účinný mechanismus</w:t>
      </w:r>
      <w:r w:rsidR="008D636E">
        <w:rPr>
          <w:rFonts w:ascii="Times New Roman" w:hAnsi="Times New Roman" w:cs="Times New Roman"/>
          <w:sz w:val="20"/>
          <w:szCs w:val="20"/>
          <w:lang w:val="cs-CZ"/>
        </w:rPr>
        <w:t>,</w:t>
      </w:r>
      <w:r w:rsidR="00E51AEF">
        <w:rPr>
          <w:rFonts w:ascii="Times New Roman" w:hAnsi="Times New Roman" w:cs="Times New Roman"/>
          <w:sz w:val="20"/>
          <w:szCs w:val="20"/>
          <w:lang w:val="cs-CZ"/>
        </w:rPr>
        <w:t xml:space="preserve"> jak zajistit realizaci práv, udržitelný rozvoj a snižování chudoby.</w:t>
      </w:r>
      <w:r w:rsidRPr="002676D6">
        <w:rPr>
          <w:rFonts w:ascii="Times New Roman" w:hAnsi="Times New Roman" w:cs="Times New Roman"/>
          <w:sz w:val="20"/>
          <w:szCs w:val="20"/>
          <w:lang w:val="cs-CZ"/>
        </w:rPr>
        <w:tab/>
      </w:r>
    </w:p>
    <w:p w14:paraId="5DD77AE1" w14:textId="77777777" w:rsidR="004762B3" w:rsidRPr="007F64D8" w:rsidRDefault="004762B3" w:rsidP="004762B3">
      <w:pPr>
        <w:pStyle w:val="Listeafsnit1"/>
        <w:spacing w:after="120" w:line="240" w:lineRule="atLeast"/>
        <w:ind w:left="1134" w:right="1134"/>
        <w:jc w:val="both"/>
        <w:rPr>
          <w:rFonts w:ascii="Times New Roman" w:hAnsi="Times New Roman" w:cs="Times New Roman"/>
          <w:sz w:val="20"/>
          <w:szCs w:val="20"/>
        </w:rPr>
      </w:pPr>
    </w:p>
    <w:p w14:paraId="7449943E" w14:textId="487D2D17" w:rsidR="00E51AEF" w:rsidRPr="00E51AEF" w:rsidRDefault="004762B3" w:rsidP="004762B3">
      <w:pPr>
        <w:pStyle w:val="Listeafsnit1"/>
        <w:spacing w:after="120" w:line="240" w:lineRule="atLeast"/>
        <w:ind w:left="1134" w:right="1134"/>
        <w:jc w:val="both"/>
        <w:rPr>
          <w:rFonts w:ascii="Times New Roman" w:hAnsi="Times New Roman" w:cs="Times New Roman"/>
          <w:sz w:val="20"/>
          <w:szCs w:val="20"/>
          <w:lang w:val="cs-CZ"/>
        </w:rPr>
      </w:pPr>
      <w:r w:rsidRPr="007F64D8">
        <w:rPr>
          <w:rFonts w:ascii="Times New Roman" w:hAnsi="Times New Roman" w:cs="Times New Roman"/>
          <w:sz w:val="20"/>
          <w:szCs w:val="20"/>
        </w:rPr>
        <w:lastRenderedPageBreak/>
        <w:t>6.</w:t>
      </w:r>
      <w:r w:rsidR="00E51AEF">
        <w:rPr>
          <w:rFonts w:ascii="Times New Roman" w:hAnsi="Times New Roman" w:cs="Times New Roman"/>
          <w:sz w:val="20"/>
          <w:szCs w:val="20"/>
        </w:rPr>
        <w:tab/>
      </w:r>
      <w:r w:rsidR="00E51AEF" w:rsidRPr="00E51AEF">
        <w:rPr>
          <w:rFonts w:ascii="Times New Roman" w:hAnsi="Times New Roman" w:cs="Times New Roman"/>
          <w:sz w:val="20"/>
          <w:szCs w:val="20"/>
          <w:lang w:val="cs-CZ"/>
        </w:rPr>
        <w:t xml:space="preserve">Cílem </w:t>
      </w:r>
      <w:r w:rsidRPr="00E51AEF">
        <w:rPr>
          <w:rFonts w:ascii="Times New Roman" w:hAnsi="Times New Roman" w:cs="Times New Roman"/>
          <w:sz w:val="20"/>
          <w:szCs w:val="20"/>
          <w:lang w:val="cs-CZ"/>
        </w:rPr>
        <w:tab/>
      </w:r>
      <w:r w:rsidR="00E51AEF">
        <w:rPr>
          <w:rFonts w:ascii="Times New Roman" w:hAnsi="Times New Roman" w:cs="Times New Roman"/>
          <w:sz w:val="20"/>
          <w:szCs w:val="20"/>
          <w:lang w:val="cs-CZ"/>
        </w:rPr>
        <w:t>předkládaného obecného komentáře je pomoci smluvním stranám při implementaci článku 19 a naplňování jejich závazků vyplývajících z Úmluvy. Předně se věnuje závazkům k</w:t>
      </w:r>
      <w:r w:rsidR="008D636E">
        <w:rPr>
          <w:rFonts w:ascii="Times New Roman" w:hAnsi="Times New Roman" w:cs="Times New Roman"/>
          <w:sz w:val="20"/>
          <w:szCs w:val="20"/>
          <w:lang w:val="cs-CZ"/>
        </w:rPr>
        <w:t> </w:t>
      </w:r>
      <w:r w:rsidR="00E51AEF">
        <w:rPr>
          <w:rFonts w:ascii="Times New Roman" w:hAnsi="Times New Roman" w:cs="Times New Roman"/>
          <w:sz w:val="20"/>
          <w:szCs w:val="20"/>
          <w:lang w:val="cs-CZ"/>
        </w:rPr>
        <w:t>zajištění</w:t>
      </w:r>
      <w:r w:rsidR="008D636E">
        <w:rPr>
          <w:rFonts w:ascii="Times New Roman" w:hAnsi="Times New Roman" w:cs="Times New Roman"/>
          <w:sz w:val="20"/>
          <w:szCs w:val="20"/>
          <w:lang w:val="cs-CZ"/>
        </w:rPr>
        <w:t xml:space="preserve"> toho</w:t>
      </w:r>
      <w:r w:rsidR="00E51AEF">
        <w:rPr>
          <w:rFonts w:ascii="Times New Roman" w:hAnsi="Times New Roman" w:cs="Times New Roman"/>
          <w:sz w:val="20"/>
          <w:szCs w:val="20"/>
          <w:lang w:val="cs-CZ"/>
        </w:rPr>
        <w:t>, že každý jednotlivec bude moci realizovat své právo žít nezávisle a být začleněn do komunity, avšak vztahuje se rovněž k dalším ustanovením. Článek 19 hraje významnou</w:t>
      </w:r>
      <w:r w:rsidR="00130352">
        <w:rPr>
          <w:rFonts w:ascii="Times New Roman" w:hAnsi="Times New Roman" w:cs="Times New Roman"/>
          <w:sz w:val="20"/>
          <w:szCs w:val="20"/>
          <w:lang w:val="cs-CZ"/>
        </w:rPr>
        <w:t xml:space="preserve"> roli jako jeden z článků Úmluvy s nejširším rozpětím i nejvíce průsečíkovou povahou a pro implementaci Úmluvy napříč všemi články je považován za integrální.</w:t>
      </w:r>
    </w:p>
    <w:p w14:paraId="30E25343" w14:textId="77777777" w:rsidR="004762B3" w:rsidRPr="00E51AEF"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7AB5B9CD" w14:textId="7B6F198B" w:rsidR="00130352" w:rsidRDefault="004762B3" w:rsidP="00130352">
      <w:pPr>
        <w:pStyle w:val="Listeafsnit1"/>
        <w:spacing w:after="120" w:line="240" w:lineRule="atLeast"/>
        <w:ind w:left="1134" w:right="1134"/>
        <w:jc w:val="both"/>
        <w:rPr>
          <w:rFonts w:ascii="Times New Roman" w:hAnsi="Times New Roman" w:cs="Times New Roman"/>
          <w:sz w:val="20"/>
          <w:szCs w:val="20"/>
          <w:lang w:val="cs-CZ"/>
        </w:rPr>
      </w:pPr>
      <w:r w:rsidRPr="00E51AEF">
        <w:rPr>
          <w:rFonts w:ascii="Times New Roman" w:hAnsi="Times New Roman" w:cs="Times New Roman"/>
          <w:sz w:val="20"/>
          <w:szCs w:val="20"/>
          <w:lang w:val="cs-CZ"/>
        </w:rPr>
        <w:t>7.</w:t>
      </w:r>
      <w:r w:rsidRPr="00E51AEF">
        <w:rPr>
          <w:rFonts w:ascii="Times New Roman" w:hAnsi="Times New Roman" w:cs="Times New Roman"/>
          <w:sz w:val="20"/>
          <w:szCs w:val="20"/>
          <w:lang w:val="cs-CZ"/>
        </w:rPr>
        <w:tab/>
      </w:r>
      <w:r w:rsidR="00130352">
        <w:rPr>
          <w:rFonts w:ascii="Times New Roman" w:hAnsi="Times New Roman" w:cs="Times New Roman"/>
          <w:sz w:val="20"/>
          <w:szCs w:val="20"/>
          <w:lang w:val="cs-CZ"/>
        </w:rPr>
        <w:t>Článek 19 zahrnuje občanská a politická, stejně jako hospodářská, sociální a kulturní práva a je příkladem vzájemné provázanosti, závislosti a nedělitelnosti lidských práv. Právo na nezávislý způsob života a být začleněn do komunity může být realizováno jedině, pokud všechna hospodářská, občanská, sociální a kulturní práva zakotvená v této normě budou naplněna. Mezinárodní právo lidských práv zakládá závazky okamžité povahy a jiné, které mohou být realizovány postupně</w:t>
      </w:r>
      <w:r w:rsidRPr="00E51AEF">
        <w:rPr>
          <w:rFonts w:ascii="Times New Roman" w:hAnsi="Times New Roman"/>
          <w:sz w:val="20"/>
          <w:szCs w:val="20"/>
          <w:vertAlign w:val="superscript"/>
          <w:lang w:val="cs-CZ"/>
        </w:rPr>
        <w:footnoteReference w:id="2"/>
      </w:r>
      <w:r w:rsidRPr="00E51AEF">
        <w:rPr>
          <w:rFonts w:ascii="Times New Roman" w:hAnsi="Times New Roman" w:cs="Times New Roman"/>
          <w:sz w:val="20"/>
          <w:szCs w:val="20"/>
          <w:lang w:val="cs-CZ"/>
        </w:rPr>
        <w:t xml:space="preserve">. </w:t>
      </w:r>
      <w:r w:rsidR="00130352">
        <w:rPr>
          <w:rFonts w:ascii="Times New Roman" w:hAnsi="Times New Roman" w:cs="Times New Roman"/>
          <w:sz w:val="20"/>
          <w:szCs w:val="20"/>
          <w:lang w:val="cs-CZ"/>
        </w:rPr>
        <w:t>Plná realizace rovněž vyžaduje strukturální změny, u nichž může být nezbytné přijímat je ve fázích, a to bez ohledu na skutečnost, zda se týkají občanský</w:t>
      </w:r>
      <w:r w:rsidR="008D636E">
        <w:rPr>
          <w:rFonts w:ascii="Times New Roman" w:hAnsi="Times New Roman" w:cs="Times New Roman"/>
          <w:sz w:val="20"/>
          <w:szCs w:val="20"/>
          <w:lang w:val="cs-CZ"/>
        </w:rPr>
        <w:t>ch a politických nebo sociálních</w:t>
      </w:r>
      <w:r w:rsidR="00130352">
        <w:rPr>
          <w:rFonts w:ascii="Times New Roman" w:hAnsi="Times New Roman" w:cs="Times New Roman"/>
          <w:sz w:val="20"/>
          <w:szCs w:val="20"/>
          <w:lang w:val="cs-CZ"/>
        </w:rPr>
        <w:t>, hospodářských a kulturních práv.</w:t>
      </w:r>
    </w:p>
    <w:p w14:paraId="3CE384A5" w14:textId="77777777" w:rsidR="004762B3" w:rsidRPr="00E51AEF"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61438473" w14:textId="61E26E7F" w:rsidR="00130352" w:rsidRDefault="004762B3" w:rsidP="004762B3">
      <w:pPr>
        <w:pStyle w:val="Listeafsnit1"/>
        <w:spacing w:after="120" w:line="240" w:lineRule="atLeast"/>
        <w:ind w:left="1134" w:right="1134"/>
        <w:jc w:val="both"/>
        <w:rPr>
          <w:rFonts w:ascii="Times New Roman" w:hAnsi="Times New Roman" w:cs="Times New Roman"/>
          <w:sz w:val="20"/>
          <w:szCs w:val="20"/>
          <w:lang w:val="cs-CZ"/>
        </w:rPr>
      </w:pPr>
      <w:r w:rsidRPr="00E51AEF">
        <w:rPr>
          <w:rFonts w:ascii="Times New Roman" w:hAnsi="Times New Roman" w:cs="Times New Roman"/>
          <w:sz w:val="20"/>
          <w:szCs w:val="20"/>
          <w:lang w:val="cs-CZ"/>
        </w:rPr>
        <w:t>8.</w:t>
      </w:r>
      <w:r w:rsidRPr="00E51AEF">
        <w:rPr>
          <w:rFonts w:ascii="Times New Roman" w:hAnsi="Times New Roman" w:cs="Times New Roman"/>
          <w:sz w:val="20"/>
          <w:szCs w:val="20"/>
          <w:lang w:val="cs-CZ"/>
        </w:rPr>
        <w:tab/>
      </w:r>
      <w:r w:rsidR="00130352">
        <w:rPr>
          <w:rFonts w:ascii="Times New Roman" w:hAnsi="Times New Roman" w:cs="Times New Roman"/>
          <w:sz w:val="20"/>
          <w:szCs w:val="20"/>
          <w:lang w:val="cs-CZ"/>
        </w:rPr>
        <w:t xml:space="preserve">Článek 19 odráží rozmanitost kulturních přístupů k lidskému žití a zajišťuje, že jeho obsah nebude zneužit směrem k určitým kulturním normám a hodnotám. Nezávislý život a být začleněn do komunity jsou kontexty lidského žití napříč světem, aplikované v kontextu zdravotního postižení. Znamenají výkon svobody volby a kontroly nad rozhodnutími, která dopadají na život jednotlivce s maximální mírou sebeurčení a vzájemné závislosti v rámci společnosti. Realizace práva musí být účinná v různých hospodářských, společenských, kulturních a politických kontextech. Právo žít nezávisle a být začleněn do komunity </w:t>
      </w:r>
      <w:r w:rsidR="00C16C06">
        <w:rPr>
          <w:rFonts w:ascii="Times New Roman" w:hAnsi="Times New Roman" w:cs="Times New Roman"/>
          <w:sz w:val="20"/>
          <w:szCs w:val="20"/>
          <w:lang w:val="cs-CZ"/>
        </w:rPr>
        <w:t xml:space="preserve">náleží všem lidem se zdravotním postižením, bez ohledu na jejich rasu, barvu, původ, pohlaví, těhotenství a mateřství, občanskou, rodinnou a profesní situaci, </w:t>
      </w:r>
      <w:r w:rsidR="008D636E">
        <w:rPr>
          <w:rFonts w:ascii="Times New Roman" w:hAnsi="Times New Roman" w:cs="Times New Roman"/>
          <w:sz w:val="20"/>
          <w:szCs w:val="20"/>
          <w:lang w:val="cs-CZ"/>
        </w:rPr>
        <w:t>genderovou</w:t>
      </w:r>
      <w:r w:rsidR="00C16C06">
        <w:rPr>
          <w:rFonts w:ascii="Times New Roman" w:hAnsi="Times New Roman" w:cs="Times New Roman"/>
          <w:sz w:val="20"/>
          <w:szCs w:val="20"/>
          <w:lang w:val="cs-CZ"/>
        </w:rPr>
        <w:t xml:space="preserve"> identitu, sexuální orientaci, jazyk, náboženství, politické a jiné názory, národní, etnický či společenský původ, příslušnost k původnímu obyvatelstvu, status migranta, žadatele o azyl nebo uprchlíka, příslušnost k národní menšině, ekonomické či vlastnické postavení, zdravotní stav, genetické nebo jiné předpoklady nemocí, rodný status, věk nebo jiné postavení. </w:t>
      </w:r>
    </w:p>
    <w:p w14:paraId="4CCB6B92" w14:textId="77777777" w:rsidR="004762B3" w:rsidRPr="00E51AEF"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32EAABDD" w14:textId="4FFA1EF0" w:rsidR="004762B3" w:rsidRPr="00E51AEF" w:rsidRDefault="006E5CE3" w:rsidP="006E5CE3">
      <w:pPr>
        <w:pStyle w:val="Listeafsnit1"/>
        <w:spacing w:after="120" w:line="240" w:lineRule="atLeast"/>
        <w:ind w:left="1134" w:right="1134"/>
        <w:jc w:val="both"/>
        <w:rPr>
          <w:rFonts w:ascii="Times New Roman" w:hAnsi="Times New Roman" w:cs="Times New Roman"/>
          <w:sz w:val="20"/>
          <w:szCs w:val="20"/>
          <w:lang w:val="cs-CZ"/>
        </w:rPr>
      </w:pPr>
      <w:r>
        <w:rPr>
          <w:rFonts w:ascii="Times New Roman" w:hAnsi="Times New Roman" w:cs="Times New Roman"/>
          <w:sz w:val="20"/>
          <w:szCs w:val="20"/>
          <w:lang w:val="cs-CZ"/>
        </w:rPr>
        <w:t>9</w:t>
      </w:r>
      <w:r w:rsidR="004762B3" w:rsidRPr="00E51AEF">
        <w:rPr>
          <w:rFonts w:ascii="Times New Roman" w:hAnsi="Times New Roman" w:cs="Times New Roman"/>
          <w:sz w:val="20"/>
          <w:szCs w:val="20"/>
          <w:lang w:val="cs-CZ"/>
        </w:rPr>
        <w:t>.</w:t>
      </w:r>
      <w:r w:rsidR="004762B3" w:rsidRPr="00E51AEF">
        <w:rPr>
          <w:rFonts w:ascii="Times New Roman" w:hAnsi="Times New Roman" w:cs="Times New Roman"/>
          <w:sz w:val="20"/>
          <w:szCs w:val="20"/>
          <w:lang w:val="cs-CZ"/>
        </w:rPr>
        <w:tab/>
      </w:r>
      <w:r w:rsidR="00C16C06">
        <w:rPr>
          <w:rFonts w:ascii="Times New Roman" w:hAnsi="Times New Roman" w:cs="Times New Roman"/>
          <w:sz w:val="20"/>
          <w:szCs w:val="20"/>
          <w:lang w:val="cs-CZ"/>
        </w:rPr>
        <w:t>Právo podle článku 19 je v mezinárodním právu lidských práv hluboce zakořeněno. Všeobecná deklarace lidských práv zdůrazňuje v článku 29 (1) vzájemnou závislost osobního rozvoje jednotlivce a společenských aspektů bytí jako součásti komunity: „Každý má povinnosti vůči společnosti, v níž jediné může volně a plně rozvinout svou osobnost.“ Článek 19 má své kořeny v občanských a politických stejně jako hospodářských, so</w:t>
      </w:r>
      <w:r>
        <w:rPr>
          <w:rFonts w:ascii="Times New Roman" w:hAnsi="Times New Roman" w:cs="Times New Roman"/>
          <w:sz w:val="20"/>
          <w:szCs w:val="20"/>
          <w:lang w:val="cs-CZ"/>
        </w:rPr>
        <w:t>ciálních a kulturních právech: Právo</w:t>
      </w:r>
      <w:r w:rsidR="00C16C06">
        <w:rPr>
          <w:rFonts w:ascii="Times New Roman" w:hAnsi="Times New Roman" w:cs="Times New Roman"/>
          <w:sz w:val="20"/>
          <w:szCs w:val="20"/>
          <w:lang w:val="cs-CZ"/>
        </w:rPr>
        <w:t xml:space="preserve"> na svobodu pohybu a právo zvolit si místo svého pobytu (čl. 12 Mezinárodního paktu o občanskýc</w:t>
      </w:r>
      <w:r>
        <w:rPr>
          <w:rFonts w:ascii="Times New Roman" w:hAnsi="Times New Roman" w:cs="Times New Roman"/>
          <w:sz w:val="20"/>
          <w:szCs w:val="20"/>
          <w:lang w:val="cs-CZ"/>
        </w:rPr>
        <w:t>h a politických právech) a právo</w:t>
      </w:r>
      <w:r w:rsidR="00C16C06">
        <w:rPr>
          <w:rFonts w:ascii="Times New Roman" w:hAnsi="Times New Roman" w:cs="Times New Roman"/>
          <w:sz w:val="20"/>
          <w:szCs w:val="20"/>
          <w:lang w:val="cs-CZ"/>
        </w:rPr>
        <w:t xml:space="preserve"> na přiměřenou životní úroveň, včetně odpovídajícího ošacení, stravy a bydlení (čl. 11 Mezinárodního paktu o hospodářských, sociálních a kulturních právech) a </w:t>
      </w:r>
      <w:r w:rsidR="00C35322">
        <w:rPr>
          <w:rFonts w:ascii="Times New Roman" w:hAnsi="Times New Roman" w:cs="Times New Roman"/>
          <w:sz w:val="20"/>
          <w:szCs w:val="20"/>
          <w:lang w:val="cs-CZ"/>
        </w:rPr>
        <w:t>právo</w:t>
      </w:r>
      <w:r>
        <w:rPr>
          <w:rFonts w:ascii="Times New Roman" w:hAnsi="Times New Roman" w:cs="Times New Roman"/>
          <w:sz w:val="20"/>
          <w:szCs w:val="20"/>
          <w:lang w:val="cs-CZ"/>
        </w:rPr>
        <w:t xml:space="preserve"> na základní komunikaci tvoří základ práva žít nezávisle a být začleněn do komunity. Svoboda pohybu a odpovídající životní úroveň, stejně jako schopnost porozumět a nalézt porozumění pro své preference, volby a rozhodnutí, tvoří neodmyslitelné podmínky pro lidskou důstojnost a svobodný rozvoj člověka</w:t>
      </w:r>
      <w:r w:rsidR="004762B3" w:rsidRPr="00E51AEF">
        <w:rPr>
          <w:rFonts w:ascii="Times New Roman" w:hAnsi="Times New Roman" w:cs="Times New Roman"/>
          <w:sz w:val="20"/>
          <w:szCs w:val="20"/>
          <w:lang w:val="cs-CZ"/>
        </w:rPr>
        <w:t>.</w:t>
      </w:r>
      <w:r w:rsidR="004762B3" w:rsidRPr="00E51AEF">
        <w:rPr>
          <w:rStyle w:val="Znakapoznpodarou"/>
          <w:rFonts w:cs="Times New Roman"/>
          <w:sz w:val="20"/>
          <w:szCs w:val="20"/>
          <w:lang w:val="cs-CZ"/>
        </w:rPr>
        <w:footnoteReference w:id="3"/>
      </w:r>
      <w:r w:rsidR="004762B3" w:rsidRPr="00E51AEF">
        <w:rPr>
          <w:rFonts w:ascii="Times New Roman" w:hAnsi="Times New Roman" w:cs="Times New Roman"/>
          <w:sz w:val="20"/>
          <w:szCs w:val="20"/>
          <w:lang w:val="cs-CZ"/>
        </w:rPr>
        <w:t xml:space="preserve"> </w:t>
      </w:r>
    </w:p>
    <w:p w14:paraId="6FCFFF5F" w14:textId="77777777" w:rsidR="004762B3" w:rsidRPr="00E51AEF" w:rsidRDefault="004762B3" w:rsidP="004762B3">
      <w:pPr>
        <w:pStyle w:val="Listeafsnit1"/>
        <w:spacing w:after="120" w:line="240" w:lineRule="atLeast"/>
        <w:ind w:left="1134" w:right="1134"/>
        <w:jc w:val="both"/>
        <w:rPr>
          <w:rFonts w:ascii="Times New Roman" w:hAnsi="Times New Roman" w:cs="Times New Roman"/>
          <w:sz w:val="20"/>
          <w:szCs w:val="20"/>
          <w:lang w:val="cs-CZ"/>
        </w:rPr>
      </w:pPr>
    </w:p>
    <w:p w14:paraId="685E95A1" w14:textId="0CCF4488" w:rsidR="006E5CE3" w:rsidRDefault="004762B3" w:rsidP="004762B3">
      <w:pPr>
        <w:pStyle w:val="Listeafsnit1"/>
        <w:spacing w:after="120" w:line="240" w:lineRule="atLeast"/>
        <w:ind w:left="1134" w:right="1134"/>
        <w:jc w:val="both"/>
        <w:rPr>
          <w:rFonts w:ascii="Times New Roman" w:hAnsi="Times New Roman" w:cs="Times New Roman"/>
          <w:sz w:val="20"/>
          <w:szCs w:val="20"/>
          <w:lang w:val="cs-CZ"/>
        </w:rPr>
      </w:pPr>
      <w:r w:rsidRPr="00E51AEF">
        <w:rPr>
          <w:rFonts w:ascii="Times New Roman" w:hAnsi="Times New Roman" w:cs="Times New Roman"/>
          <w:sz w:val="20"/>
          <w:szCs w:val="20"/>
          <w:lang w:val="cs-CZ"/>
        </w:rPr>
        <w:t>10.</w:t>
      </w:r>
      <w:r w:rsidRPr="00E51AEF">
        <w:rPr>
          <w:rFonts w:ascii="Times New Roman" w:hAnsi="Times New Roman" w:cs="Times New Roman"/>
          <w:sz w:val="20"/>
          <w:szCs w:val="20"/>
          <w:lang w:val="cs-CZ"/>
        </w:rPr>
        <w:tab/>
      </w:r>
      <w:r w:rsidR="006E5CE3">
        <w:rPr>
          <w:rFonts w:ascii="Times New Roman" w:hAnsi="Times New Roman" w:cs="Times New Roman"/>
          <w:sz w:val="20"/>
          <w:szCs w:val="20"/>
          <w:lang w:val="cs-CZ"/>
        </w:rPr>
        <w:t>Úmluva o odstranění všech forem diskriminace žen zdůrazňuje rovnost žen a můžu a odsuzuje diskriminaci žen ve všech jejích formách (čl. 1). Úmluva opětovně zdůrazňuje rovnost mezi ženami a muži v právních záležitostech, včetně způsobilosti</w:t>
      </w:r>
      <w:r w:rsidR="00C35322">
        <w:rPr>
          <w:rFonts w:ascii="Times New Roman" w:hAnsi="Times New Roman" w:cs="Times New Roman"/>
          <w:sz w:val="20"/>
          <w:szCs w:val="20"/>
          <w:lang w:val="cs-CZ"/>
        </w:rPr>
        <w:t xml:space="preserve"> k právním jednáním</w:t>
      </w:r>
      <w:r w:rsidR="006E5CE3">
        <w:rPr>
          <w:rFonts w:ascii="Times New Roman" w:hAnsi="Times New Roman" w:cs="Times New Roman"/>
          <w:sz w:val="20"/>
          <w:szCs w:val="20"/>
          <w:lang w:val="cs-CZ"/>
        </w:rPr>
        <w:t xml:space="preserve"> a možností tuto způsobilost vykonávat (čl. 15 (2)). To rovněž vyžaduje, aby smluvní státy uznaly stejná práva, pokud jde o zákony vztahující se k pohybu lidí a svobodě zvolit si místo svého pobytu a svého domova (čl. 15 (4)). </w:t>
      </w:r>
    </w:p>
    <w:p w14:paraId="14F835BD" w14:textId="77777777" w:rsidR="004762B3" w:rsidRPr="007F64D8" w:rsidRDefault="004762B3" w:rsidP="004762B3">
      <w:pPr>
        <w:pStyle w:val="Listeafsnit1"/>
        <w:spacing w:after="120" w:line="240" w:lineRule="atLeast"/>
        <w:ind w:left="1134" w:right="1134"/>
        <w:rPr>
          <w:rFonts w:ascii="Times New Roman" w:hAnsi="Times New Roman" w:cs="Times New Roman"/>
          <w:sz w:val="20"/>
          <w:szCs w:val="20"/>
        </w:rPr>
      </w:pPr>
    </w:p>
    <w:p w14:paraId="3A221AC9" w14:textId="04112AA0" w:rsidR="00E875B7" w:rsidRDefault="004762B3" w:rsidP="00605EB7">
      <w:pPr>
        <w:pStyle w:val="Listeafsnit1"/>
        <w:spacing w:after="120"/>
        <w:ind w:left="1134" w:right="1134"/>
        <w:jc w:val="both"/>
        <w:rPr>
          <w:rFonts w:ascii="Times New Roman" w:hAnsi="Times New Roman" w:cs="Times New Roman"/>
          <w:sz w:val="20"/>
          <w:szCs w:val="20"/>
          <w:lang w:val="cs-CZ"/>
        </w:rPr>
      </w:pPr>
      <w:r w:rsidRPr="007F64D8">
        <w:rPr>
          <w:rFonts w:ascii="Times New Roman" w:hAnsi="Times New Roman" w:cs="Times New Roman"/>
          <w:sz w:val="20"/>
          <w:szCs w:val="20"/>
        </w:rPr>
        <w:lastRenderedPageBreak/>
        <w:t>11.</w:t>
      </w:r>
      <w:r w:rsidR="00E875B7">
        <w:rPr>
          <w:rFonts w:ascii="Times New Roman" w:hAnsi="Times New Roman" w:cs="Times New Roman"/>
          <w:sz w:val="20"/>
          <w:szCs w:val="20"/>
        </w:rPr>
        <w:tab/>
      </w:r>
      <w:r w:rsidR="00E875B7" w:rsidRPr="00E875B7">
        <w:rPr>
          <w:rFonts w:ascii="Times New Roman" w:hAnsi="Times New Roman" w:cs="Times New Roman"/>
          <w:sz w:val="20"/>
          <w:szCs w:val="20"/>
          <w:lang w:val="cs-CZ"/>
        </w:rPr>
        <w:t>Článek 9 (1) Úmluvy o právech dítěte</w:t>
      </w:r>
      <w:r w:rsidR="00E875B7">
        <w:rPr>
          <w:rFonts w:ascii="Times New Roman" w:hAnsi="Times New Roman" w:cs="Times New Roman"/>
          <w:sz w:val="20"/>
          <w:szCs w:val="20"/>
          <w:lang w:val="cs-CZ"/>
        </w:rPr>
        <w:t xml:space="preserve"> zavazuje smluvní státy „</w:t>
      </w:r>
      <w:r w:rsidR="00350414">
        <w:rPr>
          <w:rFonts w:ascii="Times New Roman" w:hAnsi="Times New Roman" w:cs="Times New Roman"/>
          <w:sz w:val="20"/>
          <w:szCs w:val="20"/>
          <w:lang w:val="cs-CZ"/>
        </w:rPr>
        <w:t>zabezpečit, aby dítě nemohlo být odděleno od svých rodičů proti jejich vůli, ledaže příslušné úřady na základě soudního rozhodnutí a v souladu s platným právem a v příslušném řízení určí, že takové oddělení je potřebné v nejlepším zájmu dítěte.“ Státy, které jsou smluvními stranami této Úmluvy, „musí poskytnout odpovídající pomoc rodičům a právním opatrovníkům při výkonu jejich povinností souvisejících s péčí o dítě“, jak to vyplývá z článku 18 (2). Článek 20 navíc zakotvuje, že „dítě dočasně nebo trvale zbavené svého rodinného prostředí, nebo dítě, které ve svém vlastním nejlepším zájmu nemůže být ponecháno v tomto prostředí, má právo na zvláštní ochranu a pomoc poskytovanou státem“ (čl. 20 (1)), a „státy, které jsou smluvní stranou této úmluvy, zabezpečí v souladu s jejich vnitrostátním zákonodárstvím náhradní péči“ (čl. 20 (2)). Poskytování náhradní péče z důvodu postižení by bylo diskriminační.</w:t>
      </w:r>
    </w:p>
    <w:p w14:paraId="4FA0C9BE" w14:textId="77777777" w:rsidR="00605EB7" w:rsidRPr="00E875B7" w:rsidRDefault="00605EB7" w:rsidP="002E568D">
      <w:pPr>
        <w:pStyle w:val="Listeafsnit1"/>
        <w:spacing w:after="120"/>
        <w:ind w:left="1134" w:right="1134"/>
        <w:jc w:val="both"/>
        <w:rPr>
          <w:rFonts w:ascii="Times New Roman" w:hAnsi="Times New Roman" w:cs="Times New Roman"/>
          <w:sz w:val="20"/>
          <w:szCs w:val="20"/>
          <w:lang w:val="cs-CZ"/>
        </w:rPr>
      </w:pPr>
    </w:p>
    <w:p w14:paraId="27589470" w14:textId="27EC66D5" w:rsidR="0008505F" w:rsidRPr="00E875B7" w:rsidRDefault="00605EB7" w:rsidP="004E1277">
      <w:pPr>
        <w:pStyle w:val="Listeafsnit1"/>
        <w:spacing w:after="120"/>
        <w:ind w:left="1134" w:right="1134"/>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 xml:space="preserve">12. </w:t>
      </w:r>
      <w:r w:rsidR="00E3238A" w:rsidRPr="00E875B7">
        <w:rPr>
          <w:rFonts w:ascii="Times New Roman" w:hAnsi="Times New Roman" w:cs="Times New Roman"/>
          <w:sz w:val="20"/>
          <w:szCs w:val="20"/>
          <w:lang w:val="cs-CZ"/>
        </w:rPr>
        <w:tab/>
      </w:r>
      <w:r w:rsidR="00350414">
        <w:rPr>
          <w:rFonts w:ascii="Times New Roman" w:hAnsi="Times New Roman" w:cs="Times New Roman"/>
          <w:sz w:val="20"/>
          <w:szCs w:val="20"/>
          <w:lang w:val="cs-CZ"/>
        </w:rPr>
        <w:t>Článek</w:t>
      </w:r>
      <w:r w:rsidR="004762B3" w:rsidRPr="00E875B7">
        <w:rPr>
          <w:rFonts w:ascii="Times New Roman" w:hAnsi="Times New Roman" w:cs="Times New Roman"/>
          <w:sz w:val="20"/>
          <w:szCs w:val="20"/>
          <w:lang w:val="cs-CZ"/>
        </w:rPr>
        <w:t xml:space="preserve"> 23 (1) </w:t>
      </w:r>
      <w:r w:rsidR="00350414">
        <w:rPr>
          <w:rFonts w:ascii="Times New Roman" w:hAnsi="Times New Roman" w:cs="Times New Roman"/>
          <w:sz w:val="20"/>
          <w:szCs w:val="20"/>
          <w:lang w:val="cs-CZ"/>
        </w:rPr>
        <w:t xml:space="preserve">dále stanoví, že všechny děti se zdravotním postižením by měly užívat život v důstojnosti a v podmínkách, které zajistí jejich soběstačnost a usnadní jim aktivní účast ve společnosti. Výbor pro práva dítěte vyjádřil své znepokojení nad vysokým počtem dětí se zdravotním postižením umístěných v institucích a naléhavě vyzval smluvní státy, aby podpořily prostřednictvím </w:t>
      </w:r>
      <w:proofErr w:type="spellStart"/>
      <w:r w:rsidR="00350414">
        <w:rPr>
          <w:rFonts w:ascii="Times New Roman" w:hAnsi="Times New Roman" w:cs="Times New Roman"/>
          <w:sz w:val="20"/>
          <w:szCs w:val="20"/>
          <w:lang w:val="cs-CZ"/>
        </w:rPr>
        <w:t>deinstitucionalizačních</w:t>
      </w:r>
      <w:proofErr w:type="spellEnd"/>
      <w:r w:rsidR="00350414">
        <w:rPr>
          <w:rFonts w:ascii="Times New Roman" w:hAnsi="Times New Roman" w:cs="Times New Roman"/>
          <w:sz w:val="20"/>
          <w:szCs w:val="20"/>
          <w:lang w:val="cs-CZ"/>
        </w:rPr>
        <w:t xml:space="preserve"> programů jejich schopnost žít ve svých rodinách, širších rodinách</w:t>
      </w:r>
      <w:r w:rsidR="004E1277">
        <w:rPr>
          <w:rFonts w:ascii="Times New Roman" w:hAnsi="Times New Roman" w:cs="Times New Roman"/>
          <w:sz w:val="20"/>
          <w:szCs w:val="20"/>
          <w:lang w:val="cs-CZ"/>
        </w:rPr>
        <w:t xml:space="preserve"> či pěstounské péči</w:t>
      </w:r>
      <w:r w:rsidR="004762B3" w:rsidRPr="00E875B7">
        <w:rPr>
          <w:rFonts w:ascii="Times New Roman" w:hAnsi="Times New Roman" w:cs="Times New Roman"/>
          <w:sz w:val="20"/>
          <w:szCs w:val="20"/>
          <w:lang w:val="cs-CZ"/>
        </w:rPr>
        <w:t>.</w:t>
      </w:r>
      <w:r w:rsidR="004762B3" w:rsidRPr="00E875B7">
        <w:rPr>
          <w:rFonts w:ascii="Times New Roman" w:hAnsi="Times New Roman"/>
          <w:sz w:val="20"/>
          <w:szCs w:val="20"/>
          <w:vertAlign w:val="superscript"/>
          <w:lang w:val="cs-CZ"/>
        </w:rPr>
        <w:footnoteReference w:id="4"/>
      </w:r>
      <w:r w:rsidR="004762B3" w:rsidRPr="00E875B7">
        <w:rPr>
          <w:rFonts w:ascii="Times New Roman" w:hAnsi="Times New Roman" w:cs="Times New Roman"/>
          <w:sz w:val="20"/>
          <w:szCs w:val="20"/>
          <w:lang w:val="cs-CZ"/>
        </w:rPr>
        <w:t xml:space="preserve"> </w:t>
      </w:r>
    </w:p>
    <w:p w14:paraId="0EC171BD" w14:textId="77777777" w:rsidR="0008505F" w:rsidRPr="00E875B7" w:rsidRDefault="0008505F" w:rsidP="0008505F">
      <w:pPr>
        <w:pStyle w:val="Listeafsnit1"/>
        <w:spacing w:after="120"/>
        <w:ind w:left="1134" w:right="1134"/>
        <w:jc w:val="both"/>
        <w:rPr>
          <w:rFonts w:ascii="Times New Roman" w:hAnsi="Times New Roman" w:cs="Times New Roman"/>
          <w:sz w:val="20"/>
          <w:szCs w:val="20"/>
          <w:lang w:val="cs-CZ"/>
        </w:rPr>
      </w:pPr>
    </w:p>
    <w:p w14:paraId="45CCF025" w14:textId="11AC35E3" w:rsidR="0008505F" w:rsidRPr="00E875B7" w:rsidRDefault="004762B3" w:rsidP="004E1277">
      <w:pPr>
        <w:pStyle w:val="Listeafsnit1"/>
        <w:spacing w:after="120"/>
        <w:ind w:left="1134" w:right="1134"/>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1</w:t>
      </w:r>
      <w:r w:rsidR="00E82683" w:rsidRPr="00E875B7">
        <w:rPr>
          <w:rFonts w:ascii="Times New Roman" w:hAnsi="Times New Roman" w:cs="Times New Roman"/>
          <w:sz w:val="20"/>
          <w:szCs w:val="20"/>
          <w:lang w:val="cs-CZ"/>
        </w:rPr>
        <w:t>3</w:t>
      </w:r>
      <w:r w:rsidRPr="00E875B7">
        <w:rPr>
          <w:rFonts w:ascii="Times New Roman" w:hAnsi="Times New Roman" w:cs="Times New Roman"/>
          <w:sz w:val="20"/>
          <w:szCs w:val="20"/>
          <w:lang w:val="cs-CZ"/>
        </w:rPr>
        <w:t>.</w:t>
      </w:r>
      <w:r w:rsidRPr="00E875B7">
        <w:rPr>
          <w:rFonts w:ascii="Times New Roman" w:hAnsi="Times New Roman" w:cs="Times New Roman"/>
          <w:sz w:val="20"/>
          <w:szCs w:val="20"/>
          <w:lang w:val="cs-CZ"/>
        </w:rPr>
        <w:tab/>
      </w:r>
      <w:r w:rsidR="004E1277">
        <w:rPr>
          <w:rFonts w:ascii="Times New Roman" w:hAnsi="Times New Roman" w:cs="Times New Roman"/>
          <w:sz w:val="20"/>
          <w:szCs w:val="20"/>
          <w:lang w:val="cs-CZ"/>
        </w:rPr>
        <w:t>Rovnost a zákaz diskriminace jsou základními principy mezinárodního práva lidských práv a jsou vyjádřeny ve všech stěžejních lidskoprávních instrumentech. Výbor pro hospodářská, sociální a kulturní práva zdůraznil ve svém Obecném komentáři č. 5, že „segregace a izolace, jichž bylo dosaženo uvalením sociálních bariér“ představuje diskriminaci. Ve vztahu k článku 11 rovněž zdůraznil, že právo na přiměřenou životní úroveň zahrnuje nejen rovný přístup k odpovídající stravě, přístupnému bydlení a dalším základním materiálním požadavkům, ale rovněž dostupnost podpůrných služeb a asistenčních pomůcek a technologií, plně respektujících lidská práva lidí se zdravotním postižením</w:t>
      </w:r>
      <w:r w:rsidRPr="00E875B7">
        <w:rPr>
          <w:rFonts w:ascii="Times New Roman" w:hAnsi="Times New Roman" w:cs="Times New Roman"/>
          <w:sz w:val="20"/>
          <w:szCs w:val="20"/>
          <w:lang w:val="cs-CZ"/>
        </w:rPr>
        <w:t>.</w:t>
      </w:r>
      <w:r w:rsidRPr="00E875B7">
        <w:rPr>
          <w:rStyle w:val="Znakapoznpodarou"/>
          <w:rFonts w:cs="Times New Roman"/>
          <w:sz w:val="20"/>
          <w:szCs w:val="20"/>
          <w:lang w:val="cs-CZ"/>
        </w:rPr>
        <w:footnoteReference w:id="5"/>
      </w:r>
      <w:r w:rsidRPr="00E875B7">
        <w:rPr>
          <w:rFonts w:ascii="Times New Roman" w:hAnsi="Times New Roman" w:cs="Times New Roman"/>
          <w:sz w:val="20"/>
          <w:szCs w:val="20"/>
          <w:lang w:val="cs-CZ"/>
        </w:rPr>
        <w:t xml:space="preserve"> </w:t>
      </w:r>
    </w:p>
    <w:p w14:paraId="56B47EA3" w14:textId="77777777" w:rsidR="0008505F" w:rsidRPr="00E875B7" w:rsidRDefault="0008505F" w:rsidP="0008505F">
      <w:pPr>
        <w:pStyle w:val="Listeafsnit1"/>
        <w:spacing w:after="120"/>
        <w:ind w:left="1134" w:right="1134"/>
        <w:jc w:val="both"/>
        <w:rPr>
          <w:rFonts w:ascii="Times New Roman" w:hAnsi="Times New Roman" w:cs="Times New Roman"/>
          <w:sz w:val="20"/>
          <w:szCs w:val="20"/>
          <w:lang w:val="cs-CZ"/>
        </w:rPr>
      </w:pPr>
    </w:p>
    <w:p w14:paraId="59B5032B" w14:textId="6FC81455" w:rsidR="0008505F" w:rsidRPr="00E875B7" w:rsidRDefault="004762B3" w:rsidP="004E1277">
      <w:pPr>
        <w:pStyle w:val="Listeafsnit1"/>
        <w:spacing w:after="120"/>
        <w:ind w:left="1134" w:right="1134"/>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1</w:t>
      </w:r>
      <w:r w:rsidR="00E82683" w:rsidRPr="00E875B7">
        <w:rPr>
          <w:rFonts w:ascii="Times New Roman" w:hAnsi="Times New Roman" w:cs="Times New Roman"/>
          <w:sz w:val="20"/>
          <w:szCs w:val="20"/>
          <w:lang w:val="cs-CZ"/>
        </w:rPr>
        <w:t>4</w:t>
      </w:r>
      <w:r w:rsidRPr="00E875B7">
        <w:rPr>
          <w:rFonts w:ascii="Times New Roman" w:hAnsi="Times New Roman" w:cs="Times New Roman"/>
          <w:sz w:val="20"/>
          <w:szCs w:val="20"/>
          <w:lang w:val="cs-CZ"/>
        </w:rPr>
        <w:t>.</w:t>
      </w:r>
      <w:r w:rsidRPr="00E875B7">
        <w:rPr>
          <w:rFonts w:ascii="Times New Roman" w:hAnsi="Times New Roman" w:cs="Times New Roman"/>
          <w:sz w:val="20"/>
          <w:szCs w:val="20"/>
          <w:lang w:val="cs-CZ"/>
        </w:rPr>
        <w:tab/>
      </w:r>
      <w:r w:rsidR="004E1277">
        <w:rPr>
          <w:rFonts w:ascii="Times New Roman" w:hAnsi="Times New Roman" w:cs="Times New Roman"/>
          <w:sz w:val="20"/>
          <w:szCs w:val="20"/>
          <w:lang w:val="cs-CZ"/>
        </w:rPr>
        <w:t>Článek 19 a obsah tohoto Obecného komentáře musí být rovněž vodítkem a podporou pro implementaci Nové městské agendy (Habitat III) a integrální součástí Agendy rozvoje 2030 a Cílů udržitelného rozvoje. Nová městská agenda prosazuje vizi měst a lidských sídel, kde</w:t>
      </w:r>
      <w:r w:rsidR="008C176F">
        <w:rPr>
          <w:rFonts w:ascii="Times New Roman" w:hAnsi="Times New Roman" w:cs="Times New Roman"/>
          <w:sz w:val="20"/>
          <w:szCs w:val="20"/>
          <w:lang w:val="cs-CZ"/>
        </w:rPr>
        <w:t xml:space="preserve"> všichni lidé budou užívat rovná</w:t>
      </w:r>
      <w:r w:rsidR="004E1277">
        <w:rPr>
          <w:rFonts w:ascii="Times New Roman" w:hAnsi="Times New Roman" w:cs="Times New Roman"/>
          <w:sz w:val="20"/>
          <w:szCs w:val="20"/>
          <w:lang w:val="cs-CZ"/>
        </w:rPr>
        <w:t xml:space="preserve"> práva a možnosti, a to prosazováním inkluzivních, spravedlivých, bezpečných, zdravých, přístupných, cenově dostupných, odolných a udržitelných měst a lidských sídel. Ve spojení s článkem 19 Úmluvy jsou obzvláště důležité z Cílů udržitelného rozvoje cíl 10.2 – posilování a podpora sociálního, ekonomického a politického začleňování všech, a cíl 11.1 – zajistit všem přístup k odpovídajícímu, bezpečnému a cenově dostupnému bydlení a cenově dostupným službám.</w:t>
      </w:r>
    </w:p>
    <w:p w14:paraId="1D205FF9" w14:textId="77777777" w:rsidR="0008505F" w:rsidRPr="00E875B7" w:rsidRDefault="0008505F" w:rsidP="0008505F">
      <w:pPr>
        <w:pStyle w:val="Listeafsnit1"/>
        <w:spacing w:after="120"/>
        <w:ind w:left="1134" w:right="1134"/>
        <w:jc w:val="both"/>
        <w:rPr>
          <w:rFonts w:ascii="Times New Roman" w:hAnsi="Times New Roman" w:cs="Times New Roman"/>
          <w:sz w:val="20"/>
          <w:szCs w:val="20"/>
          <w:lang w:val="cs-CZ"/>
        </w:rPr>
      </w:pPr>
    </w:p>
    <w:p w14:paraId="681F3BD7" w14:textId="4D2AFD8A" w:rsidR="004E1277" w:rsidRDefault="004762B3" w:rsidP="0008505F">
      <w:pPr>
        <w:pStyle w:val="Listeafsnit1"/>
        <w:spacing w:after="120"/>
        <w:ind w:left="1134" w:right="1134"/>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1</w:t>
      </w:r>
      <w:r w:rsidR="00E82683" w:rsidRPr="00E875B7">
        <w:rPr>
          <w:rFonts w:ascii="Times New Roman" w:hAnsi="Times New Roman" w:cs="Times New Roman"/>
          <w:sz w:val="20"/>
          <w:szCs w:val="20"/>
          <w:lang w:val="cs-CZ"/>
        </w:rPr>
        <w:t>5</w:t>
      </w:r>
      <w:r w:rsidRPr="00E875B7">
        <w:rPr>
          <w:rFonts w:ascii="Times New Roman" w:hAnsi="Times New Roman" w:cs="Times New Roman"/>
          <w:sz w:val="20"/>
          <w:szCs w:val="20"/>
          <w:lang w:val="cs-CZ"/>
        </w:rPr>
        <w:t>.</w:t>
      </w:r>
      <w:r w:rsidRPr="00E875B7">
        <w:rPr>
          <w:rFonts w:ascii="Times New Roman" w:hAnsi="Times New Roman" w:cs="Times New Roman"/>
          <w:sz w:val="20"/>
          <w:szCs w:val="20"/>
          <w:lang w:val="cs-CZ"/>
        </w:rPr>
        <w:tab/>
      </w:r>
      <w:r w:rsidR="004E1277">
        <w:rPr>
          <w:rFonts w:ascii="Times New Roman" w:hAnsi="Times New Roman" w:cs="Times New Roman"/>
          <w:sz w:val="20"/>
          <w:szCs w:val="20"/>
          <w:lang w:val="cs-CZ"/>
        </w:rPr>
        <w:t>Výbor pro práva osob se zdravotním postižením zaznamenal, že v uplynulém desetiletí došlo k posunům při implementaci článku 19. Výbor nicméně rovněž pozoru</w:t>
      </w:r>
      <w:r w:rsidR="009622F0">
        <w:rPr>
          <w:rFonts w:ascii="Times New Roman" w:hAnsi="Times New Roman" w:cs="Times New Roman"/>
          <w:sz w:val="20"/>
          <w:szCs w:val="20"/>
          <w:lang w:val="cs-CZ"/>
        </w:rPr>
        <w:t>je</w:t>
      </w:r>
      <w:r w:rsidR="004E1277">
        <w:rPr>
          <w:rFonts w:ascii="Times New Roman" w:hAnsi="Times New Roman" w:cs="Times New Roman"/>
          <w:sz w:val="20"/>
          <w:szCs w:val="20"/>
          <w:lang w:val="cs-CZ"/>
        </w:rPr>
        <w:t xml:space="preserve"> mezeru mezi cíli a duchem článku 19 a rámcem jeho impl</w:t>
      </w:r>
      <w:r w:rsidR="004F3AF3">
        <w:rPr>
          <w:rFonts w:ascii="Times New Roman" w:hAnsi="Times New Roman" w:cs="Times New Roman"/>
          <w:sz w:val="20"/>
          <w:szCs w:val="20"/>
          <w:lang w:val="cs-CZ"/>
        </w:rPr>
        <w:t>ementace. Toto jsou některé z přetrvávajících bariér:</w:t>
      </w:r>
    </w:p>
    <w:p w14:paraId="76F7BF6C" w14:textId="5E3EBFED" w:rsidR="004F3AF3" w:rsidRDefault="004F3AF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 xml:space="preserve"> </w:t>
      </w:r>
      <w:r>
        <w:rPr>
          <w:rFonts w:ascii="Times New Roman" w:hAnsi="Times New Roman" w:cs="Times New Roman"/>
          <w:sz w:val="20"/>
          <w:szCs w:val="20"/>
          <w:lang w:val="cs-CZ"/>
        </w:rPr>
        <w:t>(a)</w:t>
      </w:r>
      <w:r>
        <w:rPr>
          <w:rFonts w:ascii="Times New Roman" w:hAnsi="Times New Roman" w:cs="Times New Roman"/>
          <w:sz w:val="20"/>
          <w:szCs w:val="20"/>
          <w:lang w:val="cs-CZ"/>
        </w:rPr>
        <w:tab/>
        <w:t>Odepření způsobilosti právně jednat, buď prostřednictvím formálních zákonů a praktik, nebo fakticky zástupným rozhodováním o životním uspořádání;</w:t>
      </w:r>
    </w:p>
    <w:p w14:paraId="664D1982"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36D88232" w14:textId="7460469A"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lastRenderedPageBreak/>
        <w:t>(b)</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 xml:space="preserve">Neodpovídající schémata sociální podpory a ochrany, která by zajistila nezávislý život v rámci komunity; </w:t>
      </w:r>
    </w:p>
    <w:p w14:paraId="2B077635"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584E9204" w14:textId="043876EB"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(c)</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 xml:space="preserve">Neodpovídající právní rámce a alokace v rámci rozpočtu, směřující k poskytování osobní asistence a individualizované podpory; </w:t>
      </w:r>
    </w:p>
    <w:p w14:paraId="59447739"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26A19091" w14:textId="2FC313D0" w:rsidR="004F3AF3"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(d)</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Fyzická a právní institucionalizace, včetně dětí</w:t>
      </w:r>
      <w:r w:rsidR="009622F0">
        <w:rPr>
          <w:rFonts w:ascii="Times New Roman" w:hAnsi="Times New Roman" w:cs="Times New Roman"/>
          <w:sz w:val="20"/>
          <w:szCs w:val="20"/>
          <w:lang w:val="cs-CZ"/>
        </w:rPr>
        <w:t>,</w:t>
      </w:r>
      <w:r w:rsidR="004F3AF3">
        <w:rPr>
          <w:rFonts w:ascii="Times New Roman" w:hAnsi="Times New Roman" w:cs="Times New Roman"/>
          <w:sz w:val="20"/>
          <w:szCs w:val="20"/>
          <w:lang w:val="cs-CZ"/>
        </w:rPr>
        <w:t xml:space="preserve"> a nucená léčba ve všech jejích formách;</w:t>
      </w:r>
    </w:p>
    <w:p w14:paraId="0AC8CA9F" w14:textId="77777777" w:rsidR="004762B3" w:rsidRPr="00E875B7" w:rsidRDefault="004762B3" w:rsidP="004762B3">
      <w:pPr>
        <w:pStyle w:val="ListParagraph3"/>
        <w:spacing w:after="120" w:line="240" w:lineRule="atLeast"/>
        <w:ind w:left="1134" w:right="1134"/>
        <w:jc w:val="both"/>
        <w:rPr>
          <w:rFonts w:ascii="Times New Roman" w:hAnsi="Times New Roman" w:cs="Times New Roman"/>
          <w:sz w:val="20"/>
          <w:szCs w:val="20"/>
          <w:lang w:val="cs-CZ"/>
        </w:rPr>
      </w:pPr>
    </w:p>
    <w:p w14:paraId="5411E5A4" w14:textId="1256B7B0"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(e)</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 xml:space="preserve">Nedostatek </w:t>
      </w:r>
      <w:proofErr w:type="spellStart"/>
      <w:r w:rsidR="004F3AF3">
        <w:rPr>
          <w:rFonts w:ascii="Times New Roman" w:hAnsi="Times New Roman" w:cs="Times New Roman"/>
          <w:sz w:val="20"/>
          <w:szCs w:val="20"/>
          <w:lang w:val="cs-CZ"/>
        </w:rPr>
        <w:t>deinstitucionalizačních</w:t>
      </w:r>
      <w:proofErr w:type="spellEnd"/>
      <w:r w:rsidR="004F3AF3">
        <w:rPr>
          <w:rFonts w:ascii="Times New Roman" w:hAnsi="Times New Roman" w:cs="Times New Roman"/>
          <w:sz w:val="20"/>
          <w:szCs w:val="20"/>
          <w:lang w:val="cs-CZ"/>
        </w:rPr>
        <w:t xml:space="preserve"> strategií a plánů a pokračující investice do pobytových zařízení </w:t>
      </w:r>
      <w:r w:rsidR="009622F0">
        <w:rPr>
          <w:rFonts w:ascii="Times New Roman" w:hAnsi="Times New Roman" w:cs="Times New Roman"/>
          <w:sz w:val="20"/>
          <w:szCs w:val="20"/>
          <w:lang w:val="cs-CZ"/>
        </w:rPr>
        <w:t>zajišťujících péči</w:t>
      </w:r>
      <w:r w:rsidR="004F3AF3">
        <w:rPr>
          <w:rFonts w:ascii="Times New Roman" w:hAnsi="Times New Roman" w:cs="Times New Roman"/>
          <w:sz w:val="20"/>
          <w:szCs w:val="20"/>
          <w:lang w:val="cs-CZ"/>
        </w:rPr>
        <w:t>;</w:t>
      </w:r>
    </w:p>
    <w:p w14:paraId="4DA3A10A"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17E4385A" w14:textId="541FDBEF" w:rsidR="004F3AF3"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(f)</w:t>
      </w:r>
      <w:r w:rsidRPr="00E875B7">
        <w:rPr>
          <w:rFonts w:ascii="Times New Roman" w:hAnsi="Times New Roman" w:cs="Times New Roman"/>
          <w:sz w:val="20"/>
          <w:szCs w:val="20"/>
          <w:lang w:val="cs-CZ"/>
        </w:rPr>
        <w:tab/>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Negativní postoje, stigma a stereotypy, v jejichž důsledku je lidem se zdravotním postižením znemožněno být začleněn do komunity a mít přístup k dostupné pomoci;</w:t>
      </w:r>
    </w:p>
    <w:p w14:paraId="73B6680E"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37C2E2CA" w14:textId="79B40549"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(g)</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 xml:space="preserve">Mylná pojetí práva žít nezávisle v rámci komunity; </w:t>
      </w:r>
    </w:p>
    <w:p w14:paraId="4A83230B"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23E437A9" w14:textId="5DAF57C5"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(h)</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 xml:space="preserve">Nedostatek dostupných, přijatelných, cenově přístupných, přístupných a přizpůsobitelných služeb, jako je doprava, zdravotní péče, školy, veřejné prostory, bydlení, divadla, kina, produkty a služby a veřejné budovy; </w:t>
      </w:r>
    </w:p>
    <w:p w14:paraId="05381FFF"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553025B2" w14:textId="14CEE473"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(i)</w:t>
      </w:r>
      <w:r w:rsidRPr="00E875B7">
        <w:rPr>
          <w:rFonts w:ascii="Times New Roman" w:hAnsi="Times New Roman" w:cs="Times New Roman"/>
          <w:sz w:val="20"/>
          <w:szCs w:val="20"/>
          <w:lang w:val="cs-CZ"/>
        </w:rPr>
        <w:tab/>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Nedostatek odpovídajícího monitorovacího mechanismu pro zajištění odpovídající implementace článku 19, včetně participace zástupců organizací lidí s</w:t>
      </w:r>
      <w:r w:rsidR="009622F0">
        <w:rPr>
          <w:rFonts w:ascii="Times New Roman" w:hAnsi="Times New Roman" w:cs="Times New Roman"/>
          <w:sz w:val="20"/>
          <w:szCs w:val="20"/>
          <w:lang w:val="cs-CZ"/>
        </w:rPr>
        <w:t>e zdravotním</w:t>
      </w:r>
      <w:r w:rsidR="004F3AF3">
        <w:rPr>
          <w:rFonts w:ascii="Times New Roman" w:hAnsi="Times New Roman" w:cs="Times New Roman"/>
          <w:sz w:val="20"/>
          <w:szCs w:val="20"/>
          <w:lang w:val="cs-CZ"/>
        </w:rPr>
        <w:t> postižením;</w:t>
      </w:r>
    </w:p>
    <w:p w14:paraId="3322F003"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5E5E6E77" w14:textId="5CDE836E"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(j)</w:t>
      </w:r>
      <w:r w:rsidRPr="00E875B7">
        <w:rPr>
          <w:rFonts w:ascii="Times New Roman" w:hAnsi="Times New Roman" w:cs="Times New Roman"/>
          <w:sz w:val="20"/>
          <w:szCs w:val="20"/>
          <w:lang w:val="cs-CZ"/>
        </w:rPr>
        <w:tab/>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 xml:space="preserve">Nedostatečné zahrnutí zdravotního postižení </w:t>
      </w:r>
      <w:r w:rsidR="009622F0">
        <w:rPr>
          <w:rFonts w:ascii="Times New Roman" w:hAnsi="Times New Roman" w:cs="Times New Roman"/>
          <w:sz w:val="20"/>
          <w:szCs w:val="20"/>
          <w:lang w:val="cs-CZ"/>
        </w:rPr>
        <w:t xml:space="preserve">do </w:t>
      </w:r>
      <w:r w:rsidR="004F3AF3">
        <w:rPr>
          <w:rFonts w:ascii="Times New Roman" w:hAnsi="Times New Roman" w:cs="Times New Roman"/>
          <w:sz w:val="20"/>
          <w:szCs w:val="20"/>
          <w:lang w:val="cs-CZ"/>
        </w:rPr>
        <w:t xml:space="preserve">obecných výdajů z veřejných rozpočtů; a </w:t>
      </w:r>
    </w:p>
    <w:p w14:paraId="67C0C117" w14:textId="77777777"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p>
    <w:p w14:paraId="68BC84D7" w14:textId="22E0260C" w:rsidR="004762B3" w:rsidRPr="00E875B7" w:rsidRDefault="004762B3" w:rsidP="004762B3">
      <w:pPr>
        <w:pStyle w:val="ListParagraph3"/>
        <w:spacing w:after="120" w:line="240" w:lineRule="atLeast"/>
        <w:ind w:left="1134" w:right="1134" w:firstLine="349"/>
        <w:jc w:val="both"/>
        <w:rPr>
          <w:rFonts w:ascii="Times New Roman" w:hAnsi="Times New Roman" w:cs="Times New Roman"/>
          <w:sz w:val="20"/>
          <w:szCs w:val="20"/>
          <w:lang w:val="cs-CZ"/>
        </w:rPr>
      </w:pPr>
      <w:r w:rsidRPr="00E875B7">
        <w:rPr>
          <w:rFonts w:ascii="Times New Roman" w:hAnsi="Times New Roman" w:cs="Times New Roman"/>
          <w:sz w:val="20"/>
          <w:szCs w:val="20"/>
          <w:lang w:val="cs-CZ"/>
        </w:rPr>
        <w:t>(k)</w:t>
      </w:r>
      <w:r w:rsidRPr="00E875B7">
        <w:rPr>
          <w:rFonts w:ascii="Times New Roman" w:hAnsi="Times New Roman" w:cs="Times New Roman"/>
          <w:sz w:val="20"/>
          <w:szCs w:val="20"/>
          <w:lang w:val="cs-CZ"/>
        </w:rPr>
        <w:tab/>
      </w:r>
      <w:r w:rsidR="004F3AF3">
        <w:rPr>
          <w:rFonts w:ascii="Times New Roman" w:hAnsi="Times New Roman" w:cs="Times New Roman"/>
          <w:sz w:val="20"/>
          <w:szCs w:val="20"/>
          <w:lang w:val="cs-CZ"/>
        </w:rPr>
        <w:t>Nepřiměřená decentralizace vyúsťující v</w:t>
      </w:r>
      <w:r w:rsidR="002A289A">
        <w:rPr>
          <w:rFonts w:ascii="Times New Roman" w:hAnsi="Times New Roman" w:cs="Times New Roman"/>
          <w:sz w:val="20"/>
          <w:szCs w:val="20"/>
          <w:lang w:val="cs-CZ"/>
        </w:rPr>
        <w:t> </w:t>
      </w:r>
      <w:r w:rsidR="004F3AF3">
        <w:rPr>
          <w:rFonts w:ascii="Times New Roman" w:hAnsi="Times New Roman" w:cs="Times New Roman"/>
          <w:sz w:val="20"/>
          <w:szCs w:val="20"/>
          <w:lang w:val="cs-CZ"/>
        </w:rPr>
        <w:t>roz</w:t>
      </w:r>
      <w:r w:rsidR="002A289A">
        <w:rPr>
          <w:rFonts w:ascii="Times New Roman" w:hAnsi="Times New Roman" w:cs="Times New Roman"/>
          <w:sz w:val="20"/>
          <w:szCs w:val="20"/>
          <w:lang w:val="cs-CZ"/>
        </w:rPr>
        <w:t xml:space="preserve">díly mezi místními orgány a nerovnými šancemi na nezávislý život v komunitě ve smluvním státě. </w:t>
      </w:r>
    </w:p>
    <w:p w14:paraId="2341251E" w14:textId="77777777" w:rsidR="004762B3" w:rsidRPr="00E875B7" w:rsidRDefault="004762B3" w:rsidP="004762B3">
      <w:pPr>
        <w:pStyle w:val="ListParagraph3"/>
        <w:spacing w:after="120" w:line="240" w:lineRule="atLeast"/>
        <w:ind w:left="1134" w:right="1134"/>
        <w:jc w:val="both"/>
        <w:rPr>
          <w:rFonts w:ascii="Times New Roman" w:hAnsi="Times New Roman" w:cs="Times New Roman"/>
          <w:sz w:val="20"/>
          <w:szCs w:val="20"/>
          <w:lang w:val="cs-CZ"/>
        </w:rPr>
      </w:pPr>
    </w:p>
    <w:p w14:paraId="1539B0CA" w14:textId="32A38F21" w:rsidR="00D12D66" w:rsidRPr="002A289A" w:rsidRDefault="00696CC0" w:rsidP="00696CC0">
      <w:pPr>
        <w:pStyle w:val="HChG"/>
        <w:rPr>
          <w:rFonts w:eastAsia="SimSun"/>
          <w:lang w:val="cs-CZ"/>
        </w:rPr>
      </w:pPr>
      <w:r>
        <w:rPr>
          <w:rFonts w:eastAsia="SimSun"/>
          <w:lang w:val="en-US"/>
        </w:rPr>
        <w:tab/>
        <w:t>II.</w:t>
      </w:r>
      <w:r>
        <w:rPr>
          <w:rFonts w:eastAsia="SimSun"/>
          <w:lang w:val="en-US"/>
        </w:rPr>
        <w:tab/>
      </w:r>
      <w:r w:rsidR="002A289A">
        <w:rPr>
          <w:rFonts w:eastAsia="SimSun"/>
          <w:lang w:val="cs-CZ"/>
        </w:rPr>
        <w:t>Normativní obsah článku</w:t>
      </w:r>
      <w:r w:rsidR="00D12D66" w:rsidRPr="002A289A">
        <w:rPr>
          <w:rFonts w:eastAsia="SimSun"/>
          <w:lang w:val="cs-CZ"/>
        </w:rPr>
        <w:t xml:space="preserve"> 19</w:t>
      </w:r>
    </w:p>
    <w:p w14:paraId="613FF465" w14:textId="4D0970B0" w:rsidR="00D12D66" w:rsidRPr="002A289A" w:rsidRDefault="00C50C50" w:rsidP="00C50C50">
      <w:pPr>
        <w:pStyle w:val="H1G"/>
        <w:rPr>
          <w:rFonts w:eastAsia="Calibri"/>
          <w:lang w:val="cs-CZ"/>
        </w:rPr>
      </w:pPr>
      <w:r w:rsidRPr="002A289A">
        <w:rPr>
          <w:rFonts w:eastAsia="Calibri"/>
          <w:lang w:val="cs-CZ"/>
        </w:rPr>
        <w:tab/>
        <w:t>A.</w:t>
      </w:r>
      <w:r w:rsidRPr="002A289A">
        <w:rPr>
          <w:rFonts w:eastAsia="Calibri"/>
          <w:lang w:val="cs-CZ"/>
        </w:rPr>
        <w:tab/>
      </w:r>
      <w:r w:rsidR="002A289A">
        <w:rPr>
          <w:rFonts w:eastAsia="Calibri"/>
          <w:lang w:val="cs-CZ"/>
        </w:rPr>
        <w:t>Definice</w:t>
      </w:r>
    </w:p>
    <w:p w14:paraId="6D8FBDAD" w14:textId="36EEDF65" w:rsidR="004762B3" w:rsidRPr="002A289A" w:rsidRDefault="004762B3" w:rsidP="004762B3">
      <w:pPr>
        <w:pStyle w:val="SingleTxtG"/>
        <w:rPr>
          <w:rFonts w:eastAsia="Calibri"/>
          <w:lang w:val="cs-CZ"/>
        </w:rPr>
      </w:pPr>
      <w:r w:rsidRPr="002A289A">
        <w:rPr>
          <w:rFonts w:eastAsia="Calibri"/>
          <w:lang w:val="cs-CZ"/>
        </w:rPr>
        <w:t>1</w:t>
      </w:r>
      <w:r w:rsidR="00E82683" w:rsidRPr="002A289A">
        <w:rPr>
          <w:rFonts w:eastAsia="Calibri"/>
          <w:lang w:val="cs-CZ"/>
        </w:rPr>
        <w:t>6</w:t>
      </w:r>
      <w:r w:rsidRPr="002A289A">
        <w:rPr>
          <w:rFonts w:eastAsia="Calibri"/>
          <w:lang w:val="cs-CZ"/>
        </w:rPr>
        <w:t>.</w:t>
      </w:r>
      <w:r w:rsidRPr="002A289A">
        <w:rPr>
          <w:rFonts w:eastAsia="Calibri"/>
          <w:lang w:val="cs-CZ"/>
        </w:rPr>
        <w:tab/>
      </w:r>
      <w:r w:rsidR="001B717F">
        <w:rPr>
          <w:rFonts w:eastAsia="Calibri"/>
          <w:lang w:val="cs-CZ"/>
        </w:rPr>
        <w:t xml:space="preserve">V předkládaném obecném komentáři znamenají následující definice: </w:t>
      </w:r>
    </w:p>
    <w:p w14:paraId="6679C764" w14:textId="5B3A914C" w:rsidR="000C2329" w:rsidRDefault="004762B3" w:rsidP="008171CF">
      <w:pPr>
        <w:pStyle w:val="SingleTxtG"/>
        <w:ind w:firstLine="567"/>
        <w:rPr>
          <w:rFonts w:eastAsia="Calibri"/>
          <w:lang w:val="cs-CZ"/>
        </w:rPr>
      </w:pPr>
      <w:r w:rsidRPr="002A289A">
        <w:rPr>
          <w:rFonts w:eastAsia="Calibri"/>
          <w:lang w:val="cs-CZ"/>
        </w:rPr>
        <w:t>(a)</w:t>
      </w:r>
      <w:r w:rsidRPr="002A289A">
        <w:rPr>
          <w:rFonts w:eastAsia="Calibri"/>
          <w:lang w:val="cs-CZ"/>
        </w:rPr>
        <w:tab/>
      </w:r>
      <w:r w:rsidR="001B717F">
        <w:rPr>
          <w:rFonts w:eastAsia="Calibri"/>
          <w:b/>
          <w:lang w:val="cs-CZ"/>
        </w:rPr>
        <w:t>Nezávislý život</w:t>
      </w:r>
      <w:r w:rsidRPr="002A289A">
        <w:rPr>
          <w:rFonts w:eastAsia="Calibri"/>
          <w:b/>
          <w:lang w:val="cs-CZ"/>
        </w:rPr>
        <w:t>:</w:t>
      </w:r>
      <w:r w:rsidRPr="002A289A">
        <w:rPr>
          <w:rFonts w:eastAsia="Calibri"/>
          <w:lang w:val="cs-CZ"/>
        </w:rPr>
        <w:t xml:space="preserve"> </w:t>
      </w:r>
      <w:r w:rsidR="000C2329">
        <w:rPr>
          <w:rFonts w:eastAsia="Calibri"/>
          <w:lang w:val="cs-CZ"/>
        </w:rPr>
        <w:t>Nezávislý život/žít nezávisle znamená, že lidem se zdravotním postižením budou poskytnuty všechny nezbytné prostředky, umožňující jim vykonávat vo</w:t>
      </w:r>
      <w:r w:rsidR="009622F0">
        <w:rPr>
          <w:rFonts w:eastAsia="Calibri"/>
          <w:lang w:val="cs-CZ"/>
        </w:rPr>
        <w:t xml:space="preserve">lbu a kontrolu nad svými životy </w:t>
      </w:r>
      <w:r w:rsidR="000C2329">
        <w:rPr>
          <w:rFonts w:eastAsia="Calibri"/>
          <w:lang w:val="cs-CZ"/>
        </w:rPr>
        <w:t>a činit všechna rozhodnutí, která se týkají jejich životů. Osobní autonomie a sebeurčení je pro nezávislý život zásadní, včetně přístupu k dopravě, informacím, komunikaci, osobní asistenci, místu pobytu, každodenním pravidelným zvykům, slušnému zaměstnání, osobním vztahům, ošacení, výživě, hygieně a zdravotní péči, náboženským, kulturním a sexuálním a reprodukčním právům. Tyto aktivity jsou spojené s rozvojem osobní identity a osobnosti:</w:t>
      </w:r>
      <w:r w:rsidR="009622F0">
        <w:rPr>
          <w:rFonts w:eastAsia="Calibri"/>
          <w:lang w:val="cs-CZ"/>
        </w:rPr>
        <w:t xml:space="preserve"> s</w:t>
      </w:r>
      <w:r w:rsidR="000C2329">
        <w:rPr>
          <w:rFonts w:eastAsia="Calibri"/>
          <w:lang w:val="cs-CZ"/>
        </w:rPr>
        <w:t xml:space="preserve"> </w:t>
      </w:r>
      <w:r w:rsidR="00CA08F2">
        <w:rPr>
          <w:rFonts w:eastAsia="Calibri"/>
          <w:lang w:val="cs-CZ"/>
        </w:rPr>
        <w:t>tím</w:t>
      </w:r>
      <w:r w:rsidR="000C2329">
        <w:rPr>
          <w:rFonts w:eastAsia="Calibri"/>
          <w:lang w:val="cs-CZ"/>
        </w:rPr>
        <w:t>, kde žijeme a s kým,</w:t>
      </w:r>
      <w:r w:rsidR="00CA08F2">
        <w:rPr>
          <w:rFonts w:eastAsia="Calibri"/>
          <w:lang w:val="cs-CZ"/>
        </w:rPr>
        <w:t xml:space="preserve"> co jíme, zda si rádi ráno přispíme nebo rádi chodíme do postele pozdě v noci, zda jsme radši uvnitř či venku, máme na stole ubrus či svíčky, máme domácí mazlíčky neb posloucháme hudbu. Taková jednání a rozhodnutí tvoří to, kým jsme. Nezávislý život je stěžejní součást </w:t>
      </w:r>
      <w:r w:rsidR="00CC1EE5">
        <w:rPr>
          <w:rFonts w:eastAsia="Calibri"/>
          <w:lang w:val="cs-CZ"/>
        </w:rPr>
        <w:t xml:space="preserve">autonomie člověka a jeho svobody a neznamená nutně žít sám. Rovněž by neměl být interpretován pouze jako schopnost vykonávat samostatně každodenní činnosti. Spíše by na něj mělo být nahlíženo jako na svobodu volby a kontroly, v souladu s respektem k vrozené důstojnosti a individuální autonomii, jak jsou zakotveny v článku 3 (a) Úmluvy. Nezávislost jako forma osobní autonomie znamená, že člověku se zdravotním postižením nebude upřena příležitost volby a kontroly ohledně osobního životního stylu a každodenních aktivit. </w:t>
      </w:r>
    </w:p>
    <w:p w14:paraId="11774EFB" w14:textId="19BF652A" w:rsidR="00CC1EE5" w:rsidRDefault="00CC1EE5" w:rsidP="008171CF">
      <w:pPr>
        <w:pStyle w:val="SingleTxtG"/>
        <w:ind w:firstLine="567"/>
        <w:rPr>
          <w:rFonts w:eastAsia="Calibri"/>
          <w:b/>
          <w:lang w:val="cs-CZ"/>
        </w:rPr>
      </w:pPr>
      <w:r w:rsidRPr="002A289A">
        <w:rPr>
          <w:rFonts w:eastAsia="Calibri"/>
          <w:lang w:val="cs-CZ"/>
        </w:rPr>
        <w:lastRenderedPageBreak/>
        <w:t xml:space="preserve"> </w:t>
      </w:r>
      <w:r w:rsidR="004762B3" w:rsidRPr="002A289A">
        <w:rPr>
          <w:rFonts w:eastAsia="Calibri"/>
          <w:lang w:val="cs-CZ"/>
        </w:rPr>
        <w:t>(b)</w:t>
      </w:r>
      <w:r w:rsidR="004762B3" w:rsidRPr="002A289A">
        <w:rPr>
          <w:rFonts w:eastAsia="Calibri"/>
          <w:lang w:val="cs-CZ"/>
        </w:rPr>
        <w:tab/>
      </w:r>
      <w:r>
        <w:rPr>
          <w:rFonts w:eastAsia="Calibri"/>
          <w:b/>
          <w:lang w:val="cs-CZ"/>
        </w:rPr>
        <w:t>Být začleněn do komunity</w:t>
      </w:r>
      <w:r w:rsidR="004762B3" w:rsidRPr="002A289A">
        <w:rPr>
          <w:rFonts w:eastAsia="Calibri"/>
          <w:b/>
          <w:lang w:val="cs-CZ"/>
        </w:rPr>
        <w:t xml:space="preserve">: </w:t>
      </w:r>
      <w:r w:rsidRPr="00CC1EE5">
        <w:rPr>
          <w:rFonts w:eastAsia="Calibri"/>
          <w:lang w:val="cs-CZ"/>
        </w:rPr>
        <w:t>Právo být začleněn do komunity se vztahuje k principu plné a účinné inkluze a part</w:t>
      </w:r>
      <w:r w:rsidR="009622F0">
        <w:rPr>
          <w:rFonts w:eastAsia="Calibri"/>
          <w:lang w:val="cs-CZ"/>
        </w:rPr>
        <w:t>icipace ve společnosti, jak je</w:t>
      </w:r>
      <w:r w:rsidRPr="00CC1EE5">
        <w:rPr>
          <w:rFonts w:eastAsia="Calibri"/>
          <w:lang w:val="cs-CZ"/>
        </w:rPr>
        <w:t xml:space="preserve"> zakotven mj. v článku 3 (c) Úmluvy. </w:t>
      </w:r>
      <w:r w:rsidR="000B2433">
        <w:rPr>
          <w:rFonts w:eastAsia="Calibri"/>
          <w:lang w:val="cs-CZ"/>
        </w:rPr>
        <w:t>Zahrnuje žití plného společenského života a přístup ke všem službám nabízeným veřejnosti a k podpůrným službám nabízeným lidem se zdravotním postižením s cílem umožnit jim být plně začleněn a participovat ve všech sférách společenského života. Tyto služby se mohou mj. vztahovat k bydlení, dopravě, nakupování, vzdělávání, zaměstná</w:t>
      </w:r>
      <w:r w:rsidR="009622F0">
        <w:rPr>
          <w:rFonts w:eastAsia="Calibri"/>
          <w:lang w:val="cs-CZ"/>
        </w:rPr>
        <w:t>vá</w:t>
      </w:r>
      <w:r w:rsidR="000B2433">
        <w:rPr>
          <w:rFonts w:eastAsia="Calibri"/>
          <w:lang w:val="cs-CZ"/>
        </w:rPr>
        <w:t>ní, volnočasovým aktivitám a dalším zařízením a službám nabízeným veřejnosti, včetně sociálních médií. Toto právo rovněž zahrnuje přístup ke všem opatřením a událostem politického a kulturního života v komunitě, mj. k veřejným shromážděním, sportovním událostem, kulturním a náboženským festivalům a jakýmkoli dalším aktivitám, jichž by se člověk se zdravotním postižením přál zúčastnit.</w:t>
      </w:r>
    </w:p>
    <w:p w14:paraId="5A02A1E9" w14:textId="7BAB1866" w:rsidR="000B2433" w:rsidRDefault="004762B3" w:rsidP="008171CF">
      <w:pPr>
        <w:pStyle w:val="SingleTxtG"/>
        <w:ind w:firstLine="567"/>
        <w:rPr>
          <w:rFonts w:eastAsia="Calibri"/>
          <w:lang w:val="cs-CZ"/>
        </w:rPr>
      </w:pPr>
      <w:r w:rsidRPr="002A289A">
        <w:rPr>
          <w:rFonts w:eastAsia="Calibri"/>
          <w:lang w:val="cs-CZ"/>
        </w:rPr>
        <w:t>(c)</w:t>
      </w:r>
      <w:r w:rsidRPr="002A289A">
        <w:rPr>
          <w:rFonts w:eastAsia="Calibri"/>
          <w:lang w:val="cs-CZ"/>
        </w:rPr>
        <w:tab/>
      </w:r>
      <w:r w:rsidR="000B2433">
        <w:rPr>
          <w:rFonts w:eastAsia="Calibri"/>
          <w:b/>
          <w:lang w:val="cs-CZ"/>
        </w:rPr>
        <w:t>Nezávislé životní uspořádání</w:t>
      </w:r>
      <w:r w:rsidRPr="002A289A">
        <w:rPr>
          <w:rFonts w:eastAsia="Calibri"/>
          <w:b/>
          <w:lang w:val="cs-CZ"/>
        </w:rPr>
        <w:t>:</w:t>
      </w:r>
      <w:r w:rsidRPr="002A289A">
        <w:rPr>
          <w:rFonts w:eastAsia="Calibri"/>
          <w:lang w:val="cs-CZ"/>
        </w:rPr>
        <w:t xml:space="preserve"> </w:t>
      </w:r>
      <w:r w:rsidR="005D28AC">
        <w:rPr>
          <w:rFonts w:eastAsia="Calibri"/>
          <w:lang w:val="cs-CZ"/>
        </w:rPr>
        <w:t xml:space="preserve">Jak nezávislý život, tak být začleněn do komunity odkazují k životnímu uspořádání mimo pobytová zařízení všeho druhu. To není „pouze“ o životu ve specifické budově nebo zařízení, je to, předně a především, o ztrátě osobní volby a autonomie jako výsledku vnucení určitého uspořádání života a žití. Jak velkokapacitní zařízení s více než stovky obyvatel, tak menší skupinové domy s pěti až osmi lidmi a dokonce ani jednotlivé domy nemohou být nazývány nezávislým životním uspořádáním, pokud naplňují další definiční znaky instituce nebo institucionalizace. Jakkoli se institucionální zařízení mohou lišit ve velikosti, názvu a způsobu zřízení, existují zde určité definiční znaky, jako je: povinné sdílení asistentů s ostatními nebo žádný či omezený vliv na to, od koho musí člověk asistenci přijmout, izolace a segregace z nezávislého života v rámci komunity, nedostatek kontroly nad každodenními rozhodnutími, nedostatek volby ohledně toho, s kým žít, rigidita </w:t>
      </w:r>
      <w:r w:rsidR="009622F0">
        <w:rPr>
          <w:rFonts w:eastAsia="Calibri"/>
          <w:lang w:val="cs-CZ"/>
        </w:rPr>
        <w:t>každodenních činností</w:t>
      </w:r>
      <w:r w:rsidR="005D28AC">
        <w:rPr>
          <w:rFonts w:eastAsia="Calibri"/>
          <w:lang w:val="cs-CZ"/>
        </w:rPr>
        <w:t xml:space="preserve"> bez ohledu na osobní vůli a preference, identické aktivity na stejném místě pro skupinu lidí pod určitou autoritou, paternalistický přístup k poskytování služeb, dohled nad životním uspořádáním a obvykle rovněž disproporce v počtu lidí se zdravotním postižením žijících ve stejném prostředí. Ústavní zařízení mohou lidem se zdravotním posti</w:t>
      </w:r>
      <w:r w:rsidR="00265D72">
        <w:rPr>
          <w:rFonts w:eastAsia="Calibri"/>
          <w:lang w:val="cs-CZ"/>
        </w:rPr>
        <w:t>žením nabízet určitý stupeň volb</w:t>
      </w:r>
      <w:r w:rsidR="005D28AC">
        <w:rPr>
          <w:rFonts w:eastAsia="Calibri"/>
          <w:lang w:val="cs-CZ"/>
        </w:rPr>
        <w:t xml:space="preserve">y a kontroly, nicméně tato volba je omezená na specifické oblasti života a nemění segregující charakter instituce. </w:t>
      </w:r>
      <w:proofErr w:type="spellStart"/>
      <w:r w:rsidR="005D28AC">
        <w:rPr>
          <w:rFonts w:eastAsia="Calibri"/>
          <w:lang w:val="cs-CZ"/>
        </w:rPr>
        <w:t>Deinstitucionalizační</w:t>
      </w:r>
      <w:proofErr w:type="spellEnd"/>
      <w:r w:rsidR="005D28AC">
        <w:rPr>
          <w:rFonts w:eastAsia="Calibri"/>
          <w:lang w:val="cs-CZ"/>
        </w:rPr>
        <w:t xml:space="preserve"> politiky proto vyžadují implementaci strukturálních reforem, které jdou za uzavření ústavních zařízení. Velké nebo malé skupinové domovy jsou obzvláště nebezpečné pro děti, kterým nemohou nijak nahradit potřebu vyrůstat v rodině. Instituce „rodinného typu“ jsou stále instituce a nejsou žádnou náhradou za péči v rodině.</w:t>
      </w:r>
    </w:p>
    <w:p w14:paraId="0C579128" w14:textId="713CBF04" w:rsidR="005D28AC" w:rsidRDefault="004762B3" w:rsidP="008171CF">
      <w:pPr>
        <w:pStyle w:val="SingleTxtG"/>
        <w:ind w:firstLine="567"/>
        <w:rPr>
          <w:rFonts w:eastAsia="Calibri"/>
          <w:lang w:val="cs-CZ"/>
        </w:rPr>
      </w:pPr>
      <w:r w:rsidRPr="002A289A">
        <w:rPr>
          <w:rFonts w:eastAsia="Calibri"/>
          <w:lang w:val="cs-CZ"/>
        </w:rPr>
        <w:t>(d)</w:t>
      </w:r>
      <w:r w:rsidRPr="002A289A">
        <w:rPr>
          <w:rFonts w:eastAsia="Calibri"/>
          <w:lang w:val="cs-CZ"/>
        </w:rPr>
        <w:tab/>
      </w:r>
      <w:r w:rsidR="005D28AC">
        <w:rPr>
          <w:rFonts w:eastAsia="Calibri"/>
          <w:b/>
          <w:lang w:val="cs-CZ"/>
        </w:rPr>
        <w:t>Osobní asistence</w:t>
      </w:r>
      <w:r w:rsidRPr="002A289A">
        <w:rPr>
          <w:rFonts w:eastAsia="Calibri"/>
          <w:b/>
          <w:lang w:val="cs-CZ"/>
        </w:rPr>
        <w:t>:</w:t>
      </w:r>
      <w:r w:rsidRPr="002A289A">
        <w:rPr>
          <w:rFonts w:eastAsia="Calibri"/>
          <w:lang w:val="cs-CZ"/>
        </w:rPr>
        <w:t xml:space="preserve"> </w:t>
      </w:r>
      <w:r w:rsidR="005D28AC">
        <w:rPr>
          <w:rFonts w:eastAsia="Calibri"/>
          <w:lang w:val="cs-CZ"/>
        </w:rPr>
        <w:t>Osobní asistence odkazuje k</w:t>
      </w:r>
      <w:r w:rsidR="00E33271">
        <w:rPr>
          <w:rFonts w:eastAsia="Calibri"/>
          <w:lang w:val="cs-CZ"/>
        </w:rPr>
        <w:t> osobou řízené/“uživatelem“ vedené lidské podpoře dostupné člověku se zdravotním postižením a je nástroje</w:t>
      </w:r>
      <w:r w:rsidR="009622F0">
        <w:rPr>
          <w:rFonts w:eastAsia="Calibri"/>
          <w:lang w:val="cs-CZ"/>
        </w:rPr>
        <w:t>m</w:t>
      </w:r>
      <w:r w:rsidR="00E33271">
        <w:rPr>
          <w:rFonts w:eastAsia="Calibri"/>
          <w:lang w:val="cs-CZ"/>
        </w:rPr>
        <w:t xml:space="preserve"> nezávislého života. Navzdory tomu, že způsoby osobní asistence se mohou lišit, existují zde určité prvky, které ji odlišují od jiných typů osobní asistence, konkrétně:</w:t>
      </w:r>
    </w:p>
    <w:p w14:paraId="7A7EF15D" w14:textId="760A1F2C" w:rsidR="00E33271" w:rsidRDefault="004762B3" w:rsidP="00D23053">
      <w:pPr>
        <w:pStyle w:val="SingleTxtG"/>
        <w:ind w:left="1701" w:firstLine="567"/>
        <w:rPr>
          <w:rFonts w:eastAsia="Calibri"/>
          <w:lang w:val="cs-CZ"/>
        </w:rPr>
      </w:pPr>
      <w:r w:rsidRPr="002A289A">
        <w:rPr>
          <w:rFonts w:eastAsia="Calibri"/>
          <w:lang w:val="cs-CZ"/>
        </w:rPr>
        <w:t xml:space="preserve">(i) </w:t>
      </w:r>
      <w:r w:rsidRPr="002A289A">
        <w:rPr>
          <w:rFonts w:eastAsia="Calibri"/>
          <w:lang w:val="cs-CZ"/>
        </w:rPr>
        <w:tab/>
      </w:r>
      <w:r w:rsidR="00E33271">
        <w:rPr>
          <w:rFonts w:eastAsia="Calibri"/>
          <w:b/>
          <w:lang w:val="cs-CZ"/>
        </w:rPr>
        <w:t>Financování</w:t>
      </w:r>
      <w:r w:rsidRPr="002A289A">
        <w:rPr>
          <w:rFonts w:eastAsia="Calibri"/>
          <w:lang w:val="cs-CZ"/>
        </w:rPr>
        <w:t xml:space="preserve"> </w:t>
      </w:r>
      <w:r w:rsidR="00E33271">
        <w:rPr>
          <w:rFonts w:eastAsia="Calibri"/>
          <w:lang w:val="cs-CZ"/>
        </w:rPr>
        <w:t>osobní asistence musí být poskytováno na základě personalizovaných kritérií a musí vzít v úvahu standardy vyplývající z lidských práv na slušný život. Financování musí být kontrolované člověkem se zdravotním postižením a musí být alokované tomuto člověku, aby si tento mohl zaplatit jakoukoli pomoc, kterou potřebuje. Je založeno na posouzení individuálních potřeb a na individuálních životních okolnostech. Individualizované služby nesmí vyústit ve snížení rozpočtu a/nebo ve vyšší osobní náklady;</w:t>
      </w:r>
    </w:p>
    <w:p w14:paraId="63DDEAB8" w14:textId="1C1D1E3D" w:rsidR="00E33271" w:rsidRPr="00E33271" w:rsidRDefault="004762B3" w:rsidP="00D23053">
      <w:pPr>
        <w:pStyle w:val="SingleTxtG"/>
        <w:ind w:left="1701" w:firstLine="567"/>
        <w:rPr>
          <w:rFonts w:eastAsia="Calibri"/>
          <w:lang w:val="cs-CZ"/>
        </w:rPr>
      </w:pPr>
      <w:r w:rsidRPr="002A289A">
        <w:rPr>
          <w:rFonts w:eastAsia="Calibri"/>
          <w:lang w:val="cs-CZ"/>
        </w:rPr>
        <w:t>(</w:t>
      </w:r>
      <w:proofErr w:type="spellStart"/>
      <w:r w:rsidRPr="002A289A">
        <w:rPr>
          <w:rFonts w:eastAsia="Calibri"/>
          <w:lang w:val="cs-CZ"/>
        </w:rPr>
        <w:t>ii</w:t>
      </w:r>
      <w:proofErr w:type="spellEnd"/>
      <w:r w:rsidRPr="002A289A">
        <w:rPr>
          <w:rFonts w:eastAsia="Calibri"/>
          <w:lang w:val="cs-CZ"/>
        </w:rPr>
        <w:t>)</w:t>
      </w:r>
      <w:r w:rsidRPr="002A289A">
        <w:rPr>
          <w:rFonts w:eastAsia="Calibri"/>
          <w:lang w:val="cs-CZ"/>
        </w:rPr>
        <w:tab/>
      </w:r>
      <w:r w:rsidR="00E33271">
        <w:rPr>
          <w:rFonts w:eastAsia="Calibri"/>
          <w:b/>
          <w:lang w:val="cs-CZ"/>
        </w:rPr>
        <w:t>Služba je kontrolovaná člověkem se zdravotním postižením</w:t>
      </w:r>
      <w:r w:rsidR="00E33271">
        <w:rPr>
          <w:rFonts w:eastAsia="Calibri"/>
          <w:lang w:val="cs-CZ"/>
        </w:rPr>
        <w:t xml:space="preserve">, což znamená, že tento člověk si může tuto službu </w:t>
      </w:r>
      <w:proofErr w:type="spellStart"/>
      <w:r w:rsidR="00E33271">
        <w:rPr>
          <w:rFonts w:eastAsia="Calibri"/>
          <w:lang w:val="cs-CZ"/>
        </w:rPr>
        <w:t>nakontraktovat</w:t>
      </w:r>
      <w:proofErr w:type="spellEnd"/>
      <w:r w:rsidR="00E33271">
        <w:rPr>
          <w:rFonts w:eastAsia="Calibri"/>
          <w:lang w:val="cs-CZ"/>
        </w:rPr>
        <w:t xml:space="preserve"> od rozličných poskytovatelů, nebo může jednat jako zaměstnavatel. Osoby se zdravotním postižením mají možnost navrhnout si vlastní službu na zakázku, </w:t>
      </w:r>
      <w:proofErr w:type="gramStart"/>
      <w:r w:rsidR="00E33271">
        <w:rPr>
          <w:rFonts w:eastAsia="Calibri"/>
          <w:lang w:val="cs-CZ"/>
        </w:rPr>
        <w:t>t. j. navrhnout</w:t>
      </w:r>
      <w:proofErr w:type="gramEnd"/>
      <w:r w:rsidR="00E33271">
        <w:rPr>
          <w:rFonts w:eastAsia="Calibri"/>
          <w:lang w:val="cs-CZ"/>
        </w:rPr>
        <w:t xml:space="preserve"> službu a rozhodnout se, kým, jak, kdy a kde a jakým způsobem jim bude služba poskytnuta a instruovat a řídit poskytovatele služby. </w:t>
      </w:r>
    </w:p>
    <w:p w14:paraId="0761A572" w14:textId="0E83E0A6" w:rsidR="00974621" w:rsidRDefault="00E33271" w:rsidP="00D23053">
      <w:pPr>
        <w:pStyle w:val="SingleTxtG"/>
        <w:ind w:left="1701" w:firstLine="567"/>
        <w:rPr>
          <w:rFonts w:eastAsia="Calibri"/>
          <w:b/>
          <w:lang w:val="cs-CZ"/>
        </w:rPr>
      </w:pPr>
      <w:r w:rsidRPr="002A289A">
        <w:rPr>
          <w:rFonts w:eastAsia="Calibri"/>
          <w:lang w:val="cs-CZ"/>
        </w:rPr>
        <w:t xml:space="preserve"> </w:t>
      </w:r>
      <w:r w:rsidR="004762B3" w:rsidRPr="002A289A">
        <w:rPr>
          <w:rFonts w:eastAsia="Calibri"/>
          <w:lang w:val="cs-CZ"/>
        </w:rPr>
        <w:t>(</w:t>
      </w:r>
      <w:proofErr w:type="spellStart"/>
      <w:r w:rsidR="004762B3" w:rsidRPr="002A289A">
        <w:rPr>
          <w:rFonts w:eastAsia="Calibri"/>
          <w:lang w:val="cs-CZ"/>
        </w:rPr>
        <w:t>iii</w:t>
      </w:r>
      <w:proofErr w:type="spellEnd"/>
      <w:r w:rsidR="004762B3" w:rsidRPr="002A289A">
        <w:rPr>
          <w:rFonts w:eastAsia="Calibri"/>
          <w:lang w:val="cs-CZ"/>
        </w:rPr>
        <w:t>)</w:t>
      </w:r>
      <w:r w:rsidR="004762B3" w:rsidRPr="002A289A">
        <w:rPr>
          <w:rFonts w:eastAsia="Calibri"/>
          <w:lang w:val="cs-CZ"/>
        </w:rPr>
        <w:tab/>
      </w:r>
      <w:r w:rsidR="00974621">
        <w:rPr>
          <w:rFonts w:eastAsia="Calibri"/>
          <w:b/>
          <w:lang w:val="cs-CZ"/>
        </w:rPr>
        <w:t>Osobní asiste</w:t>
      </w:r>
      <w:r w:rsidR="00974621" w:rsidRPr="00974621">
        <w:rPr>
          <w:rFonts w:eastAsia="Calibri"/>
          <w:b/>
          <w:lang w:val="cs-CZ"/>
        </w:rPr>
        <w:t>nce je vztah jednoho na jednoho</w:t>
      </w:r>
      <w:r w:rsidR="00974621">
        <w:rPr>
          <w:rFonts w:eastAsia="Calibri"/>
          <w:lang w:val="cs-CZ"/>
        </w:rPr>
        <w:t xml:space="preserve">. Osobní asistenti musí být vybírání, zaškolováni a </w:t>
      </w:r>
      <w:proofErr w:type="spellStart"/>
      <w:r w:rsidR="00974621">
        <w:rPr>
          <w:rFonts w:eastAsia="Calibri"/>
          <w:lang w:val="cs-CZ"/>
        </w:rPr>
        <w:t>supervidováni</w:t>
      </w:r>
      <w:proofErr w:type="spellEnd"/>
      <w:r w:rsidR="00974621">
        <w:rPr>
          <w:rFonts w:eastAsia="Calibri"/>
          <w:lang w:val="cs-CZ"/>
        </w:rPr>
        <w:t xml:space="preserve"> osobou, jíž je osobní asistence poskytována. Osobní asistenti by neměli být „sdílení“ bez plného a svobodného souhlasu osoby, které je osobní asistence poskytována. Sdílení osobních asistentů může potenciálně omezovat a ohrožovat sebeurčovací a spontánní účast v komunitě; a</w:t>
      </w:r>
    </w:p>
    <w:p w14:paraId="412C625D" w14:textId="707B8CAD" w:rsidR="00DF6AD4" w:rsidRPr="00DF6AD4" w:rsidRDefault="004762B3" w:rsidP="00D23053">
      <w:pPr>
        <w:pStyle w:val="SingleTxtG"/>
        <w:ind w:left="1701" w:firstLine="567"/>
        <w:rPr>
          <w:rFonts w:eastAsia="Calibri"/>
          <w:lang w:val="cs-CZ"/>
        </w:rPr>
      </w:pPr>
      <w:r w:rsidRPr="002A289A">
        <w:rPr>
          <w:rFonts w:eastAsia="Calibri"/>
          <w:lang w:val="cs-CZ"/>
        </w:rPr>
        <w:lastRenderedPageBreak/>
        <w:t>(</w:t>
      </w:r>
      <w:proofErr w:type="spellStart"/>
      <w:r w:rsidRPr="002A289A">
        <w:rPr>
          <w:rFonts w:eastAsia="Calibri"/>
          <w:lang w:val="cs-CZ"/>
        </w:rPr>
        <w:t>iv</w:t>
      </w:r>
      <w:proofErr w:type="spellEnd"/>
      <w:r w:rsidRPr="002A289A">
        <w:rPr>
          <w:rFonts w:eastAsia="Calibri"/>
          <w:lang w:val="cs-CZ"/>
        </w:rPr>
        <w:t>)</w:t>
      </w:r>
      <w:r w:rsidRPr="002A289A">
        <w:rPr>
          <w:rFonts w:eastAsia="Calibri"/>
          <w:lang w:val="cs-CZ"/>
        </w:rPr>
        <w:tab/>
      </w:r>
      <w:proofErr w:type="spellStart"/>
      <w:r w:rsidRPr="002A289A">
        <w:rPr>
          <w:rFonts w:eastAsia="Calibri"/>
          <w:b/>
          <w:lang w:val="cs-CZ"/>
        </w:rPr>
        <w:t>Self</w:t>
      </w:r>
      <w:proofErr w:type="spellEnd"/>
      <w:r w:rsidRPr="002A289A">
        <w:rPr>
          <w:rFonts w:eastAsia="Calibri"/>
          <w:b/>
          <w:lang w:val="cs-CZ"/>
        </w:rPr>
        <w:t xml:space="preserve">-management </w:t>
      </w:r>
      <w:r w:rsidR="00DF6AD4">
        <w:rPr>
          <w:rFonts w:eastAsia="Calibri"/>
          <w:b/>
          <w:lang w:val="cs-CZ"/>
        </w:rPr>
        <w:t xml:space="preserve">poskytování služby. </w:t>
      </w:r>
      <w:r w:rsidR="00DF6AD4">
        <w:rPr>
          <w:rFonts w:eastAsia="Calibri"/>
          <w:lang w:val="cs-CZ"/>
        </w:rPr>
        <w:t>Lidé se zdravotním postižením, kteří vyžadují osobní asistenci si mohou svobodně zvolit stupně osobní kontroly nad poskytováním služby podle jejich životních okolností a preferencí. I v případě, že odpovědnost „zaměstnavatele“ není součástí smlouvy, musí člověk se zdravotním postižením vždy zůstávat v centru rozhodnutí, týkajících se asistence, musí být dotazován na své osobní preference a ty musí být respektovány. Kontrola osobní asistence se může odehrávat prostřednictvím podporovaného rozhodování.</w:t>
      </w:r>
    </w:p>
    <w:p w14:paraId="02CB0625" w14:textId="56DDC94D" w:rsidR="00DF6AD4" w:rsidRPr="00DF6AD4" w:rsidRDefault="004762B3" w:rsidP="00B85A57">
      <w:pPr>
        <w:pStyle w:val="SingleTxtG"/>
        <w:rPr>
          <w:rFonts w:eastAsia="Calibri"/>
          <w:lang w:val="cs-CZ"/>
        </w:rPr>
      </w:pPr>
      <w:r w:rsidRPr="000A7503">
        <w:rPr>
          <w:rFonts w:eastAsia="Calibri"/>
          <w:lang w:val="cs-CZ"/>
        </w:rPr>
        <w:t>1</w:t>
      </w:r>
      <w:r w:rsidR="00E82683" w:rsidRPr="000A7503">
        <w:rPr>
          <w:rFonts w:eastAsia="Calibri"/>
          <w:lang w:val="cs-CZ"/>
        </w:rPr>
        <w:t>7</w:t>
      </w:r>
      <w:r w:rsidRPr="000A7503">
        <w:rPr>
          <w:rFonts w:eastAsia="Calibri"/>
          <w:lang w:val="cs-CZ"/>
        </w:rPr>
        <w:t>.</w:t>
      </w:r>
      <w:r w:rsidRPr="000A7503">
        <w:rPr>
          <w:rFonts w:eastAsia="Calibri"/>
          <w:lang w:val="cs-CZ"/>
        </w:rPr>
        <w:tab/>
      </w:r>
      <w:r w:rsidR="00DF6AD4" w:rsidRPr="00DF6AD4">
        <w:rPr>
          <w:rFonts w:eastAsia="Calibri"/>
          <w:lang w:val="cs-CZ"/>
        </w:rPr>
        <w:t xml:space="preserve">Poskytovatelé </w:t>
      </w:r>
      <w:r w:rsidR="00DF6AD4">
        <w:rPr>
          <w:rFonts w:eastAsia="Calibri"/>
          <w:lang w:val="cs-CZ"/>
        </w:rPr>
        <w:t>podpůrných služeb často špatně popisují svou podpůrnou službu s užitím pojmu „nezávislý“ nebo „komunitní život\“, stejně jako „osobní asistence“, navzdory tomu, že tyto služby v praxi nenaplňují požadavky vyplývající z článku 19. Povinná „balíčková řešení“, která vedle jiného vážou dostupnost jedné zvláštní služby na jinou, předpokládají</w:t>
      </w:r>
      <w:r w:rsidR="007D0D21">
        <w:rPr>
          <w:rFonts w:eastAsia="Calibri"/>
          <w:lang w:val="cs-CZ"/>
        </w:rPr>
        <w:t xml:space="preserve"> společné žití dvou či více osob, nebo mohou být poskytovány pouze v rámci zvláštního životního uspořádání. Koncept osobní asistence, v němž lidem se zdravotním postižením nenáleží plné sebeurčení a sebekontrola, nemůže být považován za souladný s článkem 19. Lidem s komplexními nároky v oblasti komunikace, včetně těch, kteří používají neformální způsoby komunikace (t. j. komunikaci prostřednictvím nereprezentativních prostředků, včetně výrazu tváře, postavení těla a vokalizace) musí být poskytnuta odpovídající podpora, umožňující jim formulovat a sdělit své pokyny, rozhodnutí, volbu a/nebo preference, a tyto musí být seznány a respektovány. </w:t>
      </w:r>
    </w:p>
    <w:p w14:paraId="575CB002" w14:textId="7FA5FD03" w:rsidR="00D12D66" w:rsidRPr="007D0D21" w:rsidRDefault="00C50C50" w:rsidP="00C50C50">
      <w:pPr>
        <w:pStyle w:val="H1G"/>
        <w:rPr>
          <w:rFonts w:eastAsia="Calibri"/>
          <w:lang w:val="cs-CZ"/>
        </w:rPr>
      </w:pPr>
      <w:r>
        <w:rPr>
          <w:rFonts w:eastAsia="Calibri"/>
          <w:lang w:val="en-US"/>
        </w:rPr>
        <w:tab/>
        <w:t>B.</w:t>
      </w:r>
      <w:r>
        <w:rPr>
          <w:rFonts w:eastAsia="Calibri"/>
          <w:lang w:val="en-US"/>
        </w:rPr>
        <w:tab/>
      </w:r>
      <w:r w:rsidR="007D0D21">
        <w:rPr>
          <w:rFonts w:eastAsia="Calibri"/>
          <w:lang w:val="cs-CZ"/>
        </w:rPr>
        <w:t>Článek</w:t>
      </w:r>
      <w:r w:rsidR="00D12D66" w:rsidRPr="007D0D21">
        <w:rPr>
          <w:rFonts w:eastAsia="Calibri"/>
          <w:lang w:val="cs-CZ"/>
        </w:rPr>
        <w:t xml:space="preserve"> 19, </w:t>
      </w:r>
      <w:r w:rsidR="00831D7C">
        <w:rPr>
          <w:rFonts w:eastAsia="Calibri"/>
          <w:lang w:val="cs-CZ"/>
        </w:rPr>
        <w:t>rámec</w:t>
      </w:r>
    </w:p>
    <w:p w14:paraId="27322B20" w14:textId="6CFFDBC1" w:rsidR="00781B67"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7D0D21">
        <w:rPr>
          <w:rFonts w:ascii="Times New Roman" w:hAnsi="Times New Roman" w:cs="Times New Roman"/>
          <w:sz w:val="20"/>
          <w:szCs w:val="20"/>
          <w:lang w:val="cs-CZ"/>
        </w:rPr>
        <w:t>1</w:t>
      </w:r>
      <w:r w:rsidR="00E82683" w:rsidRPr="007D0D21">
        <w:rPr>
          <w:rFonts w:ascii="Times New Roman" w:hAnsi="Times New Roman" w:cs="Times New Roman"/>
          <w:sz w:val="20"/>
          <w:szCs w:val="20"/>
          <w:lang w:val="cs-CZ"/>
        </w:rPr>
        <w:t>8</w:t>
      </w:r>
      <w:r w:rsidRPr="007D0D21">
        <w:rPr>
          <w:rFonts w:ascii="Times New Roman" w:hAnsi="Times New Roman" w:cs="Times New Roman"/>
          <w:sz w:val="20"/>
          <w:szCs w:val="20"/>
          <w:lang w:val="cs-CZ"/>
        </w:rPr>
        <w:t>.</w:t>
      </w:r>
      <w:r w:rsidRPr="007D0D21">
        <w:rPr>
          <w:rFonts w:ascii="Times New Roman" w:hAnsi="Times New Roman" w:cs="Times New Roman"/>
          <w:sz w:val="20"/>
          <w:szCs w:val="20"/>
          <w:lang w:val="cs-CZ"/>
        </w:rPr>
        <w:tab/>
      </w:r>
      <w:r w:rsidR="00781B67">
        <w:rPr>
          <w:rFonts w:ascii="Times New Roman" w:hAnsi="Times New Roman" w:cs="Times New Roman"/>
          <w:sz w:val="20"/>
          <w:szCs w:val="20"/>
          <w:lang w:val="cs-CZ"/>
        </w:rPr>
        <w:t>Článek 19 opětovně zdůrazňuje zákaz diskriminace a uznání rovného práva lidí se zdravotním postižením žít nezávisle v komunitě. Aby bylo právo žít nezávisle, včetně možnosti volby srovnatelné s ostatními a práva být začleněn do komunity, realizováno</w:t>
      </w:r>
      <w:r w:rsidR="00831D7C">
        <w:rPr>
          <w:rFonts w:ascii="Times New Roman" w:hAnsi="Times New Roman" w:cs="Times New Roman"/>
          <w:sz w:val="20"/>
          <w:szCs w:val="20"/>
          <w:lang w:val="cs-CZ"/>
        </w:rPr>
        <w:t>, musí</w:t>
      </w:r>
      <w:r w:rsidR="00781B67">
        <w:rPr>
          <w:rFonts w:ascii="Times New Roman" w:hAnsi="Times New Roman" w:cs="Times New Roman"/>
          <w:sz w:val="20"/>
          <w:szCs w:val="20"/>
          <w:lang w:val="cs-CZ"/>
        </w:rPr>
        <w:t xml:space="preserve"> smluvní státy přijmout účinná a odpovídající opatření, která by usnadnila plné užívání tohoto práva a plnou inkluzi a participaci lidí se zdravotním postižením </w:t>
      </w:r>
      <w:r w:rsidR="00831D7C">
        <w:rPr>
          <w:rFonts w:ascii="Times New Roman" w:hAnsi="Times New Roman" w:cs="Times New Roman"/>
          <w:sz w:val="20"/>
          <w:szCs w:val="20"/>
          <w:lang w:val="cs-CZ"/>
        </w:rPr>
        <w:t>v rámci</w:t>
      </w:r>
      <w:r w:rsidR="00781B67">
        <w:rPr>
          <w:rFonts w:ascii="Times New Roman" w:hAnsi="Times New Roman" w:cs="Times New Roman"/>
          <w:sz w:val="20"/>
          <w:szCs w:val="20"/>
          <w:lang w:val="cs-CZ"/>
        </w:rPr>
        <w:t xml:space="preserve"> komunity. </w:t>
      </w:r>
    </w:p>
    <w:p w14:paraId="37C5100A" w14:textId="77777777" w:rsidR="004762B3" w:rsidRPr="007D0D21"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61742918" w14:textId="21CE4AE3" w:rsidR="00781B67"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7D0D21">
        <w:rPr>
          <w:rFonts w:ascii="Times New Roman" w:hAnsi="Times New Roman" w:cs="Times New Roman"/>
          <w:sz w:val="20"/>
          <w:szCs w:val="20"/>
          <w:lang w:val="cs-CZ"/>
        </w:rPr>
        <w:t>1</w:t>
      </w:r>
      <w:r w:rsidR="00E82683" w:rsidRPr="007D0D21">
        <w:rPr>
          <w:rFonts w:ascii="Times New Roman" w:hAnsi="Times New Roman" w:cs="Times New Roman"/>
          <w:sz w:val="20"/>
          <w:szCs w:val="20"/>
          <w:lang w:val="cs-CZ"/>
        </w:rPr>
        <w:t>9</w:t>
      </w:r>
      <w:r w:rsidRPr="007D0D21">
        <w:rPr>
          <w:rFonts w:ascii="Times New Roman" w:hAnsi="Times New Roman" w:cs="Times New Roman"/>
          <w:sz w:val="20"/>
          <w:szCs w:val="20"/>
          <w:lang w:val="cs-CZ"/>
        </w:rPr>
        <w:t>.</w:t>
      </w:r>
      <w:r w:rsidRPr="007D0D21">
        <w:rPr>
          <w:rFonts w:ascii="Times New Roman" w:hAnsi="Times New Roman" w:cs="Times New Roman"/>
          <w:sz w:val="20"/>
          <w:szCs w:val="20"/>
          <w:lang w:val="cs-CZ"/>
        </w:rPr>
        <w:tab/>
      </w:r>
      <w:r w:rsidR="00781B67">
        <w:rPr>
          <w:rFonts w:ascii="Times New Roman" w:hAnsi="Times New Roman" w:cs="Times New Roman"/>
          <w:sz w:val="20"/>
          <w:szCs w:val="20"/>
          <w:lang w:val="cs-CZ"/>
        </w:rPr>
        <w:t xml:space="preserve">Článek </w:t>
      </w:r>
      <w:r w:rsidR="00831D7C">
        <w:rPr>
          <w:rFonts w:ascii="Times New Roman" w:hAnsi="Times New Roman" w:cs="Times New Roman"/>
          <w:sz w:val="20"/>
          <w:szCs w:val="20"/>
          <w:lang w:val="cs-CZ"/>
        </w:rPr>
        <w:t xml:space="preserve">19 </w:t>
      </w:r>
      <w:r w:rsidR="00781B67">
        <w:rPr>
          <w:rFonts w:ascii="Times New Roman" w:hAnsi="Times New Roman" w:cs="Times New Roman"/>
          <w:sz w:val="20"/>
          <w:szCs w:val="20"/>
          <w:lang w:val="cs-CZ"/>
        </w:rPr>
        <w:t xml:space="preserve">zahrnuje dva koncepty, které jsou jasně zmíněny pouze v jeho názvu: právo na nezávislý </w:t>
      </w:r>
      <w:r w:rsidR="00831D7C">
        <w:rPr>
          <w:rFonts w:ascii="Times New Roman" w:hAnsi="Times New Roman" w:cs="Times New Roman"/>
          <w:sz w:val="20"/>
          <w:szCs w:val="20"/>
          <w:lang w:val="cs-CZ"/>
        </w:rPr>
        <w:t>život</w:t>
      </w:r>
      <w:r w:rsidR="00781B67">
        <w:rPr>
          <w:rFonts w:ascii="Times New Roman" w:hAnsi="Times New Roman" w:cs="Times New Roman"/>
          <w:sz w:val="20"/>
          <w:szCs w:val="20"/>
          <w:lang w:val="cs-CZ"/>
        </w:rPr>
        <w:t xml:space="preserve"> a právo být začleněn do komunity. Zatímco právo na nezávislý způsob života odkazuje k individuálnímu rozměru jako negativnímu právu emancipovat se bez odepření přístupu a možností, právo být začleněn do komunity zahrnuje společenský rozměr jako pozitivní právo na rozvoj inkluzivního prostředí. Právo, jak je zakotvené v článku 19, zahrnuje oba koncepty. </w:t>
      </w:r>
    </w:p>
    <w:p w14:paraId="45712B83" w14:textId="77777777" w:rsidR="004762B3" w:rsidRPr="007D0D21"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59FCC81B" w14:textId="57375122" w:rsidR="00781B67" w:rsidRDefault="00E82683" w:rsidP="00A12659">
      <w:pPr>
        <w:pStyle w:val="Listeafsnit1"/>
        <w:spacing w:after="120" w:line="240" w:lineRule="atLeast"/>
        <w:ind w:left="1134" w:right="1134"/>
        <w:jc w:val="both"/>
        <w:rPr>
          <w:rFonts w:ascii="Times New Roman" w:hAnsi="Times New Roman" w:cs="Times New Roman"/>
          <w:sz w:val="20"/>
          <w:szCs w:val="20"/>
          <w:lang w:val="cs-CZ"/>
        </w:rPr>
      </w:pPr>
      <w:r w:rsidRPr="007D0D21">
        <w:rPr>
          <w:rFonts w:ascii="Times New Roman" w:hAnsi="Times New Roman" w:cs="Times New Roman"/>
          <w:sz w:val="20"/>
          <w:szCs w:val="20"/>
          <w:lang w:val="cs-CZ"/>
        </w:rPr>
        <w:t>20</w:t>
      </w:r>
      <w:r w:rsidR="004762B3" w:rsidRPr="007D0D21">
        <w:rPr>
          <w:rFonts w:ascii="Times New Roman" w:hAnsi="Times New Roman" w:cs="Times New Roman"/>
          <w:sz w:val="20"/>
          <w:szCs w:val="20"/>
          <w:lang w:val="cs-CZ"/>
        </w:rPr>
        <w:t>.</w:t>
      </w:r>
      <w:r w:rsidR="004762B3" w:rsidRPr="007D0D21">
        <w:rPr>
          <w:rFonts w:ascii="Times New Roman" w:hAnsi="Times New Roman" w:cs="Times New Roman"/>
          <w:sz w:val="20"/>
          <w:szCs w:val="20"/>
          <w:lang w:val="cs-CZ"/>
        </w:rPr>
        <w:tab/>
      </w:r>
      <w:r w:rsidR="00781B67">
        <w:rPr>
          <w:rFonts w:ascii="Times New Roman" w:hAnsi="Times New Roman" w:cs="Times New Roman"/>
          <w:sz w:val="20"/>
          <w:szCs w:val="20"/>
          <w:lang w:val="cs-CZ"/>
        </w:rPr>
        <w:t xml:space="preserve">Článek 19 výslovně zmiňuje všechny lidi se zdravotním postižením. Ani úplné nebo částečné odepření způsobilosti k právním jednáním jakéhokoli stupně ani úroveň nezbytné podpory nemohou být použity jako důvody pro odepření nebo omezení práva </w:t>
      </w:r>
      <w:r w:rsidR="00252088">
        <w:rPr>
          <w:rFonts w:ascii="Times New Roman" w:hAnsi="Times New Roman" w:cs="Times New Roman"/>
          <w:sz w:val="20"/>
          <w:szCs w:val="20"/>
          <w:lang w:val="cs-CZ"/>
        </w:rPr>
        <w:t xml:space="preserve">lidí se zdravotním postižením </w:t>
      </w:r>
      <w:r w:rsidR="00781B67">
        <w:rPr>
          <w:rFonts w:ascii="Times New Roman" w:hAnsi="Times New Roman" w:cs="Times New Roman"/>
          <w:sz w:val="20"/>
          <w:szCs w:val="20"/>
          <w:lang w:val="cs-CZ"/>
        </w:rPr>
        <w:t xml:space="preserve">na nezávislý život a na nezávislý život v komunitě. </w:t>
      </w:r>
    </w:p>
    <w:p w14:paraId="6DE2D55B" w14:textId="77777777" w:rsidR="004762B3" w:rsidRPr="007D0D21"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4A835120" w14:textId="6A7CCA9F" w:rsidR="00252088"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7D0D21">
        <w:rPr>
          <w:rFonts w:ascii="Times New Roman" w:hAnsi="Times New Roman" w:cs="Times New Roman"/>
          <w:sz w:val="20"/>
          <w:szCs w:val="20"/>
          <w:lang w:val="cs-CZ"/>
        </w:rPr>
        <w:t>2</w:t>
      </w:r>
      <w:r w:rsidR="00E82683" w:rsidRPr="007D0D21">
        <w:rPr>
          <w:rFonts w:ascii="Times New Roman" w:hAnsi="Times New Roman" w:cs="Times New Roman"/>
          <w:sz w:val="20"/>
          <w:szCs w:val="20"/>
          <w:lang w:val="cs-CZ"/>
        </w:rPr>
        <w:t>1</w:t>
      </w:r>
      <w:r w:rsidRPr="007D0D21">
        <w:rPr>
          <w:rFonts w:ascii="Times New Roman" w:hAnsi="Times New Roman" w:cs="Times New Roman"/>
          <w:sz w:val="20"/>
          <w:szCs w:val="20"/>
          <w:lang w:val="cs-CZ"/>
        </w:rPr>
        <w:t>.</w:t>
      </w:r>
      <w:r w:rsidRPr="007D0D21">
        <w:rPr>
          <w:rFonts w:ascii="Times New Roman" w:hAnsi="Times New Roman" w:cs="Times New Roman"/>
          <w:sz w:val="20"/>
          <w:szCs w:val="20"/>
          <w:lang w:val="cs-CZ"/>
        </w:rPr>
        <w:tab/>
      </w:r>
      <w:r w:rsidR="00252088">
        <w:rPr>
          <w:rFonts w:ascii="Times New Roman" w:hAnsi="Times New Roman" w:cs="Times New Roman"/>
          <w:sz w:val="20"/>
          <w:szCs w:val="20"/>
          <w:lang w:val="cs-CZ"/>
        </w:rPr>
        <w:t xml:space="preserve">Tam, kde lidé se zdravotním postižením </w:t>
      </w:r>
      <w:r w:rsidR="00831D7C">
        <w:rPr>
          <w:rFonts w:ascii="Times New Roman" w:hAnsi="Times New Roman" w:cs="Times New Roman"/>
          <w:sz w:val="20"/>
          <w:szCs w:val="20"/>
          <w:lang w:val="cs-CZ"/>
        </w:rPr>
        <w:t>kladou</w:t>
      </w:r>
      <w:r w:rsidR="00252088">
        <w:rPr>
          <w:rFonts w:ascii="Times New Roman" w:hAnsi="Times New Roman" w:cs="Times New Roman"/>
          <w:sz w:val="20"/>
          <w:szCs w:val="20"/>
          <w:lang w:val="cs-CZ"/>
        </w:rPr>
        <w:t xml:space="preserve"> vysoké nároky na osobní službu, smluvní státy často považují instituce jako jediné řešení, zvláště, pokud by osobní služby byly posouzeny jako „příliš nákladné“ nebo člověk se zdravotním postižením jako „neschopný“ žít mimo institucionální zařízení. Lidé s mentálním postižením, především ti, kteří mají komplexní komunikační nároky, jsou velmi často posouzeni mj. jak</w:t>
      </w:r>
      <w:r w:rsidR="00831D7C">
        <w:rPr>
          <w:rFonts w:ascii="Times New Roman" w:hAnsi="Times New Roman" w:cs="Times New Roman"/>
          <w:sz w:val="20"/>
          <w:szCs w:val="20"/>
          <w:lang w:val="cs-CZ"/>
        </w:rPr>
        <w:t>o neschopní žít mimo ústavní za</w:t>
      </w:r>
      <w:r w:rsidR="00252088">
        <w:rPr>
          <w:rFonts w:ascii="Times New Roman" w:hAnsi="Times New Roman" w:cs="Times New Roman"/>
          <w:sz w:val="20"/>
          <w:szCs w:val="20"/>
          <w:lang w:val="cs-CZ"/>
        </w:rPr>
        <w:t xml:space="preserve">řízení. Takové uvažování odporuje článku 19, který garantuje právo žít nezávisle a být začleněn do komunity všem lidem se zdravotním postižením bez ohledu na mentální způsobilost, soběstačnost nebo potřebu podpory. </w:t>
      </w:r>
    </w:p>
    <w:p w14:paraId="11840DC3" w14:textId="77777777" w:rsidR="004762B3" w:rsidRPr="007D0D21" w:rsidRDefault="004762B3" w:rsidP="00A12659">
      <w:pPr>
        <w:pStyle w:val="Listeafsnit1"/>
        <w:spacing w:after="120" w:line="240" w:lineRule="atLeast"/>
        <w:ind w:left="1134" w:right="1134"/>
        <w:rPr>
          <w:rFonts w:ascii="Times New Roman" w:hAnsi="Times New Roman" w:cs="Times New Roman"/>
          <w:sz w:val="20"/>
          <w:szCs w:val="20"/>
          <w:lang w:val="cs-CZ"/>
        </w:rPr>
      </w:pPr>
    </w:p>
    <w:p w14:paraId="29A1B771" w14:textId="131BA5FC" w:rsidR="00252088"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7D0D21">
        <w:rPr>
          <w:rFonts w:ascii="Times New Roman" w:hAnsi="Times New Roman" w:cs="Times New Roman"/>
          <w:sz w:val="20"/>
          <w:szCs w:val="20"/>
          <w:lang w:val="cs-CZ"/>
        </w:rPr>
        <w:t>2</w:t>
      </w:r>
      <w:r w:rsidR="00E82683" w:rsidRPr="007D0D21">
        <w:rPr>
          <w:rFonts w:ascii="Times New Roman" w:hAnsi="Times New Roman" w:cs="Times New Roman"/>
          <w:sz w:val="20"/>
          <w:szCs w:val="20"/>
          <w:lang w:val="cs-CZ"/>
        </w:rPr>
        <w:t>2</w:t>
      </w:r>
      <w:r w:rsidRPr="007D0D21">
        <w:rPr>
          <w:rFonts w:ascii="Times New Roman" w:hAnsi="Times New Roman" w:cs="Times New Roman"/>
          <w:sz w:val="20"/>
          <w:szCs w:val="20"/>
          <w:lang w:val="cs-CZ"/>
        </w:rPr>
        <w:t>.</w:t>
      </w:r>
      <w:r w:rsidRPr="007D0D21">
        <w:rPr>
          <w:rFonts w:ascii="Times New Roman" w:hAnsi="Times New Roman" w:cs="Times New Roman"/>
          <w:sz w:val="20"/>
          <w:szCs w:val="20"/>
          <w:lang w:val="cs-CZ"/>
        </w:rPr>
        <w:tab/>
      </w:r>
      <w:r w:rsidR="00252088">
        <w:rPr>
          <w:rFonts w:ascii="Times New Roman" w:hAnsi="Times New Roman" w:cs="Times New Roman"/>
          <w:sz w:val="20"/>
          <w:szCs w:val="20"/>
          <w:lang w:val="cs-CZ"/>
        </w:rPr>
        <w:t xml:space="preserve">Všichni lidé se zdravotním postižením by měli moci si svobodně zvolit, že budou aktivní a budou náležet ke kulturám podle </w:t>
      </w:r>
      <w:r w:rsidR="00831D7C">
        <w:rPr>
          <w:rFonts w:ascii="Times New Roman" w:hAnsi="Times New Roman" w:cs="Times New Roman"/>
          <w:sz w:val="20"/>
          <w:szCs w:val="20"/>
          <w:lang w:val="cs-CZ"/>
        </w:rPr>
        <w:t>svého</w:t>
      </w:r>
      <w:r w:rsidR="00252088">
        <w:rPr>
          <w:rFonts w:ascii="Times New Roman" w:hAnsi="Times New Roman" w:cs="Times New Roman"/>
          <w:sz w:val="20"/>
          <w:szCs w:val="20"/>
          <w:lang w:val="cs-CZ"/>
        </w:rPr>
        <w:t xml:space="preserve"> vlastního výběru, a musí mít stejný stupeň volby a kontroly nad svými životy jako jiní členové komunity. Nezávislé žití není slučitelné s prosazování</w:t>
      </w:r>
      <w:r w:rsidR="00831D7C">
        <w:rPr>
          <w:rFonts w:ascii="Times New Roman" w:hAnsi="Times New Roman" w:cs="Times New Roman"/>
          <w:sz w:val="20"/>
          <w:szCs w:val="20"/>
          <w:lang w:val="cs-CZ"/>
        </w:rPr>
        <w:t>m</w:t>
      </w:r>
      <w:r w:rsidR="00252088">
        <w:rPr>
          <w:rFonts w:ascii="Times New Roman" w:hAnsi="Times New Roman" w:cs="Times New Roman"/>
          <w:sz w:val="20"/>
          <w:szCs w:val="20"/>
          <w:lang w:val="cs-CZ"/>
        </w:rPr>
        <w:t xml:space="preserve"> „předem definovaného“ životního stylu člověka. Mladí lidé se zdravotním postižením by neměli být nuceni žít v zařízeních, která jsou určena pro postarší lidi se zdravotním postižením a opačně. </w:t>
      </w:r>
    </w:p>
    <w:p w14:paraId="24FEB673" w14:textId="77777777" w:rsidR="004762B3" w:rsidRPr="007D0D21" w:rsidRDefault="004762B3" w:rsidP="00A12659">
      <w:pPr>
        <w:pStyle w:val="Listeafsnit1"/>
        <w:spacing w:after="120" w:line="240" w:lineRule="atLeast"/>
        <w:ind w:left="1134" w:right="1134"/>
        <w:rPr>
          <w:rFonts w:ascii="Times New Roman" w:hAnsi="Times New Roman" w:cs="Times New Roman"/>
          <w:sz w:val="20"/>
          <w:szCs w:val="20"/>
          <w:lang w:val="cs-CZ"/>
        </w:rPr>
      </w:pPr>
    </w:p>
    <w:p w14:paraId="0ECC605A" w14:textId="1514826D" w:rsidR="00252088"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7D0D21">
        <w:rPr>
          <w:rFonts w:ascii="Times New Roman" w:hAnsi="Times New Roman" w:cs="Times New Roman"/>
          <w:sz w:val="20"/>
          <w:szCs w:val="20"/>
          <w:lang w:val="cs-CZ"/>
        </w:rPr>
        <w:t>2</w:t>
      </w:r>
      <w:r w:rsidR="00E82683" w:rsidRPr="007D0D21">
        <w:rPr>
          <w:rFonts w:ascii="Times New Roman" w:hAnsi="Times New Roman" w:cs="Times New Roman"/>
          <w:sz w:val="20"/>
          <w:szCs w:val="20"/>
          <w:lang w:val="cs-CZ"/>
        </w:rPr>
        <w:t>3</w:t>
      </w:r>
      <w:r w:rsidRPr="007D0D21">
        <w:rPr>
          <w:rFonts w:ascii="Times New Roman" w:hAnsi="Times New Roman" w:cs="Times New Roman"/>
          <w:sz w:val="20"/>
          <w:szCs w:val="20"/>
          <w:lang w:val="cs-CZ"/>
        </w:rPr>
        <w:t>.</w:t>
      </w:r>
      <w:r w:rsidRPr="007D0D21">
        <w:rPr>
          <w:rFonts w:ascii="Times New Roman" w:hAnsi="Times New Roman" w:cs="Times New Roman"/>
          <w:sz w:val="20"/>
          <w:szCs w:val="20"/>
          <w:lang w:val="cs-CZ"/>
        </w:rPr>
        <w:tab/>
      </w:r>
      <w:r w:rsidR="00252088">
        <w:rPr>
          <w:rFonts w:ascii="Times New Roman" w:hAnsi="Times New Roman" w:cs="Times New Roman"/>
          <w:sz w:val="20"/>
          <w:szCs w:val="20"/>
          <w:lang w:val="cs-CZ"/>
        </w:rPr>
        <w:t xml:space="preserve">Lidé se zdravotním postižením jakéhokoli genderu jsou držiteli práv a užívají rovné ochrany vyplývající z článku 19. Měla by být přijata všechna odpovídající opatření, která </w:t>
      </w:r>
      <w:r w:rsidR="00252088">
        <w:rPr>
          <w:rFonts w:ascii="Times New Roman" w:hAnsi="Times New Roman" w:cs="Times New Roman"/>
          <w:sz w:val="20"/>
          <w:szCs w:val="20"/>
          <w:lang w:val="cs-CZ"/>
        </w:rPr>
        <w:lastRenderedPageBreak/>
        <w:t xml:space="preserve">by zajistila plný rozvoj, pokrok a </w:t>
      </w:r>
      <w:proofErr w:type="spellStart"/>
      <w:r w:rsidR="00252088">
        <w:rPr>
          <w:rFonts w:ascii="Times New Roman" w:hAnsi="Times New Roman" w:cs="Times New Roman"/>
          <w:sz w:val="20"/>
          <w:szCs w:val="20"/>
          <w:lang w:val="cs-CZ"/>
        </w:rPr>
        <w:t>zeschopňování</w:t>
      </w:r>
      <w:proofErr w:type="spellEnd"/>
      <w:r w:rsidR="00252088">
        <w:rPr>
          <w:rFonts w:ascii="Times New Roman" w:hAnsi="Times New Roman" w:cs="Times New Roman"/>
          <w:sz w:val="20"/>
          <w:szCs w:val="20"/>
          <w:lang w:val="cs-CZ"/>
        </w:rPr>
        <w:t xml:space="preserve"> žen. LGBTQI lidé se zdravotním postižení musí užívat stejné ochrany, vyplývající z článku 19, a proto musí být respektovány jejich osobní vztahy. Navíc právo na nezávislý způsob života a být začleněn v komunitě zahrnuje ochranu lidí se zdravotním postižením, příslušejících k různým věkovým skupinám, etnickým skupinám, kastám, jazykovým a/nebo náboženským menšinám, stejně jako k migrantům, žadatelům o azyl nebo uprchlíkům. </w:t>
      </w:r>
    </w:p>
    <w:p w14:paraId="4E7CA6B7" w14:textId="1D22A0FB" w:rsidR="00D12D66" w:rsidRPr="00252088" w:rsidRDefault="00C50C50" w:rsidP="00C50C50">
      <w:pPr>
        <w:pStyle w:val="H1G"/>
        <w:rPr>
          <w:rFonts w:eastAsia="Calibri"/>
          <w:lang w:val="cs-CZ"/>
        </w:rPr>
      </w:pPr>
      <w:r>
        <w:rPr>
          <w:rFonts w:eastAsia="Calibri"/>
          <w:lang w:val="en-US"/>
        </w:rPr>
        <w:tab/>
        <w:t>C.</w:t>
      </w:r>
      <w:r>
        <w:rPr>
          <w:rFonts w:eastAsia="Calibri"/>
          <w:lang w:val="en-US"/>
        </w:rPr>
        <w:tab/>
      </w:r>
      <w:r w:rsidR="00252088">
        <w:rPr>
          <w:rFonts w:eastAsia="Calibri"/>
          <w:lang w:val="cs-CZ"/>
        </w:rPr>
        <w:t>Článek</w:t>
      </w:r>
      <w:r w:rsidR="00D12D66" w:rsidRPr="00252088">
        <w:rPr>
          <w:rFonts w:eastAsia="Calibri"/>
          <w:lang w:val="cs-CZ"/>
        </w:rPr>
        <w:t xml:space="preserve"> 19 (a)</w:t>
      </w:r>
    </w:p>
    <w:p w14:paraId="3BFB0414" w14:textId="70CAFCB1" w:rsidR="00252088" w:rsidRDefault="004762B3" w:rsidP="00A12659">
      <w:pPr>
        <w:ind w:left="1134" w:right="1134"/>
        <w:jc w:val="both"/>
        <w:rPr>
          <w:rFonts w:eastAsia="Calibri"/>
          <w:lang w:val="cs-CZ"/>
        </w:rPr>
      </w:pPr>
      <w:r w:rsidRPr="00252088">
        <w:rPr>
          <w:rFonts w:eastAsia="Calibri"/>
          <w:lang w:val="cs-CZ"/>
        </w:rPr>
        <w:t>2</w:t>
      </w:r>
      <w:r w:rsidR="00E82683" w:rsidRPr="00252088">
        <w:rPr>
          <w:rFonts w:eastAsia="Calibri"/>
          <w:lang w:val="cs-CZ"/>
        </w:rPr>
        <w:t>4</w:t>
      </w:r>
      <w:r w:rsidRPr="00252088">
        <w:rPr>
          <w:rFonts w:eastAsia="Calibri"/>
          <w:lang w:val="cs-CZ"/>
        </w:rPr>
        <w:t>.</w:t>
      </w:r>
      <w:r w:rsidRPr="00252088">
        <w:rPr>
          <w:rFonts w:eastAsia="Calibri"/>
          <w:lang w:val="cs-CZ"/>
        </w:rPr>
        <w:tab/>
      </w:r>
      <w:r w:rsidR="00D14446">
        <w:rPr>
          <w:rFonts w:eastAsia="Calibri"/>
          <w:lang w:val="cs-CZ"/>
        </w:rPr>
        <w:t>Zvolit si a rozhodnout se o tom, jak, kde, s kým žít je ústřední myšlenkou práva na nezávislý způsob života a být začleněn do komunity. Individuální volba proto není limitovaná na místo pobytu, ale zahrnuje všechny aspekty životního uspořádání člověka: denní program a rutinu, stejně jako způsob života a životní styl člověka, pokrývaje soukromé i veřejné sféry každodenního i dlouhodobého rozměru.</w:t>
      </w:r>
    </w:p>
    <w:p w14:paraId="76901CAB" w14:textId="77777777" w:rsidR="004762B3" w:rsidRPr="00252088" w:rsidRDefault="004762B3" w:rsidP="00A12659">
      <w:pPr>
        <w:ind w:left="1134" w:right="1134"/>
        <w:jc w:val="both"/>
        <w:rPr>
          <w:rFonts w:eastAsia="Calibri"/>
          <w:lang w:val="cs-CZ"/>
        </w:rPr>
      </w:pPr>
    </w:p>
    <w:p w14:paraId="57217FFB" w14:textId="7E3340EA" w:rsidR="00D14446" w:rsidRDefault="004762B3" w:rsidP="00A12659">
      <w:pPr>
        <w:ind w:left="1134" w:right="1134"/>
        <w:jc w:val="both"/>
        <w:rPr>
          <w:rFonts w:eastAsia="Calibri"/>
          <w:lang w:val="cs-CZ"/>
        </w:rPr>
      </w:pPr>
      <w:r w:rsidRPr="00252088">
        <w:rPr>
          <w:rFonts w:eastAsia="Calibri"/>
          <w:lang w:val="cs-CZ"/>
        </w:rPr>
        <w:t>2</w:t>
      </w:r>
      <w:r w:rsidR="00E82683" w:rsidRPr="00252088">
        <w:rPr>
          <w:rFonts w:eastAsia="Calibri"/>
          <w:lang w:val="cs-CZ"/>
        </w:rPr>
        <w:t>5</w:t>
      </w:r>
      <w:r w:rsidRPr="00252088">
        <w:rPr>
          <w:rFonts w:eastAsia="Calibri"/>
          <w:lang w:val="cs-CZ"/>
        </w:rPr>
        <w:t>.</w:t>
      </w:r>
      <w:r w:rsidRPr="00252088">
        <w:rPr>
          <w:rFonts w:eastAsia="Calibri"/>
          <w:lang w:val="cs-CZ"/>
        </w:rPr>
        <w:tab/>
      </w:r>
      <w:r w:rsidR="00D14446">
        <w:rPr>
          <w:rFonts w:eastAsia="Calibri"/>
          <w:lang w:val="cs-CZ"/>
        </w:rPr>
        <w:t>Lidé</w:t>
      </w:r>
      <w:r w:rsidR="005D586B">
        <w:rPr>
          <w:rFonts w:eastAsia="Calibri"/>
          <w:lang w:val="cs-CZ"/>
        </w:rPr>
        <w:t xml:space="preserve"> se zdravotním postižením často nemohou učinit volbu, jelikož je zde nedostatek možností, z nichž by si mohli vybírat. To je například případ, kdy neformální podpora ze strany rodiny je jedinou možností, kdy je nedostupná podpora mimo instituce, kdy je bydlení nepřístupné nebo kdy podpora není poskytovaná v komunitě, a kdy </w:t>
      </w:r>
      <w:r w:rsidR="00640CFE">
        <w:rPr>
          <w:rFonts w:eastAsia="Calibri"/>
          <w:lang w:val="cs-CZ"/>
        </w:rPr>
        <w:t>je podpora poskytovaná pouze v rámci specifických forem pobytu</w:t>
      </w:r>
      <w:r w:rsidR="004B6452">
        <w:rPr>
          <w:rFonts w:eastAsia="Calibri"/>
          <w:lang w:val="cs-CZ"/>
        </w:rPr>
        <w:t>,</w:t>
      </w:r>
      <w:r w:rsidR="00640CFE">
        <w:rPr>
          <w:rFonts w:eastAsia="Calibri"/>
          <w:lang w:val="cs-CZ"/>
        </w:rPr>
        <w:t xml:space="preserve"> jako jsou skupinové domovy nebo instituce. </w:t>
      </w:r>
    </w:p>
    <w:p w14:paraId="143A77E6" w14:textId="77777777" w:rsidR="00A12659" w:rsidRPr="00252088" w:rsidRDefault="00A12659" w:rsidP="00A12659">
      <w:pPr>
        <w:ind w:left="1134" w:right="1134"/>
        <w:jc w:val="both"/>
        <w:rPr>
          <w:rFonts w:eastAsia="Calibri"/>
          <w:lang w:val="cs-CZ"/>
        </w:rPr>
      </w:pPr>
    </w:p>
    <w:p w14:paraId="13CDE76C" w14:textId="0AFA14D1" w:rsidR="00640CFE" w:rsidRDefault="004762B3" w:rsidP="00A12659">
      <w:pPr>
        <w:ind w:left="1134" w:right="1134"/>
        <w:jc w:val="both"/>
        <w:rPr>
          <w:rFonts w:eastAsia="Calibri"/>
          <w:lang w:val="cs-CZ"/>
        </w:rPr>
      </w:pPr>
      <w:r w:rsidRPr="00252088">
        <w:rPr>
          <w:rFonts w:eastAsia="Calibri"/>
          <w:lang w:val="cs-CZ"/>
        </w:rPr>
        <w:t>2</w:t>
      </w:r>
      <w:r w:rsidR="00E82683" w:rsidRPr="00252088">
        <w:rPr>
          <w:rFonts w:eastAsia="Calibri"/>
          <w:lang w:val="cs-CZ"/>
        </w:rPr>
        <w:t>6</w:t>
      </w:r>
      <w:r w:rsidRPr="00252088">
        <w:rPr>
          <w:rFonts w:eastAsia="Calibri"/>
          <w:lang w:val="cs-CZ"/>
        </w:rPr>
        <w:t>.</w:t>
      </w:r>
      <w:r w:rsidRPr="00252088">
        <w:rPr>
          <w:rFonts w:eastAsia="Calibri"/>
          <w:lang w:val="cs-CZ"/>
        </w:rPr>
        <w:tab/>
      </w:r>
      <w:r w:rsidR="00640CFE">
        <w:rPr>
          <w:rFonts w:eastAsia="Calibri"/>
          <w:lang w:val="cs-CZ"/>
        </w:rPr>
        <w:t>Lidem se zdravotním postižením navíc nemusí být umožněno učinit jejich osobní volbu z důvodu nedostatku dostupných informací o škále dostupných možností a/nebo z důvodu právních omezení, vyplývajících z opatrovnického práva a obdobných právních norem nebo rozhodnutí, která nepřiznávají lidem se zdravotním postižením právo realizovat svou způsobilost k právním jednáním. I pokud neexistují takové formální zákony, jiní lidé, jako jsou rodiny, pečovatelé nebo místní orgány občas vyk</w:t>
      </w:r>
      <w:r w:rsidR="004B6452">
        <w:rPr>
          <w:rFonts w:eastAsia="Calibri"/>
          <w:lang w:val="cs-CZ"/>
        </w:rPr>
        <w:t>onávají kontrolu nad osobní volb</w:t>
      </w:r>
      <w:r w:rsidR="00640CFE">
        <w:rPr>
          <w:rFonts w:eastAsia="Calibri"/>
          <w:lang w:val="cs-CZ"/>
        </w:rPr>
        <w:t xml:space="preserve">ou a kontrolují ji tak, že jednají jako náhradní rozhodující osoby. </w:t>
      </w:r>
    </w:p>
    <w:p w14:paraId="52129E88" w14:textId="77777777" w:rsidR="004762B3" w:rsidRPr="00252088" w:rsidRDefault="004762B3" w:rsidP="00A12659">
      <w:pPr>
        <w:ind w:left="1134" w:right="1134"/>
        <w:jc w:val="both"/>
        <w:rPr>
          <w:rFonts w:eastAsia="Calibri"/>
          <w:lang w:val="cs-CZ"/>
        </w:rPr>
      </w:pPr>
    </w:p>
    <w:p w14:paraId="2F58AE36" w14:textId="08A35F0C" w:rsidR="004762B3" w:rsidRPr="00252088" w:rsidRDefault="004762B3" w:rsidP="00640CFE">
      <w:pPr>
        <w:ind w:left="1134" w:right="1134"/>
        <w:jc w:val="both"/>
        <w:rPr>
          <w:rFonts w:eastAsia="Calibri"/>
          <w:lang w:val="cs-CZ"/>
        </w:rPr>
      </w:pPr>
      <w:r w:rsidRPr="00252088">
        <w:rPr>
          <w:rFonts w:eastAsia="Calibri"/>
          <w:lang w:val="cs-CZ"/>
        </w:rPr>
        <w:t>2</w:t>
      </w:r>
      <w:r w:rsidR="00E82683" w:rsidRPr="00252088">
        <w:rPr>
          <w:rFonts w:eastAsia="Calibri"/>
          <w:lang w:val="cs-CZ"/>
        </w:rPr>
        <w:t>7</w:t>
      </w:r>
      <w:r w:rsidRPr="00252088">
        <w:rPr>
          <w:rFonts w:eastAsia="Calibri"/>
          <w:lang w:val="cs-CZ"/>
        </w:rPr>
        <w:t>.</w:t>
      </w:r>
      <w:r w:rsidRPr="00252088">
        <w:rPr>
          <w:rFonts w:eastAsia="Calibri"/>
          <w:lang w:val="cs-CZ"/>
        </w:rPr>
        <w:tab/>
      </w:r>
      <w:r w:rsidR="00640CFE">
        <w:rPr>
          <w:rFonts w:eastAsia="Calibri"/>
          <w:lang w:val="cs-CZ"/>
        </w:rPr>
        <w:t xml:space="preserve">Právní osobnost a způsobilost </w:t>
      </w:r>
      <w:r w:rsidR="004B6452">
        <w:rPr>
          <w:rFonts w:eastAsia="Calibri"/>
          <w:lang w:val="cs-CZ"/>
        </w:rPr>
        <w:t xml:space="preserve">k právním jednáním </w:t>
      </w:r>
      <w:r w:rsidR="00640CFE">
        <w:rPr>
          <w:rFonts w:eastAsia="Calibri"/>
          <w:lang w:val="cs-CZ"/>
        </w:rPr>
        <w:t>jsou pro lidi se zdravotním postižením základem pro realizaci nezávislého života v rámci komunity. Článek 19 je proto spojen s uznáním a výkonem právní osobnosti a způsobilosti k právním jednáním, jak jsou zakotveny v článku 2 Úmluvy a dále vysvětleny v Obecném komentáři Výboru č. 1 (2014) o rovnos</w:t>
      </w:r>
      <w:r w:rsidR="004D064A">
        <w:rPr>
          <w:rFonts w:eastAsia="Calibri"/>
          <w:lang w:val="cs-CZ"/>
        </w:rPr>
        <w:t>ti před zákonem. Dále je spojen</w:t>
      </w:r>
      <w:r w:rsidR="00640CFE">
        <w:rPr>
          <w:rFonts w:eastAsia="Calibri"/>
          <w:lang w:val="cs-CZ"/>
        </w:rPr>
        <w:t xml:space="preserve"> s absolutním zákazem detence na základě zdravotního postižení, jak je zakotveno v článku 14 a rozpracováno v příslušných pokynech</w:t>
      </w:r>
      <w:r w:rsidR="00DF27B0" w:rsidRPr="00252088">
        <w:rPr>
          <w:rStyle w:val="Znakapoznpodarou"/>
          <w:rFonts w:eastAsia="Calibri"/>
          <w:lang w:val="cs-CZ"/>
        </w:rPr>
        <w:footnoteReference w:id="6"/>
      </w:r>
      <w:r w:rsidRPr="00252088">
        <w:rPr>
          <w:rFonts w:eastAsia="Calibri"/>
          <w:lang w:val="cs-CZ"/>
        </w:rPr>
        <w:t xml:space="preserve">.  </w:t>
      </w:r>
    </w:p>
    <w:p w14:paraId="7820092F" w14:textId="27D93999" w:rsidR="00D12D66" w:rsidRPr="00640CFE" w:rsidRDefault="00C50C50" w:rsidP="00C50C50">
      <w:pPr>
        <w:pStyle w:val="H1G"/>
        <w:rPr>
          <w:rFonts w:eastAsia="Calibri"/>
          <w:lang w:val="cs-CZ"/>
        </w:rPr>
      </w:pPr>
      <w:r>
        <w:rPr>
          <w:rFonts w:eastAsia="Calibri"/>
          <w:lang w:val="en-US"/>
        </w:rPr>
        <w:tab/>
        <w:t>D.</w:t>
      </w:r>
      <w:r>
        <w:rPr>
          <w:rFonts w:eastAsia="Calibri"/>
          <w:lang w:val="en-US"/>
        </w:rPr>
        <w:tab/>
      </w:r>
      <w:r w:rsidR="00640CFE" w:rsidRPr="00640CFE">
        <w:rPr>
          <w:rFonts w:eastAsia="Calibri"/>
          <w:lang w:val="cs-CZ"/>
        </w:rPr>
        <w:t>Článek</w:t>
      </w:r>
      <w:r w:rsidR="00D12D66" w:rsidRPr="00640CFE">
        <w:rPr>
          <w:rFonts w:eastAsia="Calibri"/>
          <w:lang w:val="cs-CZ"/>
        </w:rPr>
        <w:t xml:space="preserve"> 19 (b)</w:t>
      </w:r>
    </w:p>
    <w:p w14:paraId="314A62F2" w14:textId="199BFB50" w:rsidR="00640CFE"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640CFE">
        <w:rPr>
          <w:rFonts w:ascii="Times New Roman" w:hAnsi="Times New Roman" w:cs="Times New Roman"/>
          <w:sz w:val="20"/>
          <w:szCs w:val="20"/>
          <w:lang w:val="cs-CZ"/>
        </w:rPr>
        <w:t>2</w:t>
      </w:r>
      <w:r w:rsidR="00E82683" w:rsidRPr="00640CFE">
        <w:rPr>
          <w:rFonts w:ascii="Times New Roman" w:hAnsi="Times New Roman" w:cs="Times New Roman"/>
          <w:sz w:val="20"/>
          <w:szCs w:val="20"/>
          <w:lang w:val="cs-CZ"/>
        </w:rPr>
        <w:t>8</w:t>
      </w:r>
      <w:r w:rsidRPr="00640CFE">
        <w:rPr>
          <w:rFonts w:ascii="Times New Roman" w:hAnsi="Times New Roman" w:cs="Times New Roman"/>
          <w:sz w:val="20"/>
          <w:szCs w:val="20"/>
          <w:lang w:val="cs-CZ"/>
        </w:rPr>
        <w:t>.</w:t>
      </w:r>
      <w:r w:rsidRPr="00640CFE">
        <w:rPr>
          <w:rFonts w:ascii="Times New Roman" w:hAnsi="Times New Roman" w:cs="Times New Roman"/>
          <w:sz w:val="20"/>
          <w:szCs w:val="20"/>
          <w:lang w:val="cs-CZ"/>
        </w:rPr>
        <w:tab/>
      </w:r>
      <w:r w:rsidR="00640CFE">
        <w:rPr>
          <w:rFonts w:ascii="Times New Roman" w:hAnsi="Times New Roman" w:cs="Times New Roman"/>
          <w:sz w:val="20"/>
          <w:szCs w:val="20"/>
          <w:lang w:val="cs-CZ"/>
        </w:rPr>
        <w:t xml:space="preserve">Individualizované podpůrné služby musí být považovány za právo namísto formy lékařské, sociální nebo charitativní péče. Pro mnoho lidí se zdravotním postižením je přístup ke škále individualizovaných podpůrných služeb podmínkou pro nezávislý život v rámci komunity. Lidé se zdravotním postižením mají právo zvolit si služby a poskytovatele služeb podle </w:t>
      </w:r>
      <w:r w:rsidR="004B6452">
        <w:rPr>
          <w:rFonts w:ascii="Times New Roman" w:hAnsi="Times New Roman" w:cs="Times New Roman"/>
          <w:sz w:val="20"/>
          <w:szCs w:val="20"/>
          <w:lang w:val="cs-CZ"/>
        </w:rPr>
        <w:t>svých</w:t>
      </w:r>
      <w:r w:rsidR="00640CFE">
        <w:rPr>
          <w:rFonts w:ascii="Times New Roman" w:hAnsi="Times New Roman" w:cs="Times New Roman"/>
          <w:sz w:val="20"/>
          <w:szCs w:val="20"/>
          <w:lang w:val="cs-CZ"/>
        </w:rPr>
        <w:t xml:space="preserve"> individuálních požadavků a osobních preferencí a individualizovaná podpora by měla být dostatečně flexibilní na to, aby se přizpůsobila požadavkům „uživatelů“ a nikoli opačně. Z toho vyplývá povinnost smluvních států zajistit, že bude dostatečný počet kvalifikovaných specialistů, kteří budou schopni identifikovat praktická řešení překážek pro nezávislý život v rámci komunity v souladu s požadavky a preferencemi jednotlivce. </w:t>
      </w:r>
    </w:p>
    <w:p w14:paraId="1660CD10" w14:textId="77777777" w:rsidR="004762B3" w:rsidRPr="00640CFE"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11B9068A" w14:textId="56837785" w:rsidR="00640CFE"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640CFE">
        <w:rPr>
          <w:rFonts w:ascii="Times New Roman" w:hAnsi="Times New Roman" w:cs="Times New Roman"/>
          <w:sz w:val="20"/>
          <w:szCs w:val="20"/>
          <w:lang w:val="cs-CZ"/>
        </w:rPr>
        <w:t>2</w:t>
      </w:r>
      <w:r w:rsidR="00E82683" w:rsidRPr="00640CFE">
        <w:rPr>
          <w:rFonts w:ascii="Times New Roman" w:hAnsi="Times New Roman" w:cs="Times New Roman"/>
          <w:sz w:val="20"/>
          <w:szCs w:val="20"/>
          <w:lang w:val="cs-CZ"/>
        </w:rPr>
        <w:t>9</w:t>
      </w:r>
      <w:r w:rsidRPr="00640CFE">
        <w:rPr>
          <w:rFonts w:ascii="Times New Roman" w:hAnsi="Times New Roman" w:cs="Times New Roman"/>
          <w:sz w:val="20"/>
          <w:szCs w:val="20"/>
          <w:lang w:val="cs-CZ"/>
        </w:rPr>
        <w:t>.</w:t>
      </w:r>
      <w:r w:rsidRPr="00640CFE">
        <w:rPr>
          <w:rFonts w:ascii="Times New Roman" w:hAnsi="Times New Roman" w:cs="Times New Roman"/>
          <w:sz w:val="20"/>
          <w:szCs w:val="20"/>
          <w:lang w:val="cs-CZ"/>
        </w:rPr>
        <w:tab/>
      </w:r>
      <w:r w:rsidR="00640CFE">
        <w:rPr>
          <w:rFonts w:ascii="Times New Roman" w:hAnsi="Times New Roman" w:cs="Times New Roman"/>
          <w:sz w:val="20"/>
          <w:szCs w:val="20"/>
          <w:lang w:val="cs-CZ"/>
        </w:rPr>
        <w:t>Písmeno</w:t>
      </w:r>
      <w:r w:rsidRPr="00640CFE">
        <w:rPr>
          <w:rFonts w:ascii="Times New Roman" w:hAnsi="Times New Roman" w:cs="Times New Roman"/>
          <w:sz w:val="20"/>
          <w:szCs w:val="20"/>
          <w:lang w:val="cs-CZ"/>
        </w:rPr>
        <w:t xml:space="preserve"> (b) </w:t>
      </w:r>
      <w:r w:rsidR="00640CFE">
        <w:rPr>
          <w:rFonts w:ascii="Times New Roman" w:hAnsi="Times New Roman" w:cs="Times New Roman"/>
          <w:sz w:val="20"/>
          <w:szCs w:val="20"/>
          <w:lang w:val="cs-CZ"/>
        </w:rPr>
        <w:t xml:space="preserve">specifikuje různé individualizované služby, které spadají do kategorie podpůrných služeb. Tyto nejsou omezeny na služby v rámci domu, ale musí být rovněž </w:t>
      </w:r>
      <w:r w:rsidR="00640CFE">
        <w:rPr>
          <w:rFonts w:ascii="Times New Roman" w:hAnsi="Times New Roman" w:cs="Times New Roman"/>
          <w:sz w:val="20"/>
          <w:szCs w:val="20"/>
          <w:lang w:val="cs-CZ"/>
        </w:rPr>
        <w:lastRenderedPageBreak/>
        <w:t>schopny rozšířit se i na oblast zaměstná</w:t>
      </w:r>
      <w:r w:rsidR="002B2F9F">
        <w:rPr>
          <w:rFonts w:ascii="Times New Roman" w:hAnsi="Times New Roman" w:cs="Times New Roman"/>
          <w:sz w:val="20"/>
          <w:szCs w:val="20"/>
          <w:lang w:val="cs-CZ"/>
        </w:rPr>
        <w:t>vá</w:t>
      </w:r>
      <w:r w:rsidR="00640CFE">
        <w:rPr>
          <w:rFonts w:ascii="Times New Roman" w:hAnsi="Times New Roman" w:cs="Times New Roman"/>
          <w:sz w:val="20"/>
          <w:szCs w:val="20"/>
          <w:lang w:val="cs-CZ"/>
        </w:rPr>
        <w:t>ní, vzdělávání nebo politické a kulturní participace</w:t>
      </w:r>
      <w:r w:rsidR="002B2F9F">
        <w:rPr>
          <w:rFonts w:ascii="Times New Roman" w:hAnsi="Times New Roman" w:cs="Times New Roman"/>
          <w:sz w:val="20"/>
          <w:szCs w:val="20"/>
          <w:lang w:val="cs-CZ"/>
        </w:rPr>
        <w:t>,</w:t>
      </w:r>
      <w:r w:rsidR="00640CFE">
        <w:rPr>
          <w:rFonts w:ascii="Times New Roman" w:hAnsi="Times New Roman" w:cs="Times New Roman"/>
          <w:sz w:val="20"/>
          <w:szCs w:val="20"/>
          <w:lang w:val="cs-CZ"/>
        </w:rPr>
        <w:t xml:space="preserve"> podpůrných služeb posilujících rodičovství a schopnost </w:t>
      </w:r>
      <w:r w:rsidR="002B2F9F">
        <w:rPr>
          <w:rFonts w:ascii="Times New Roman" w:hAnsi="Times New Roman" w:cs="Times New Roman"/>
          <w:sz w:val="20"/>
          <w:szCs w:val="20"/>
          <w:lang w:val="cs-CZ"/>
        </w:rPr>
        <w:t xml:space="preserve">udržovat kontakt s příbuznými a dalšími, oblast participace v politickém a kulturním životě, a někdy i na oblast volnočasových zájmů a aktivit a cestování, stejně jako na oblast rekreace. </w:t>
      </w:r>
    </w:p>
    <w:p w14:paraId="0C8D1298" w14:textId="77777777" w:rsidR="002B2F9F" w:rsidRDefault="002B2F9F" w:rsidP="00A12659">
      <w:pPr>
        <w:pStyle w:val="Listeafsnit1"/>
        <w:spacing w:after="120" w:line="240" w:lineRule="atLeast"/>
        <w:ind w:left="1134" w:right="1134"/>
        <w:jc w:val="both"/>
        <w:rPr>
          <w:rFonts w:ascii="Times New Roman" w:hAnsi="Times New Roman" w:cs="Times New Roman"/>
          <w:sz w:val="20"/>
          <w:szCs w:val="20"/>
          <w:lang w:val="cs-CZ"/>
        </w:rPr>
      </w:pPr>
    </w:p>
    <w:p w14:paraId="701E936C" w14:textId="7B345F77" w:rsidR="002B2F9F" w:rsidRDefault="00E82683" w:rsidP="00D07143">
      <w:pPr>
        <w:pStyle w:val="Listeafsnit1"/>
        <w:spacing w:after="120" w:line="240" w:lineRule="atLeast"/>
        <w:ind w:left="1134" w:right="1134"/>
        <w:jc w:val="both"/>
        <w:rPr>
          <w:rFonts w:ascii="Times New Roman" w:hAnsi="Times New Roman" w:cs="Times New Roman"/>
          <w:sz w:val="20"/>
          <w:szCs w:val="20"/>
          <w:lang w:val="cs-CZ"/>
        </w:rPr>
      </w:pPr>
      <w:r w:rsidRPr="00640CFE">
        <w:rPr>
          <w:rFonts w:ascii="Times New Roman" w:hAnsi="Times New Roman" w:cs="Times New Roman"/>
          <w:sz w:val="20"/>
          <w:szCs w:val="20"/>
          <w:lang w:val="cs-CZ"/>
        </w:rPr>
        <w:t>30</w:t>
      </w:r>
      <w:r w:rsidR="004762B3" w:rsidRPr="00640CFE">
        <w:rPr>
          <w:rFonts w:ascii="Times New Roman" w:hAnsi="Times New Roman" w:cs="Times New Roman"/>
          <w:sz w:val="20"/>
          <w:szCs w:val="20"/>
          <w:lang w:val="cs-CZ"/>
        </w:rPr>
        <w:t>.</w:t>
      </w:r>
      <w:r w:rsidR="004762B3" w:rsidRPr="00640CFE">
        <w:rPr>
          <w:rFonts w:ascii="Times New Roman" w:hAnsi="Times New Roman" w:cs="Times New Roman"/>
          <w:sz w:val="20"/>
          <w:szCs w:val="20"/>
          <w:lang w:val="cs-CZ"/>
        </w:rPr>
        <w:tab/>
      </w:r>
      <w:r w:rsidR="002B2F9F">
        <w:rPr>
          <w:rFonts w:ascii="Times New Roman" w:hAnsi="Times New Roman" w:cs="Times New Roman"/>
          <w:sz w:val="20"/>
          <w:szCs w:val="20"/>
          <w:lang w:val="cs-CZ"/>
        </w:rPr>
        <w:t>Zatímco individualizovaná podpora se může lišit v označení, typu nebo druhu podle kulturních, hospodářských a geografických specifik smluvní strany, všechny podpůrné služby musí být navrženy tak, aby podporovaly život v komunitě, předcházely izolaci a segregaci od jiných v rámci komunity a musí za tímto účelem být skutečně vhodné. Je důležité, že cílem těchto podpůrných služeb je realizace plné inkluze v rámci komunity. Proto článek 19 (b) zakazuje jakoukoli institucionální formu podpůrných služeb, která segreguje a omezuje osobní autonomii.</w:t>
      </w:r>
    </w:p>
    <w:p w14:paraId="1C1B2273" w14:textId="77777777" w:rsidR="00D07143" w:rsidRPr="00640CFE" w:rsidRDefault="00D07143" w:rsidP="00D07143">
      <w:pPr>
        <w:pStyle w:val="Listeafsnit1"/>
        <w:spacing w:after="120" w:line="240" w:lineRule="atLeast"/>
        <w:ind w:left="1134" w:right="1134"/>
        <w:jc w:val="both"/>
        <w:rPr>
          <w:rFonts w:ascii="Times New Roman" w:hAnsi="Times New Roman" w:cs="Times New Roman"/>
          <w:sz w:val="20"/>
          <w:szCs w:val="20"/>
          <w:lang w:val="cs-CZ"/>
        </w:rPr>
      </w:pPr>
    </w:p>
    <w:p w14:paraId="71892F87" w14:textId="426C0BC7" w:rsidR="002B2F9F" w:rsidRDefault="004762B3" w:rsidP="00D07143">
      <w:pPr>
        <w:pStyle w:val="Listeafsnit1"/>
        <w:spacing w:after="120" w:line="240" w:lineRule="atLeast"/>
        <w:ind w:left="1134" w:right="1134"/>
        <w:jc w:val="both"/>
        <w:rPr>
          <w:rFonts w:ascii="Times New Roman" w:hAnsi="Times New Roman" w:cs="Times New Roman"/>
          <w:sz w:val="20"/>
          <w:szCs w:val="20"/>
          <w:lang w:val="cs-CZ"/>
        </w:rPr>
      </w:pPr>
      <w:r w:rsidRPr="00640CFE">
        <w:rPr>
          <w:rFonts w:ascii="Times New Roman" w:hAnsi="Times New Roman" w:cs="Times New Roman"/>
          <w:sz w:val="20"/>
          <w:szCs w:val="20"/>
          <w:lang w:val="cs-CZ"/>
        </w:rPr>
        <w:t>3</w:t>
      </w:r>
      <w:r w:rsidR="00E82683" w:rsidRPr="00640CFE">
        <w:rPr>
          <w:rFonts w:ascii="Times New Roman" w:hAnsi="Times New Roman" w:cs="Times New Roman"/>
          <w:sz w:val="20"/>
          <w:szCs w:val="20"/>
          <w:lang w:val="cs-CZ"/>
        </w:rPr>
        <w:t>1</w:t>
      </w:r>
      <w:r w:rsidRPr="00640CFE">
        <w:rPr>
          <w:rFonts w:ascii="Times New Roman" w:hAnsi="Times New Roman" w:cs="Times New Roman"/>
          <w:sz w:val="20"/>
          <w:szCs w:val="20"/>
          <w:lang w:val="cs-CZ"/>
        </w:rPr>
        <w:t>.</w:t>
      </w:r>
      <w:r w:rsidRPr="00640CFE">
        <w:rPr>
          <w:rFonts w:ascii="Times New Roman" w:hAnsi="Times New Roman" w:cs="Times New Roman"/>
          <w:sz w:val="20"/>
          <w:szCs w:val="20"/>
          <w:lang w:val="cs-CZ"/>
        </w:rPr>
        <w:tab/>
      </w:r>
      <w:r w:rsidR="002B2F9F">
        <w:rPr>
          <w:rFonts w:ascii="Times New Roman" w:hAnsi="Times New Roman" w:cs="Times New Roman"/>
          <w:sz w:val="20"/>
          <w:szCs w:val="20"/>
          <w:lang w:val="cs-CZ"/>
        </w:rPr>
        <w:t xml:space="preserve">Je rovněž relevantní mít na paměti, že všechny podpůrné služby musí být navrženy a poskytovány způsobem, který podporuje celkový účel normy: plnou, individualizovanou, samostatně zvolenou a účinnou inkluzi a participaci a nezávislý život. </w:t>
      </w:r>
    </w:p>
    <w:p w14:paraId="5E3CBF63" w14:textId="230BC2E4" w:rsidR="00D12D66" w:rsidRPr="002B2F9F" w:rsidRDefault="00B40B63" w:rsidP="00B40B63">
      <w:pPr>
        <w:pStyle w:val="H1G"/>
        <w:rPr>
          <w:rFonts w:eastAsia="Calibri"/>
          <w:lang w:val="cs-CZ"/>
        </w:rPr>
      </w:pPr>
      <w:r>
        <w:rPr>
          <w:rFonts w:eastAsia="Calibri"/>
          <w:lang w:val="en-US"/>
        </w:rPr>
        <w:tab/>
        <w:t>E.</w:t>
      </w:r>
      <w:r>
        <w:rPr>
          <w:rFonts w:eastAsia="Calibri"/>
          <w:lang w:val="en-US"/>
        </w:rPr>
        <w:tab/>
      </w:r>
      <w:r w:rsidR="002B2F9F">
        <w:rPr>
          <w:rFonts w:eastAsia="Calibri"/>
          <w:lang w:val="cs-CZ"/>
        </w:rPr>
        <w:t>Článek</w:t>
      </w:r>
      <w:r w:rsidR="00D12D66" w:rsidRPr="002B2F9F">
        <w:rPr>
          <w:rFonts w:eastAsia="Calibri"/>
          <w:lang w:val="cs-CZ"/>
        </w:rPr>
        <w:t xml:space="preserve"> 19 (c)</w:t>
      </w:r>
    </w:p>
    <w:p w14:paraId="253E98A2" w14:textId="422D87A7" w:rsidR="002B2F9F" w:rsidRDefault="004762B3" w:rsidP="00A12659">
      <w:pPr>
        <w:pStyle w:val="SingleTxtG"/>
        <w:rPr>
          <w:rFonts w:eastAsia="Calibri"/>
          <w:lang w:val="cs-CZ"/>
        </w:rPr>
      </w:pPr>
      <w:r w:rsidRPr="002B2F9F">
        <w:rPr>
          <w:rFonts w:eastAsia="Calibri"/>
          <w:lang w:val="cs-CZ"/>
        </w:rPr>
        <w:t>3</w:t>
      </w:r>
      <w:r w:rsidR="00E82683" w:rsidRPr="002B2F9F">
        <w:rPr>
          <w:rFonts w:eastAsia="Calibri"/>
          <w:lang w:val="cs-CZ"/>
        </w:rPr>
        <w:t>2</w:t>
      </w:r>
      <w:r w:rsidRPr="002B2F9F">
        <w:rPr>
          <w:rFonts w:eastAsia="Calibri"/>
          <w:lang w:val="cs-CZ"/>
        </w:rPr>
        <w:t>.</w:t>
      </w:r>
      <w:r w:rsidRPr="002B2F9F">
        <w:rPr>
          <w:rFonts w:eastAsia="Calibri"/>
          <w:lang w:val="cs-CZ"/>
        </w:rPr>
        <w:tab/>
      </w:r>
      <w:r w:rsidR="002B2F9F">
        <w:rPr>
          <w:rFonts w:eastAsia="Calibri"/>
          <w:lang w:val="cs-CZ"/>
        </w:rPr>
        <w:t xml:space="preserve">Služby a zařízení zmíněné v tomto </w:t>
      </w:r>
      <w:r w:rsidR="00B4714C">
        <w:rPr>
          <w:rFonts w:eastAsia="Calibri"/>
          <w:lang w:val="cs-CZ"/>
        </w:rPr>
        <w:t xml:space="preserve">odstavci daného článku </w:t>
      </w:r>
      <w:r w:rsidR="002B2F9F">
        <w:rPr>
          <w:rFonts w:eastAsia="Calibri"/>
          <w:lang w:val="cs-CZ"/>
        </w:rPr>
        <w:t>jsou</w:t>
      </w:r>
      <w:r w:rsidR="00B4714C">
        <w:rPr>
          <w:rFonts w:eastAsia="Calibri"/>
          <w:lang w:val="cs-CZ"/>
        </w:rPr>
        <w:t xml:space="preserve"> specifickými</w:t>
      </w:r>
      <w:r w:rsidR="002B2F9F">
        <w:rPr>
          <w:rFonts w:eastAsia="Calibri"/>
          <w:lang w:val="cs-CZ"/>
        </w:rPr>
        <w:t xml:space="preserve"> podpůrnými službami a zařízeními, určenými </w:t>
      </w:r>
      <w:r w:rsidR="00B4714C">
        <w:rPr>
          <w:rFonts w:eastAsia="Calibri"/>
          <w:lang w:val="cs-CZ"/>
        </w:rPr>
        <w:t xml:space="preserve">nikoli výlučně </w:t>
      </w:r>
      <w:r w:rsidR="002B2F9F">
        <w:rPr>
          <w:rFonts w:eastAsia="Calibri"/>
          <w:lang w:val="cs-CZ"/>
        </w:rPr>
        <w:t xml:space="preserve">pro lidi se zdravotním postižením, ale pro obecnou populaci v komunitě. </w:t>
      </w:r>
      <w:r w:rsidR="00B4714C">
        <w:rPr>
          <w:rFonts w:eastAsia="Calibri"/>
          <w:lang w:val="cs-CZ"/>
        </w:rPr>
        <w:t xml:space="preserve">Zahrnují širokou škálu služeb, jako je bydlení, veřejné knihovny, nemocnice, školy, dopravu, obchody, trhy, muzea, internet, sociální média a podobná zařízení a služby. Musí být dostupné, univerzálně přístupné, přijatelné a přizpůsobitelné všem lidem se zdravotním postižením v rámci komunity. </w:t>
      </w:r>
    </w:p>
    <w:p w14:paraId="0923195C" w14:textId="10DC7B60" w:rsidR="00B4714C" w:rsidRDefault="004762B3" w:rsidP="00A12659">
      <w:pPr>
        <w:pStyle w:val="SingleTxtG"/>
        <w:rPr>
          <w:rFonts w:eastAsia="Calibri"/>
          <w:lang w:val="cs-CZ"/>
        </w:rPr>
      </w:pPr>
      <w:r w:rsidRPr="002B2F9F">
        <w:rPr>
          <w:rFonts w:eastAsia="Calibri"/>
          <w:lang w:val="cs-CZ"/>
        </w:rPr>
        <w:t>3</w:t>
      </w:r>
      <w:r w:rsidR="00E82683" w:rsidRPr="002B2F9F">
        <w:rPr>
          <w:rFonts w:eastAsia="Calibri"/>
          <w:lang w:val="cs-CZ"/>
        </w:rPr>
        <w:t>3</w:t>
      </w:r>
      <w:r w:rsidRPr="002B2F9F">
        <w:rPr>
          <w:rFonts w:eastAsia="Calibri"/>
          <w:lang w:val="cs-CZ"/>
        </w:rPr>
        <w:t>.</w:t>
      </w:r>
      <w:r w:rsidRPr="002B2F9F">
        <w:rPr>
          <w:rFonts w:eastAsia="Calibri"/>
          <w:lang w:val="cs-CZ"/>
        </w:rPr>
        <w:tab/>
      </w:r>
      <w:r w:rsidR="00B4714C">
        <w:rPr>
          <w:rFonts w:eastAsia="Calibri"/>
          <w:lang w:val="cs-CZ"/>
        </w:rPr>
        <w:t>Přístupnost komunitních zařízení, produktů a služeb, stejně jako výkon práv na inkluzivní přístupné zaměstná</w:t>
      </w:r>
      <w:r w:rsidR="004B6452">
        <w:rPr>
          <w:rFonts w:eastAsia="Calibri"/>
          <w:lang w:val="cs-CZ"/>
        </w:rPr>
        <w:t>vá</w:t>
      </w:r>
      <w:r w:rsidR="00B4714C">
        <w:rPr>
          <w:rFonts w:eastAsia="Calibri"/>
          <w:lang w:val="cs-CZ"/>
        </w:rPr>
        <w:t xml:space="preserve">ní, vzdělávání a zdravotní péči jsou základními podmínkami pro inkluzi a participaci lidí se zdravotním postižením v komunitě. Různé </w:t>
      </w:r>
      <w:proofErr w:type="spellStart"/>
      <w:r w:rsidR="00B4714C">
        <w:rPr>
          <w:rFonts w:eastAsia="Calibri"/>
          <w:lang w:val="cs-CZ"/>
        </w:rPr>
        <w:t>deinstitucionalizační</w:t>
      </w:r>
      <w:proofErr w:type="spellEnd"/>
      <w:r w:rsidR="00B4714C">
        <w:rPr>
          <w:rFonts w:eastAsia="Calibri"/>
          <w:lang w:val="cs-CZ"/>
        </w:rPr>
        <w:t xml:space="preserve"> programy ukázaly, že zavření institucí, bez ohledu na jejich velikost a přemístění jejich obyvatel do komunity, samo o sobě nestačí. Takové reformy musí být doprovázeny srozumitelnými programy rozvoje služeb a komunity, včetně programů zvyšujících povědomí. Strukturální reformy navržené za účelem posílení celkové přístupnosti v rámci komunity mohou snížit poptávku pro služby určené specificky lidem se zdravotním postižením.</w:t>
      </w:r>
    </w:p>
    <w:p w14:paraId="086F4CEB" w14:textId="1DA9C099" w:rsidR="004762B3" w:rsidRPr="002B2F9F" w:rsidRDefault="004762B3" w:rsidP="00854157">
      <w:pPr>
        <w:pStyle w:val="SingleTxtG"/>
        <w:rPr>
          <w:rFonts w:eastAsia="Calibri"/>
          <w:lang w:val="cs-CZ"/>
        </w:rPr>
      </w:pPr>
      <w:r w:rsidRPr="002B2F9F">
        <w:rPr>
          <w:rFonts w:eastAsia="Calibri"/>
          <w:lang w:val="cs-CZ"/>
        </w:rPr>
        <w:t>3</w:t>
      </w:r>
      <w:r w:rsidR="00E82683" w:rsidRPr="002B2F9F">
        <w:rPr>
          <w:rFonts w:eastAsia="Calibri"/>
          <w:lang w:val="cs-CZ"/>
        </w:rPr>
        <w:t>4</w:t>
      </w:r>
      <w:r w:rsidRPr="002B2F9F">
        <w:rPr>
          <w:rFonts w:eastAsia="Calibri"/>
          <w:lang w:val="cs-CZ"/>
        </w:rPr>
        <w:t>.</w:t>
      </w:r>
      <w:r w:rsidRPr="002B2F9F">
        <w:rPr>
          <w:rFonts w:eastAsia="Calibri"/>
          <w:lang w:val="cs-CZ"/>
        </w:rPr>
        <w:tab/>
      </w:r>
      <w:r w:rsidR="00B4714C">
        <w:rPr>
          <w:rFonts w:eastAsia="Calibri"/>
          <w:lang w:val="cs-CZ"/>
        </w:rPr>
        <w:t xml:space="preserve">Z hlediska materiálního rozsahu článek 19 zahrnuje přístup k bezpečnému a odpovídajícímu bydlení, individuálním službám a komunitním zařízením a službám. Přístup k bydlení </w:t>
      </w:r>
      <w:r w:rsidR="00854157">
        <w:rPr>
          <w:rFonts w:eastAsia="Calibri"/>
          <w:lang w:val="cs-CZ"/>
        </w:rPr>
        <w:t>znamená mít možnost žít v komunitě takové, jaká je. Článek 19 nebude správně implementován, pokud bydlení bude poskytováno pouze ve specifiky vymezených oblastech a zorganizováno takovým způsobem, že lidé se zdravotním postižením budou muset žít ve stejné budově, komplexu nebo sousedství. Přístupné bydlení, poskytující ubytování lidem se zdravotním postižením, kteří žijí sami nebo jako součást rodiny, musí být dostupné v odpovídajícím množství ve všech oblastech komunity, aby poskytlo lidem se zdravotním postižením právo i možnost volby. Za tímto účelem musí být vybudovány nové bezbariérové rezidence a existující rezidenční struktury musí být dodatečně vybaveny bezbariérovými úpravami. Bydlení musí být navíc pro lidi se zdravotním postižením dostupné.</w:t>
      </w:r>
    </w:p>
    <w:p w14:paraId="4A49486D" w14:textId="2A3D4760" w:rsidR="00854157" w:rsidRDefault="004762B3" w:rsidP="00A12659">
      <w:pPr>
        <w:pStyle w:val="SingleTxtG"/>
        <w:rPr>
          <w:rFonts w:eastAsia="Calibri"/>
          <w:lang w:val="cs-CZ"/>
        </w:rPr>
      </w:pPr>
      <w:r w:rsidRPr="002B2F9F">
        <w:rPr>
          <w:rFonts w:eastAsia="Calibri"/>
          <w:lang w:val="cs-CZ"/>
        </w:rPr>
        <w:t>3</w:t>
      </w:r>
      <w:r w:rsidR="00E82683" w:rsidRPr="002B2F9F">
        <w:rPr>
          <w:rFonts w:eastAsia="Calibri"/>
          <w:lang w:val="cs-CZ"/>
        </w:rPr>
        <w:t>5</w:t>
      </w:r>
      <w:r w:rsidRPr="002B2F9F">
        <w:rPr>
          <w:rFonts w:eastAsia="Calibri"/>
          <w:lang w:val="cs-CZ"/>
        </w:rPr>
        <w:t>.</w:t>
      </w:r>
      <w:r w:rsidRPr="002B2F9F">
        <w:rPr>
          <w:rFonts w:eastAsia="Calibri"/>
          <w:lang w:val="cs-CZ"/>
        </w:rPr>
        <w:tab/>
      </w:r>
      <w:r w:rsidR="00854157">
        <w:rPr>
          <w:rFonts w:eastAsia="Calibri"/>
          <w:lang w:val="cs-CZ"/>
        </w:rPr>
        <w:t xml:space="preserve">Podpůrné služby musí být dostupné v rámci bezpečného fyzického i geografického dosahu pro všechny lidi se zdravotním postižením žijící v městských i venkovských oblastech. </w:t>
      </w:r>
      <w:r w:rsidR="006F6081">
        <w:rPr>
          <w:rFonts w:eastAsia="Calibri"/>
          <w:lang w:val="cs-CZ"/>
        </w:rPr>
        <w:t xml:space="preserve">Musí být cenově přístupné a brát ohled na lidi, kteří žijí z nízkého příjmu. Rovněž musí být přístupné, což znamená, že musí respektovat standardní úroveň kvality a být genderově, věkově a kulturně citlivé. </w:t>
      </w:r>
    </w:p>
    <w:p w14:paraId="6BC02B0B" w14:textId="37447EF2" w:rsidR="00953445" w:rsidRDefault="004762B3" w:rsidP="00A12659">
      <w:pPr>
        <w:pStyle w:val="SingleTxtG"/>
        <w:rPr>
          <w:rFonts w:eastAsia="Calibri"/>
          <w:lang w:val="cs-CZ"/>
        </w:rPr>
      </w:pPr>
      <w:r w:rsidRPr="002B2F9F">
        <w:rPr>
          <w:rFonts w:eastAsia="Calibri"/>
          <w:lang w:val="cs-CZ"/>
        </w:rPr>
        <w:t>3</w:t>
      </w:r>
      <w:r w:rsidR="00E82683" w:rsidRPr="002B2F9F">
        <w:rPr>
          <w:rFonts w:eastAsia="Calibri"/>
          <w:lang w:val="cs-CZ"/>
        </w:rPr>
        <w:t>6</w:t>
      </w:r>
      <w:r w:rsidRPr="002B2F9F">
        <w:rPr>
          <w:rFonts w:eastAsia="Calibri"/>
          <w:lang w:val="cs-CZ"/>
        </w:rPr>
        <w:t>.</w:t>
      </w:r>
      <w:r w:rsidRPr="002B2F9F">
        <w:rPr>
          <w:rFonts w:eastAsia="Calibri"/>
          <w:lang w:val="cs-CZ"/>
        </w:rPr>
        <w:tab/>
      </w:r>
      <w:r w:rsidR="00953445">
        <w:rPr>
          <w:rFonts w:eastAsia="Calibri"/>
          <w:lang w:val="cs-CZ"/>
        </w:rPr>
        <w:t>Individualizované podpůrné služby, které neumožňují osobní volbu a vlastní kontrolu</w:t>
      </w:r>
      <w:r w:rsidR="00212AFF">
        <w:rPr>
          <w:rFonts w:eastAsia="Calibri"/>
          <w:lang w:val="cs-CZ"/>
        </w:rPr>
        <w:t>,</w:t>
      </w:r>
      <w:r w:rsidR="00953445">
        <w:rPr>
          <w:rFonts w:eastAsia="Calibri"/>
          <w:lang w:val="cs-CZ"/>
        </w:rPr>
        <w:t xml:space="preserve"> nejsou poskytovány pro nezávislý život v rámci komunity. Podpůrné služby poskytované jako kombinace pobytových a podpůrných služeb (poskytovaných jako kombinovaný „balíček“) jsou často nabízeny osobám se zdravotním postižením </w:t>
      </w:r>
      <w:r w:rsidR="00E55908">
        <w:rPr>
          <w:rFonts w:eastAsia="Calibri"/>
          <w:lang w:val="cs-CZ"/>
        </w:rPr>
        <w:t xml:space="preserve">z důvodu předpokladu jejich nákladové efektivnosti. Nicméně, jakkoli tento předpoklad může být </w:t>
      </w:r>
      <w:r w:rsidR="00E55908">
        <w:rPr>
          <w:rFonts w:eastAsia="Calibri"/>
          <w:lang w:val="cs-CZ"/>
        </w:rPr>
        <w:lastRenderedPageBreak/>
        <w:t xml:space="preserve">sám o sobě ekonomicky vyvrácen, aspekty nákladové efektivnosti nesmí převážit nad základem dotčeného lidského práva. Nemělo by být pravidlem, aby osobní asistence a asistenti byli „sdíleni“ mezi lidmi se zdravotním postižením, k tomu by mělo docházet jedině v případě, že se tak děje s plným a svobodným souhlasem </w:t>
      </w:r>
      <w:proofErr w:type="spellStart"/>
      <w:r w:rsidR="00212AFF">
        <w:rPr>
          <w:rFonts w:eastAsia="Calibri"/>
          <w:lang w:val="cs-CZ"/>
        </w:rPr>
        <w:t>ldí</w:t>
      </w:r>
      <w:proofErr w:type="spellEnd"/>
      <w:r w:rsidR="00E55908">
        <w:rPr>
          <w:rFonts w:eastAsia="Calibri"/>
          <w:lang w:val="cs-CZ"/>
        </w:rPr>
        <w:t xml:space="preserve"> se zd</w:t>
      </w:r>
      <w:r w:rsidR="00212AFF">
        <w:rPr>
          <w:rFonts w:eastAsia="Calibri"/>
          <w:lang w:val="cs-CZ"/>
        </w:rPr>
        <w:t xml:space="preserve">ravotním postižením, kteří </w:t>
      </w:r>
      <w:r w:rsidR="00E55908">
        <w:rPr>
          <w:rFonts w:eastAsia="Calibri"/>
          <w:lang w:val="cs-CZ"/>
        </w:rPr>
        <w:t>osobní asistenci</w:t>
      </w:r>
      <w:r w:rsidR="00212AFF">
        <w:rPr>
          <w:rFonts w:eastAsia="Calibri"/>
          <w:lang w:val="cs-CZ"/>
        </w:rPr>
        <w:t xml:space="preserve"> potřebují</w:t>
      </w:r>
      <w:r w:rsidR="00E55908">
        <w:rPr>
          <w:rFonts w:eastAsia="Calibri"/>
          <w:lang w:val="cs-CZ"/>
        </w:rPr>
        <w:t>. Možnost volby</w:t>
      </w:r>
      <w:r w:rsidR="00212AFF">
        <w:rPr>
          <w:rFonts w:eastAsia="Calibri"/>
          <w:lang w:val="cs-CZ"/>
        </w:rPr>
        <w:t xml:space="preserve"> je</w:t>
      </w:r>
      <w:r w:rsidR="00E55908">
        <w:rPr>
          <w:rFonts w:eastAsia="Calibri"/>
          <w:lang w:val="cs-CZ"/>
        </w:rPr>
        <w:t xml:space="preserve"> i jedním ze tří klíčových prvků práva žít nezávisle v rámci komunity.</w:t>
      </w:r>
    </w:p>
    <w:p w14:paraId="02C8E639" w14:textId="42EA4DCE" w:rsidR="00E55908" w:rsidRDefault="00A12659" w:rsidP="00237A28">
      <w:pPr>
        <w:pStyle w:val="SingleTxtG"/>
        <w:rPr>
          <w:rFonts w:eastAsia="Calibri"/>
          <w:lang w:val="cs-CZ"/>
        </w:rPr>
      </w:pPr>
      <w:r w:rsidRPr="002B2F9F">
        <w:rPr>
          <w:rFonts w:eastAsia="Calibri"/>
          <w:lang w:val="cs-CZ"/>
        </w:rPr>
        <w:t>3</w:t>
      </w:r>
      <w:r w:rsidR="00E82683" w:rsidRPr="002B2F9F">
        <w:rPr>
          <w:rFonts w:eastAsia="Calibri"/>
          <w:lang w:val="cs-CZ"/>
        </w:rPr>
        <w:t>7</w:t>
      </w:r>
      <w:r w:rsidRPr="002B2F9F">
        <w:rPr>
          <w:rFonts w:eastAsia="Calibri"/>
          <w:lang w:val="cs-CZ"/>
        </w:rPr>
        <w:t>.</w:t>
      </w:r>
      <w:r w:rsidR="004762B3" w:rsidRPr="002B2F9F">
        <w:rPr>
          <w:rFonts w:eastAsia="Calibri"/>
          <w:lang w:val="cs-CZ"/>
        </w:rPr>
        <w:tab/>
      </w:r>
      <w:r w:rsidR="00E55908">
        <w:rPr>
          <w:rFonts w:eastAsia="Calibri"/>
          <w:lang w:val="cs-CZ"/>
        </w:rPr>
        <w:t>Právu na rovné podpůrné služby odpovídá povinnost zajistit participaci a začlenění lidí se zdravotním postižením v procesech, souvisejících se zařízeními a službami v komunitě, aby tyto odpovídaly specifickým požadavkům, byly genderově citlivé</w:t>
      </w:r>
      <w:r w:rsidR="00212AFF">
        <w:rPr>
          <w:rFonts w:eastAsia="Calibri"/>
          <w:lang w:val="cs-CZ"/>
        </w:rPr>
        <w:t xml:space="preserve"> a citlivé k věku</w:t>
      </w:r>
      <w:r w:rsidR="00E55908">
        <w:rPr>
          <w:rFonts w:eastAsia="Calibri"/>
          <w:lang w:val="cs-CZ"/>
        </w:rPr>
        <w:t xml:space="preserve"> a byly dostupné s cílem umožnit spontánní účast lidí se zdravotním postižením na životě komunity. Pro děti, základ práva žít nezávisle a být začleněn do komunity zahrnuje právo vyrůstat v rodině.</w:t>
      </w:r>
    </w:p>
    <w:p w14:paraId="437F4F21" w14:textId="4728D2C1" w:rsidR="00D12D66" w:rsidRPr="00E55908" w:rsidRDefault="00B40B63" w:rsidP="00B40B63">
      <w:pPr>
        <w:pStyle w:val="H1G"/>
        <w:rPr>
          <w:rFonts w:eastAsia="Calibri"/>
          <w:lang w:val="cs-CZ"/>
        </w:rPr>
      </w:pPr>
      <w:r>
        <w:rPr>
          <w:rFonts w:eastAsia="Calibri"/>
          <w:lang w:val="en-US"/>
        </w:rPr>
        <w:tab/>
        <w:t>F.</w:t>
      </w:r>
      <w:r>
        <w:rPr>
          <w:rFonts w:eastAsia="Calibri"/>
          <w:lang w:val="en-US"/>
        </w:rPr>
        <w:tab/>
      </w:r>
      <w:r w:rsidR="00E55908" w:rsidRPr="00E55908">
        <w:rPr>
          <w:rFonts w:eastAsia="Calibri"/>
          <w:lang w:val="cs-CZ"/>
        </w:rPr>
        <w:t>Základní prvky</w:t>
      </w:r>
      <w:r w:rsidR="00D12D66" w:rsidRPr="00E55908">
        <w:rPr>
          <w:rFonts w:eastAsia="Calibri"/>
          <w:lang w:val="cs-CZ"/>
        </w:rPr>
        <w:t xml:space="preserve"> </w:t>
      </w:r>
    </w:p>
    <w:p w14:paraId="63CEDCD5" w14:textId="0B443DD8" w:rsidR="00E55908"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3</w:t>
      </w:r>
      <w:r w:rsidR="00E82683" w:rsidRPr="00E55908">
        <w:rPr>
          <w:rFonts w:ascii="Times New Roman" w:hAnsi="Times New Roman" w:cs="Times New Roman"/>
          <w:sz w:val="20"/>
          <w:szCs w:val="20"/>
          <w:lang w:val="cs-CZ"/>
        </w:rPr>
        <w:t>8</w:t>
      </w:r>
      <w:r w:rsidRPr="00E55908">
        <w:rPr>
          <w:rFonts w:ascii="Times New Roman" w:hAnsi="Times New Roman" w:cs="Times New Roman"/>
          <w:sz w:val="20"/>
          <w:szCs w:val="20"/>
          <w:lang w:val="cs-CZ"/>
        </w:rPr>
        <w:t>.</w:t>
      </w:r>
      <w:r w:rsidRPr="00E55908">
        <w:rPr>
          <w:rFonts w:ascii="Times New Roman" w:hAnsi="Times New Roman" w:cs="Times New Roman"/>
          <w:sz w:val="20"/>
          <w:szCs w:val="20"/>
          <w:lang w:val="cs-CZ"/>
        </w:rPr>
        <w:tab/>
      </w:r>
      <w:r w:rsidR="00E55908">
        <w:rPr>
          <w:rFonts w:ascii="Times New Roman" w:hAnsi="Times New Roman" w:cs="Times New Roman"/>
          <w:sz w:val="20"/>
          <w:szCs w:val="20"/>
          <w:lang w:val="cs-CZ"/>
        </w:rPr>
        <w:t xml:space="preserve">Výbor </w:t>
      </w:r>
      <w:r w:rsidR="009D4244">
        <w:rPr>
          <w:rFonts w:ascii="Times New Roman" w:hAnsi="Times New Roman" w:cs="Times New Roman"/>
          <w:sz w:val="20"/>
          <w:szCs w:val="20"/>
          <w:lang w:val="cs-CZ"/>
        </w:rPr>
        <w:t>shledává jako</w:t>
      </w:r>
      <w:r w:rsidR="00E55908">
        <w:rPr>
          <w:rFonts w:ascii="Times New Roman" w:hAnsi="Times New Roman" w:cs="Times New Roman"/>
          <w:sz w:val="20"/>
          <w:szCs w:val="20"/>
          <w:lang w:val="cs-CZ"/>
        </w:rPr>
        <w:t xml:space="preserve"> důležité identifikovat zá</w:t>
      </w:r>
      <w:r w:rsidR="009D4244">
        <w:rPr>
          <w:rFonts w:ascii="Times New Roman" w:hAnsi="Times New Roman" w:cs="Times New Roman"/>
          <w:sz w:val="20"/>
          <w:szCs w:val="20"/>
          <w:lang w:val="cs-CZ"/>
        </w:rPr>
        <w:t>kladní prvky článku 19, aby bylo zajištěno, že</w:t>
      </w:r>
      <w:r w:rsidR="00E55908">
        <w:rPr>
          <w:rFonts w:ascii="Times New Roman" w:hAnsi="Times New Roman" w:cs="Times New Roman"/>
          <w:sz w:val="20"/>
          <w:szCs w:val="20"/>
          <w:lang w:val="cs-CZ"/>
        </w:rPr>
        <w:t xml:space="preserve"> realizace standardizované minimální úrovně podpory dostatečné k výkonu práva na nezávislý život a být začleněn do komunity</w:t>
      </w:r>
      <w:r w:rsidR="009D4244">
        <w:rPr>
          <w:rFonts w:ascii="Times New Roman" w:hAnsi="Times New Roman" w:cs="Times New Roman"/>
          <w:sz w:val="20"/>
          <w:szCs w:val="20"/>
          <w:lang w:val="cs-CZ"/>
        </w:rPr>
        <w:t>, bude povinností každého smluvního státu. Smluvní státy by měly zajistit, že základní prvky článku 19 budou vždy respektovány, zvláště v časech finanční a ekonomické krize. Těmito prvky jsou:</w:t>
      </w:r>
    </w:p>
    <w:p w14:paraId="018EE262" w14:textId="77777777" w:rsidR="004762B3" w:rsidRPr="00E55908"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618F7223" w14:textId="44A96DD5"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 xml:space="preserve">(a) </w:t>
      </w:r>
      <w:r w:rsidRPr="00E55908">
        <w:rPr>
          <w:rFonts w:ascii="Times New Roman" w:hAnsi="Times New Roman" w:cs="Times New Roman"/>
          <w:sz w:val="20"/>
          <w:szCs w:val="20"/>
          <w:lang w:val="cs-CZ"/>
        </w:rPr>
        <w:tab/>
      </w:r>
      <w:r w:rsidR="009D4244">
        <w:rPr>
          <w:rFonts w:ascii="Times New Roman" w:hAnsi="Times New Roman" w:cs="Times New Roman"/>
          <w:sz w:val="20"/>
          <w:szCs w:val="20"/>
          <w:lang w:val="cs-CZ"/>
        </w:rPr>
        <w:t>Zajistit právo na právní způsobilosti v souladu s Obecným komentáře Výboru č. 1 (2014) o rovnosti před zákonem, aby všichni lidé se zdravotním postižením mohli rozhodovat kde, s kým a jak budou žít, a to bez ohledu na jejich postižení;</w:t>
      </w:r>
    </w:p>
    <w:p w14:paraId="571A8CD2" w14:textId="77777777" w:rsidR="004762B3" w:rsidRPr="00E55908"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0752EF6D" w14:textId="1709EF4E" w:rsidR="009D4244"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(b)</w:t>
      </w:r>
      <w:r w:rsidRPr="00E55908">
        <w:rPr>
          <w:rFonts w:ascii="Times New Roman" w:hAnsi="Times New Roman" w:cs="Times New Roman"/>
          <w:sz w:val="20"/>
          <w:szCs w:val="20"/>
          <w:lang w:val="cs-CZ"/>
        </w:rPr>
        <w:tab/>
      </w:r>
      <w:r w:rsidR="009D4244">
        <w:rPr>
          <w:rFonts w:ascii="Times New Roman" w:hAnsi="Times New Roman" w:cs="Times New Roman"/>
          <w:sz w:val="20"/>
          <w:szCs w:val="20"/>
          <w:lang w:val="cs-CZ"/>
        </w:rPr>
        <w:t>Zajistit zákaz diskriminace v přístupu k bydlení, a to jak z hlediska příjmů, tak z hlediska přístupnosti, a rozhodnout o povinných regulacích v oblasti výstavby, zajišťujících, že nové a renovované bydlení se stane přístupným;</w:t>
      </w:r>
    </w:p>
    <w:p w14:paraId="7F605B99" w14:textId="77777777"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p>
    <w:p w14:paraId="10E94A8E" w14:textId="4AAF118B" w:rsidR="009D4244"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 xml:space="preserve">(c) </w:t>
      </w:r>
      <w:r w:rsidRPr="00E55908">
        <w:rPr>
          <w:rFonts w:ascii="Times New Roman" w:hAnsi="Times New Roman" w:cs="Times New Roman"/>
          <w:sz w:val="20"/>
          <w:szCs w:val="20"/>
          <w:lang w:val="cs-CZ"/>
        </w:rPr>
        <w:tab/>
      </w:r>
      <w:r w:rsidR="009D4244">
        <w:rPr>
          <w:rFonts w:ascii="Times New Roman" w:hAnsi="Times New Roman" w:cs="Times New Roman"/>
          <w:sz w:val="20"/>
          <w:szCs w:val="20"/>
          <w:lang w:val="cs-CZ"/>
        </w:rPr>
        <w:t>Vytvořit konkrétní akční plán pro nezávislý život lidí se zdravotním postižením v rámci komunity, včetně přijetí kroků směřujících k usnadnění formální podpory pro nezávislý život v rámci komunity tak, aby neformální podpora např. ze strany rodiny nebyla jedinou možností;</w:t>
      </w:r>
    </w:p>
    <w:p w14:paraId="54EF375A" w14:textId="77777777"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p>
    <w:p w14:paraId="34177313" w14:textId="09F28562" w:rsidR="009D4244"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(d)</w:t>
      </w:r>
      <w:r w:rsidRPr="00E55908">
        <w:rPr>
          <w:rFonts w:ascii="Times New Roman" w:hAnsi="Times New Roman" w:cs="Times New Roman"/>
          <w:sz w:val="20"/>
          <w:szCs w:val="20"/>
          <w:lang w:val="cs-CZ"/>
        </w:rPr>
        <w:tab/>
      </w:r>
      <w:r w:rsidR="009D4244">
        <w:rPr>
          <w:rFonts w:ascii="Times New Roman" w:hAnsi="Times New Roman" w:cs="Times New Roman"/>
          <w:sz w:val="20"/>
          <w:szCs w:val="20"/>
          <w:lang w:val="cs-CZ"/>
        </w:rPr>
        <w:t>Vytvořit, implementovat, monitorovat a sankcionovat nesoulad s legislativou, plány a pokyny o požadavcích na přístupnost pro základní běžné služby s cílem dosáhnout společenské rovnosti, včetně účasti lidí se zdravotním postižením na sociálních médiích, a za</w:t>
      </w:r>
      <w:r w:rsidR="00D36C07">
        <w:rPr>
          <w:rFonts w:ascii="Times New Roman" w:hAnsi="Times New Roman" w:cs="Times New Roman"/>
          <w:sz w:val="20"/>
          <w:szCs w:val="20"/>
          <w:lang w:val="cs-CZ"/>
        </w:rPr>
        <w:t>jistit odpovídající kompetence v oblasti informačních technologií, aby jejich rozvoj byl chráněn a probíhal na základě univerzálního designu;</w:t>
      </w:r>
    </w:p>
    <w:p w14:paraId="3308CDBE" w14:textId="77777777"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p>
    <w:p w14:paraId="7423D03B" w14:textId="3F359BEB" w:rsidR="008238AC"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(e)</w:t>
      </w:r>
      <w:r w:rsidRPr="00E55908">
        <w:rPr>
          <w:rFonts w:ascii="Times New Roman" w:hAnsi="Times New Roman" w:cs="Times New Roman"/>
          <w:sz w:val="20"/>
          <w:szCs w:val="20"/>
          <w:lang w:val="cs-CZ"/>
        </w:rPr>
        <w:tab/>
      </w:r>
      <w:r w:rsidR="008238AC">
        <w:rPr>
          <w:rFonts w:ascii="Times New Roman" w:hAnsi="Times New Roman" w:cs="Times New Roman"/>
          <w:sz w:val="20"/>
          <w:szCs w:val="20"/>
          <w:lang w:val="cs-CZ"/>
        </w:rPr>
        <w:t>Vytvořit konkrétní akční plán a přijmout kroky směřující k rozvoji a implementaci základních, osobních, nesdílených a na právech založených podpůrných služeb určených pro lidi se zdravotním postižením a jiných forem služeb;</w:t>
      </w:r>
    </w:p>
    <w:p w14:paraId="1C9691E1" w14:textId="77777777"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p>
    <w:p w14:paraId="51F0AD0A" w14:textId="715FB583" w:rsidR="008238AC"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(f)</w:t>
      </w:r>
      <w:r w:rsidRPr="00E55908">
        <w:rPr>
          <w:rFonts w:ascii="Times New Roman" w:hAnsi="Times New Roman" w:cs="Times New Roman"/>
          <w:sz w:val="20"/>
          <w:szCs w:val="20"/>
          <w:lang w:val="cs-CZ"/>
        </w:rPr>
        <w:tab/>
      </w:r>
      <w:r w:rsidR="008238AC">
        <w:rPr>
          <w:rFonts w:ascii="Times New Roman" w:hAnsi="Times New Roman" w:cs="Times New Roman"/>
          <w:sz w:val="20"/>
          <w:szCs w:val="20"/>
          <w:lang w:val="cs-CZ"/>
        </w:rPr>
        <w:t>Zajistit, že při naplňování článku 19 nebude docházet k regresi, ledaže by to bylo řádně odůvodněné a v souladu s mezinárodním právem;</w:t>
      </w:r>
    </w:p>
    <w:p w14:paraId="290D482C" w14:textId="77777777"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p>
    <w:p w14:paraId="58210E1D" w14:textId="63FB8F55" w:rsidR="008238AC"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 xml:space="preserve">(g) </w:t>
      </w:r>
      <w:r w:rsidR="008238AC">
        <w:rPr>
          <w:rFonts w:ascii="Times New Roman" w:hAnsi="Times New Roman" w:cs="Times New Roman"/>
          <w:sz w:val="20"/>
          <w:szCs w:val="20"/>
          <w:lang w:val="cs-CZ"/>
        </w:rPr>
        <w:t>Sbírat konzistentní kvalitativní a kvantitativní data o lidech se zdravotním postižením, včetně těch, kteří stále žijí v institucích; a</w:t>
      </w:r>
    </w:p>
    <w:p w14:paraId="123F6BDE" w14:textId="77777777" w:rsidR="004762B3" w:rsidRPr="00E55908"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p>
    <w:p w14:paraId="194F75C4" w14:textId="771721A3" w:rsidR="008238AC" w:rsidRDefault="004762B3" w:rsidP="00A12659">
      <w:pPr>
        <w:pStyle w:val="Listeafsnit1"/>
        <w:spacing w:after="120" w:line="240" w:lineRule="atLeast"/>
        <w:ind w:left="1134" w:right="1134" w:firstLine="708"/>
        <w:jc w:val="both"/>
        <w:rPr>
          <w:rFonts w:ascii="Times New Roman" w:hAnsi="Times New Roman" w:cs="Times New Roman"/>
          <w:sz w:val="20"/>
          <w:szCs w:val="20"/>
          <w:lang w:val="cs-CZ"/>
        </w:rPr>
      </w:pPr>
      <w:r w:rsidRPr="00E55908">
        <w:rPr>
          <w:rFonts w:ascii="Times New Roman" w:hAnsi="Times New Roman" w:cs="Times New Roman"/>
          <w:sz w:val="20"/>
          <w:szCs w:val="20"/>
          <w:lang w:val="cs-CZ"/>
        </w:rPr>
        <w:t xml:space="preserve">(h) </w:t>
      </w:r>
      <w:r w:rsidR="008238AC">
        <w:rPr>
          <w:rFonts w:ascii="Times New Roman" w:hAnsi="Times New Roman" w:cs="Times New Roman"/>
          <w:sz w:val="20"/>
          <w:szCs w:val="20"/>
          <w:lang w:val="cs-CZ"/>
        </w:rPr>
        <w:t>Využívat jakékoli dostupné financování, včetně regionálního financování a financování pro rozvoj spolupráce s cílem rozvíjet inkluzivní a přístupné služby pro nezávislý život.</w:t>
      </w:r>
    </w:p>
    <w:p w14:paraId="485EB84C" w14:textId="1BC41EF6" w:rsidR="00D12D66" w:rsidRPr="008238AC" w:rsidRDefault="00696CC0" w:rsidP="00696CC0">
      <w:pPr>
        <w:pStyle w:val="HChG"/>
        <w:rPr>
          <w:rFonts w:eastAsia="SimSun"/>
          <w:lang w:val="cs-CZ"/>
        </w:rPr>
      </w:pPr>
      <w:r>
        <w:rPr>
          <w:rFonts w:eastAsia="SimSun"/>
          <w:lang w:val="en-US"/>
        </w:rPr>
        <w:lastRenderedPageBreak/>
        <w:tab/>
        <w:t>III.</w:t>
      </w:r>
      <w:r>
        <w:rPr>
          <w:rFonts w:eastAsia="SimSun"/>
          <w:lang w:val="en-US"/>
        </w:rPr>
        <w:tab/>
      </w:r>
      <w:r w:rsidR="008238AC">
        <w:rPr>
          <w:rFonts w:eastAsia="SimSun"/>
          <w:lang w:val="cs-CZ"/>
        </w:rPr>
        <w:t>Závazky smluvních států</w:t>
      </w:r>
    </w:p>
    <w:p w14:paraId="5EA22FA5" w14:textId="1553D2E4" w:rsid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3</w:t>
      </w:r>
      <w:r w:rsidR="00E82683" w:rsidRPr="008238AC">
        <w:rPr>
          <w:rFonts w:ascii="Times New Roman" w:hAnsi="Times New Roman" w:cs="Times New Roman"/>
          <w:sz w:val="20"/>
          <w:szCs w:val="20"/>
          <w:lang w:val="cs-CZ"/>
        </w:rPr>
        <w:t>9</w:t>
      </w:r>
      <w:r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ab/>
      </w:r>
      <w:r w:rsidR="008238AC">
        <w:rPr>
          <w:rFonts w:ascii="Times New Roman" w:hAnsi="Times New Roman" w:cs="Times New Roman"/>
          <w:sz w:val="20"/>
          <w:szCs w:val="20"/>
          <w:lang w:val="cs-CZ"/>
        </w:rPr>
        <w:t xml:space="preserve">Závazky smluvních států musí odrážet povahu lidských práv, která jsou buď absolutní a bezprostředně aplikovatelná (občanská a politická práva) nebo postupně aplikovatelná (hospodářská, sociální a kulturní práva). Článek 19 (a), právo zvolit si své místo pobytu a to, kde, jak a s kým žít, je bezprostředně aplikovatelné, jelikož je občanským a politickým právem. Článek 19 (b), právo na přístup k podpůrným službám individualizovaným podle posouzení, je hospodářským, sociálním a kulturním právem. Článek 19 (c), právo využívat </w:t>
      </w:r>
      <w:r w:rsidR="003C215A">
        <w:rPr>
          <w:rFonts w:ascii="Times New Roman" w:hAnsi="Times New Roman" w:cs="Times New Roman"/>
          <w:sz w:val="20"/>
          <w:szCs w:val="20"/>
          <w:lang w:val="cs-CZ"/>
        </w:rPr>
        <w:t>služby a zařízení je hospodářským, sociálním a kulturním právem, jelikož mnoho služeb určených široké veřejnosti, jako jsou přístupné informační technologie, webové stránky, sociální média, kina, veřejné parky, divadla a sportovní zařízení slouží jak sociálním, tak i kulturním účelům. Postupná realizace zahrnuje závazky okamžité povahy navrhnout a rozhodnout o konkrétních strategiích, akčních plánech a alokovat zdroje za účelem rozvoje podpůrných služeb, stejně jako učinit existující i nové obecné služby přístupné pro lidi se zdravotním postižením.</w:t>
      </w:r>
    </w:p>
    <w:p w14:paraId="141F6F3A"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285B19C4" w14:textId="66AA8A97" w:rsidR="003C215A" w:rsidRDefault="00E82683" w:rsidP="00A12659">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40</w:t>
      </w:r>
      <w:r w:rsidR="004762B3" w:rsidRPr="008238AC">
        <w:rPr>
          <w:rFonts w:ascii="Times New Roman" w:hAnsi="Times New Roman" w:cs="Times New Roman"/>
          <w:sz w:val="20"/>
          <w:szCs w:val="20"/>
          <w:lang w:val="cs-CZ"/>
        </w:rPr>
        <w:t>.</w:t>
      </w:r>
      <w:r w:rsidR="004762B3" w:rsidRPr="008238AC">
        <w:rPr>
          <w:rFonts w:ascii="Times New Roman" w:hAnsi="Times New Roman" w:cs="Times New Roman"/>
          <w:sz w:val="20"/>
          <w:szCs w:val="20"/>
          <w:lang w:val="cs-CZ"/>
        </w:rPr>
        <w:tab/>
      </w:r>
      <w:r w:rsidR="003C215A">
        <w:rPr>
          <w:rFonts w:ascii="Times New Roman" w:hAnsi="Times New Roman" w:cs="Times New Roman"/>
          <w:sz w:val="20"/>
          <w:szCs w:val="20"/>
          <w:lang w:val="cs-CZ"/>
        </w:rPr>
        <w:t>Závazek respektovat nezahrnuje pouze negativní aspekt. Jeho pozitivní aspekt zavazuje státy, aby přijaly všechna nezbytná opatření, která by zajistila, že žádná práva, zakotvená v článku 19 nebudou porušována státem nebo soukromými subjekty.</w:t>
      </w:r>
    </w:p>
    <w:p w14:paraId="75039DA0"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4AB9ACAF" w14:textId="5DABB739" w:rsidR="00B4207A" w:rsidRDefault="004762B3" w:rsidP="00B4207A">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w:t>
      </w:r>
      <w:r w:rsidR="00E82683" w:rsidRPr="008238AC">
        <w:rPr>
          <w:rFonts w:ascii="Times New Roman" w:hAnsi="Times New Roman" w:cs="Times New Roman"/>
          <w:sz w:val="20"/>
          <w:szCs w:val="20"/>
          <w:lang w:val="cs-CZ"/>
        </w:rPr>
        <w:t>1</w:t>
      </w:r>
      <w:r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ab/>
      </w:r>
      <w:r w:rsidR="003C215A">
        <w:rPr>
          <w:rFonts w:ascii="Times New Roman" w:hAnsi="Times New Roman" w:cs="Times New Roman"/>
          <w:sz w:val="20"/>
          <w:szCs w:val="20"/>
          <w:lang w:val="cs-CZ"/>
        </w:rPr>
        <w:t xml:space="preserve">S cílem dosáhnout postupné realizace hospodářských, sociálních a kulturních práv musí státy přijmout kroky s maximálním využitím </w:t>
      </w:r>
      <w:r w:rsidR="00212AFF">
        <w:rPr>
          <w:rFonts w:ascii="Times New Roman" w:hAnsi="Times New Roman" w:cs="Times New Roman"/>
          <w:sz w:val="20"/>
          <w:szCs w:val="20"/>
          <w:lang w:val="cs-CZ"/>
        </w:rPr>
        <w:t>svých</w:t>
      </w:r>
      <w:r w:rsidR="003C215A">
        <w:rPr>
          <w:rFonts w:ascii="Times New Roman" w:hAnsi="Times New Roman" w:cs="Times New Roman"/>
          <w:sz w:val="20"/>
          <w:szCs w:val="20"/>
          <w:lang w:val="cs-CZ"/>
        </w:rPr>
        <w:t xml:space="preserve"> dostupných zdrojů</w:t>
      </w:r>
      <w:r w:rsidR="00277A65" w:rsidRPr="008238AC">
        <w:rPr>
          <w:rStyle w:val="Znakapoznpodarou"/>
          <w:rFonts w:cs="Times New Roman"/>
          <w:szCs w:val="20"/>
          <w:lang w:val="cs-CZ"/>
        </w:rPr>
        <w:footnoteReference w:id="7"/>
      </w:r>
      <w:r w:rsidR="00277A65"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 xml:space="preserve"> </w:t>
      </w:r>
      <w:r w:rsidR="00B4207A">
        <w:rPr>
          <w:rFonts w:ascii="Times New Roman" w:hAnsi="Times New Roman" w:cs="Times New Roman"/>
          <w:sz w:val="20"/>
          <w:szCs w:val="20"/>
          <w:lang w:val="cs-CZ"/>
        </w:rPr>
        <w:t>Tyto kroky musí být přijaty bezprostředně nebo v rámci přiměřeně krátké doby. Takové kroky by měly být promyšlené, konkrétní, zacílené a využívat všechny zdroje</w:t>
      </w:r>
      <w:r w:rsidRPr="008238AC">
        <w:rPr>
          <w:rFonts w:ascii="Times New Roman" w:hAnsi="Times New Roman" w:cs="Times New Roman"/>
          <w:sz w:val="20"/>
          <w:szCs w:val="20"/>
          <w:lang w:val="cs-CZ"/>
        </w:rPr>
        <w:t>.</w:t>
      </w:r>
      <w:r w:rsidRPr="008238AC">
        <w:rPr>
          <w:rStyle w:val="Znakapoznpodarou"/>
          <w:rFonts w:cs="Times New Roman"/>
          <w:sz w:val="20"/>
          <w:szCs w:val="20"/>
          <w:lang w:val="cs-CZ"/>
        </w:rPr>
        <w:footnoteReference w:id="8"/>
      </w:r>
      <w:r w:rsidRPr="008238AC">
        <w:rPr>
          <w:rFonts w:ascii="Times New Roman" w:hAnsi="Times New Roman" w:cs="Times New Roman"/>
          <w:sz w:val="20"/>
          <w:szCs w:val="20"/>
          <w:lang w:val="cs-CZ"/>
        </w:rPr>
        <w:t xml:space="preserve"> </w:t>
      </w:r>
      <w:r w:rsidR="00B4207A">
        <w:rPr>
          <w:rFonts w:ascii="Times New Roman" w:hAnsi="Times New Roman" w:cs="Times New Roman"/>
          <w:sz w:val="20"/>
          <w:szCs w:val="20"/>
          <w:lang w:val="cs-CZ"/>
        </w:rPr>
        <w:t>Systematická realizace práva na nezávislý život v komunitě vyžaduje strukturální změny. To zvláště platí pro deinstitucionalizaci ve všech jejích formách.</w:t>
      </w:r>
    </w:p>
    <w:p w14:paraId="2371B31C"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682A0E6E" w14:textId="5974B839" w:rsidR="00B4207A"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w:t>
      </w:r>
      <w:r w:rsidR="00E82683" w:rsidRPr="008238AC">
        <w:rPr>
          <w:rFonts w:ascii="Times New Roman" w:hAnsi="Times New Roman" w:cs="Times New Roman"/>
          <w:sz w:val="20"/>
          <w:szCs w:val="20"/>
          <w:lang w:val="cs-CZ"/>
        </w:rPr>
        <w:t>2</w:t>
      </w:r>
      <w:r w:rsidRPr="008238AC">
        <w:rPr>
          <w:rFonts w:ascii="Times New Roman" w:hAnsi="Times New Roman" w:cs="Times New Roman"/>
          <w:sz w:val="20"/>
          <w:szCs w:val="20"/>
          <w:lang w:val="cs-CZ"/>
        </w:rPr>
        <w:t xml:space="preserve">. </w:t>
      </w:r>
      <w:r w:rsidR="005C1AE0" w:rsidRPr="008238AC">
        <w:rPr>
          <w:rFonts w:ascii="Times New Roman" w:hAnsi="Times New Roman" w:cs="Times New Roman"/>
          <w:sz w:val="20"/>
          <w:szCs w:val="20"/>
          <w:lang w:val="cs-CZ"/>
        </w:rPr>
        <w:tab/>
      </w:r>
      <w:r w:rsidRPr="008238AC">
        <w:rPr>
          <w:rFonts w:ascii="Times New Roman" w:hAnsi="Times New Roman" w:cs="Times New Roman"/>
          <w:sz w:val="20"/>
          <w:szCs w:val="20"/>
          <w:lang w:val="cs-CZ"/>
        </w:rPr>
        <w:t>S</w:t>
      </w:r>
      <w:r w:rsidR="00B4207A">
        <w:rPr>
          <w:rFonts w:ascii="Times New Roman" w:hAnsi="Times New Roman" w:cs="Times New Roman"/>
          <w:sz w:val="20"/>
          <w:szCs w:val="20"/>
          <w:lang w:val="cs-CZ"/>
        </w:rPr>
        <w:t>mluvní státy mají závazek okamžité povahy vstoupit do strategického plánování s odpovídajícími časovými rámci a zdroji v úzké a respektující konzultaci se zástupci organizací lidí se zdravotním postižením s cílem nahradit institucionalizovaná zařízení podpůrnými službami pro nezávislý život. Míra uvážení smluvních</w:t>
      </w:r>
      <w:r w:rsidR="00CC2932">
        <w:rPr>
          <w:rFonts w:ascii="Times New Roman" w:hAnsi="Times New Roman" w:cs="Times New Roman"/>
          <w:sz w:val="20"/>
          <w:szCs w:val="20"/>
          <w:lang w:val="cs-CZ"/>
        </w:rPr>
        <w:t xml:space="preserve"> států se vztahuje k programům implementace</w:t>
      </w:r>
      <w:r w:rsidR="00B4207A">
        <w:rPr>
          <w:rFonts w:ascii="Times New Roman" w:hAnsi="Times New Roman" w:cs="Times New Roman"/>
          <w:sz w:val="20"/>
          <w:szCs w:val="20"/>
          <w:lang w:val="cs-CZ"/>
        </w:rPr>
        <w:t xml:space="preserve">, ale nikoli k samotné otázce nahrazení. Smluvní státy by měly vytvořit plány přechodu v přímé konzultaci s lidmi se zdravotním postižením, prostřednictvím jejich </w:t>
      </w:r>
      <w:r w:rsidR="000A3156">
        <w:rPr>
          <w:rFonts w:ascii="Times New Roman" w:hAnsi="Times New Roman" w:cs="Times New Roman"/>
          <w:sz w:val="20"/>
          <w:szCs w:val="20"/>
          <w:lang w:val="cs-CZ"/>
        </w:rPr>
        <w:t>zastupujících</w:t>
      </w:r>
      <w:r w:rsidR="00B4207A">
        <w:rPr>
          <w:rFonts w:ascii="Times New Roman" w:hAnsi="Times New Roman" w:cs="Times New Roman"/>
          <w:sz w:val="20"/>
          <w:szCs w:val="20"/>
          <w:lang w:val="cs-CZ"/>
        </w:rPr>
        <w:t xml:space="preserve"> organizací s cílem zajistit plné začlenění lidí se zdravotním postižením do komunity.</w:t>
      </w:r>
    </w:p>
    <w:p w14:paraId="451DC931"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22BC372B" w14:textId="0576B18F" w:rsidR="004762B3" w:rsidRPr="008238AC" w:rsidRDefault="004762B3" w:rsidP="00B4207A">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w:t>
      </w:r>
      <w:r w:rsidR="00E82683" w:rsidRPr="008238AC">
        <w:rPr>
          <w:rFonts w:ascii="Times New Roman" w:hAnsi="Times New Roman" w:cs="Times New Roman"/>
          <w:sz w:val="20"/>
          <w:szCs w:val="20"/>
          <w:lang w:val="cs-CZ"/>
        </w:rPr>
        <w:t>3</w:t>
      </w:r>
      <w:r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ab/>
      </w:r>
      <w:r w:rsidR="00B4207A">
        <w:rPr>
          <w:rFonts w:ascii="Times New Roman" w:hAnsi="Times New Roman" w:cs="Times New Roman"/>
          <w:sz w:val="20"/>
          <w:szCs w:val="20"/>
          <w:lang w:val="cs-CZ"/>
        </w:rPr>
        <w:t xml:space="preserve">Pokud stát hodlá přijmout regresivní opatření ve vztahu k článku 19, např. v rámci reakce na hospodářskou a finanční krizi, je povinen prokázat, že taková opatření jsou dočasná, nezbytná a nediskriminační a že smluvní stát i opatření respektují základní závazky (esenciálnímu obsahu práva; </w:t>
      </w:r>
      <w:proofErr w:type="spellStart"/>
      <w:r w:rsidR="00B4207A">
        <w:rPr>
          <w:rFonts w:ascii="Times New Roman" w:hAnsi="Times New Roman" w:cs="Times New Roman"/>
          <w:sz w:val="20"/>
          <w:szCs w:val="20"/>
          <w:lang w:val="cs-CZ"/>
        </w:rPr>
        <w:t>core</w:t>
      </w:r>
      <w:proofErr w:type="spellEnd"/>
      <w:r w:rsidR="00B4207A">
        <w:rPr>
          <w:rFonts w:ascii="Times New Roman" w:hAnsi="Times New Roman" w:cs="Times New Roman"/>
          <w:sz w:val="20"/>
          <w:szCs w:val="20"/>
          <w:lang w:val="cs-CZ"/>
        </w:rPr>
        <w:t xml:space="preserve"> </w:t>
      </w:r>
      <w:proofErr w:type="spellStart"/>
      <w:r w:rsidR="00B4207A">
        <w:rPr>
          <w:rFonts w:ascii="Times New Roman" w:hAnsi="Times New Roman" w:cs="Times New Roman"/>
          <w:sz w:val="20"/>
          <w:szCs w:val="20"/>
          <w:lang w:val="cs-CZ"/>
        </w:rPr>
        <w:t>obligations</w:t>
      </w:r>
      <w:proofErr w:type="spellEnd"/>
      <w:r w:rsidR="00B4207A">
        <w:rPr>
          <w:rFonts w:ascii="Times New Roman" w:hAnsi="Times New Roman" w:cs="Times New Roman"/>
          <w:sz w:val="20"/>
          <w:szCs w:val="20"/>
          <w:lang w:val="cs-CZ"/>
        </w:rPr>
        <w:t>)</w:t>
      </w:r>
      <w:r w:rsidRPr="008238AC">
        <w:rPr>
          <w:rFonts w:ascii="Times New Roman" w:hAnsi="Times New Roman" w:cs="Times New Roman"/>
          <w:sz w:val="20"/>
          <w:szCs w:val="20"/>
          <w:lang w:val="cs-CZ"/>
        </w:rPr>
        <w:t>.</w:t>
      </w:r>
      <w:r w:rsidRPr="008238AC">
        <w:rPr>
          <w:rFonts w:ascii="Times New Roman" w:hAnsi="Times New Roman" w:cs="Times New Roman"/>
          <w:sz w:val="20"/>
          <w:szCs w:val="20"/>
          <w:vertAlign w:val="superscript"/>
          <w:lang w:val="cs-CZ"/>
        </w:rPr>
        <w:footnoteReference w:id="9"/>
      </w:r>
    </w:p>
    <w:p w14:paraId="299D2259"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278FDD5C" w14:textId="527FDD5C" w:rsidR="00B4207A"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w:t>
      </w:r>
      <w:r w:rsidR="00E82683" w:rsidRPr="008238AC">
        <w:rPr>
          <w:rFonts w:ascii="Times New Roman" w:hAnsi="Times New Roman" w:cs="Times New Roman"/>
          <w:sz w:val="20"/>
          <w:szCs w:val="20"/>
          <w:lang w:val="cs-CZ"/>
        </w:rPr>
        <w:t>4</w:t>
      </w:r>
      <w:r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ab/>
      </w:r>
      <w:r w:rsidR="00B4207A">
        <w:rPr>
          <w:rFonts w:ascii="Times New Roman" w:hAnsi="Times New Roman" w:cs="Times New Roman"/>
          <w:sz w:val="20"/>
          <w:szCs w:val="20"/>
          <w:lang w:val="cs-CZ"/>
        </w:rPr>
        <w:t>Povinnost postupné realizace rovněž zahrnuje předpo</w:t>
      </w:r>
      <w:r w:rsidR="00212AFF">
        <w:rPr>
          <w:rFonts w:ascii="Times New Roman" w:hAnsi="Times New Roman" w:cs="Times New Roman"/>
          <w:sz w:val="20"/>
          <w:szCs w:val="20"/>
          <w:lang w:val="cs-CZ"/>
        </w:rPr>
        <w:t xml:space="preserve">klad proti regresivním opatřením </w:t>
      </w:r>
      <w:r w:rsidR="00B4207A">
        <w:rPr>
          <w:rFonts w:ascii="Times New Roman" w:hAnsi="Times New Roman" w:cs="Times New Roman"/>
          <w:sz w:val="20"/>
          <w:szCs w:val="20"/>
          <w:lang w:val="cs-CZ"/>
        </w:rPr>
        <w:t>při užívání hospodářských, sociálních a kulturních práv. Taková opatření zbavují lidi se zdravotním postižením plného užívání práva žít nezávisle a být začleněn do komunity. Jako důsledek tak regresivní opatření zakládají porušení článku 19.</w:t>
      </w:r>
    </w:p>
    <w:p w14:paraId="5ECC9E39"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14C711CC" w14:textId="735B6EDB" w:rsidR="00B4207A"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w:t>
      </w:r>
      <w:r w:rsidR="00E82683" w:rsidRPr="008238AC">
        <w:rPr>
          <w:rFonts w:ascii="Times New Roman" w:hAnsi="Times New Roman" w:cs="Times New Roman"/>
          <w:sz w:val="20"/>
          <w:szCs w:val="20"/>
          <w:lang w:val="cs-CZ"/>
        </w:rPr>
        <w:t>5</w:t>
      </w:r>
      <w:r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ab/>
      </w:r>
      <w:r w:rsidR="00B4207A">
        <w:rPr>
          <w:rFonts w:ascii="Times New Roman" w:hAnsi="Times New Roman" w:cs="Times New Roman"/>
          <w:sz w:val="20"/>
          <w:szCs w:val="20"/>
          <w:lang w:val="cs-CZ"/>
        </w:rPr>
        <w:t xml:space="preserve">Smluvní státy nesmí přijmou regresivní opatření ve vztahu k základním závazkům (esenciálnímu obsahu práva; </w:t>
      </w:r>
      <w:proofErr w:type="spellStart"/>
      <w:r w:rsidR="00B4207A">
        <w:rPr>
          <w:rFonts w:ascii="Times New Roman" w:hAnsi="Times New Roman" w:cs="Times New Roman"/>
          <w:sz w:val="20"/>
          <w:szCs w:val="20"/>
          <w:lang w:val="cs-CZ"/>
        </w:rPr>
        <w:t>core</w:t>
      </w:r>
      <w:proofErr w:type="spellEnd"/>
      <w:r w:rsidR="00B4207A">
        <w:rPr>
          <w:rFonts w:ascii="Times New Roman" w:hAnsi="Times New Roman" w:cs="Times New Roman"/>
          <w:sz w:val="20"/>
          <w:szCs w:val="20"/>
          <w:lang w:val="cs-CZ"/>
        </w:rPr>
        <w:t xml:space="preserve"> </w:t>
      </w:r>
      <w:proofErr w:type="spellStart"/>
      <w:r w:rsidR="00B4207A">
        <w:rPr>
          <w:rFonts w:ascii="Times New Roman" w:hAnsi="Times New Roman" w:cs="Times New Roman"/>
          <w:sz w:val="20"/>
          <w:szCs w:val="20"/>
          <w:lang w:val="cs-CZ"/>
        </w:rPr>
        <w:t>obligations</w:t>
      </w:r>
      <w:proofErr w:type="spellEnd"/>
      <w:r w:rsidR="00B4207A">
        <w:rPr>
          <w:rFonts w:ascii="Times New Roman" w:hAnsi="Times New Roman" w:cs="Times New Roman"/>
          <w:sz w:val="20"/>
          <w:szCs w:val="20"/>
          <w:lang w:val="cs-CZ"/>
        </w:rPr>
        <w:t>), vyplývajícím z práva na nezávislý způsob života v komunitě, jak jsou vyjmenovány v tomto obecném komentáři.</w:t>
      </w:r>
    </w:p>
    <w:p w14:paraId="7FFECF2D" w14:textId="77777777" w:rsidR="004762B3" w:rsidRPr="008238AC" w:rsidRDefault="004762B3" w:rsidP="00A12659">
      <w:pPr>
        <w:pStyle w:val="Listeafsnit1"/>
        <w:spacing w:after="120" w:line="240" w:lineRule="atLeast"/>
        <w:ind w:left="1134" w:right="1134"/>
        <w:jc w:val="both"/>
        <w:rPr>
          <w:rFonts w:ascii="Times New Roman" w:hAnsi="Times New Roman" w:cs="Times New Roman"/>
          <w:sz w:val="20"/>
          <w:szCs w:val="20"/>
          <w:lang w:val="cs-CZ"/>
        </w:rPr>
      </w:pPr>
    </w:p>
    <w:p w14:paraId="7D0DD4D7" w14:textId="6F59C305" w:rsidR="00B4207A"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8238AC">
        <w:rPr>
          <w:rFonts w:ascii="Times New Roman" w:hAnsi="Times New Roman" w:cs="Times New Roman"/>
          <w:sz w:val="20"/>
          <w:szCs w:val="20"/>
          <w:lang w:val="cs-CZ"/>
        </w:rPr>
        <w:t>4</w:t>
      </w:r>
      <w:r w:rsidR="00E82683" w:rsidRPr="008238AC">
        <w:rPr>
          <w:rFonts w:ascii="Times New Roman" w:hAnsi="Times New Roman" w:cs="Times New Roman"/>
          <w:sz w:val="20"/>
          <w:szCs w:val="20"/>
          <w:lang w:val="cs-CZ"/>
        </w:rPr>
        <w:t>6</w:t>
      </w:r>
      <w:r w:rsidRPr="008238AC">
        <w:rPr>
          <w:rFonts w:ascii="Times New Roman" w:hAnsi="Times New Roman" w:cs="Times New Roman"/>
          <w:sz w:val="20"/>
          <w:szCs w:val="20"/>
          <w:lang w:val="cs-CZ"/>
        </w:rPr>
        <w:t>.</w:t>
      </w:r>
      <w:r w:rsidRPr="008238AC">
        <w:rPr>
          <w:rFonts w:ascii="Times New Roman" w:hAnsi="Times New Roman" w:cs="Times New Roman"/>
          <w:sz w:val="20"/>
          <w:szCs w:val="20"/>
          <w:lang w:val="cs-CZ"/>
        </w:rPr>
        <w:tab/>
      </w:r>
      <w:r w:rsidR="00B4207A">
        <w:rPr>
          <w:rFonts w:ascii="Times New Roman" w:hAnsi="Times New Roman" w:cs="Times New Roman"/>
          <w:sz w:val="20"/>
          <w:szCs w:val="20"/>
          <w:lang w:val="cs-CZ"/>
        </w:rPr>
        <w:t xml:space="preserve">Smluvní státy mají okamžitou povinnost odstranit diskriminaci proti jednotlivcům nebo skupinám lidí se zdravotním postižením a garantovat jejich rovné právo na nezávislý život a účast na životě komunity. To vyžaduje, aby smluvní státy zrušily nebo reformovaly </w:t>
      </w:r>
      <w:r w:rsidR="00B4207A">
        <w:rPr>
          <w:rFonts w:ascii="Times New Roman" w:hAnsi="Times New Roman" w:cs="Times New Roman"/>
          <w:sz w:val="20"/>
          <w:szCs w:val="20"/>
          <w:lang w:val="cs-CZ"/>
        </w:rPr>
        <w:lastRenderedPageBreak/>
        <w:t>politiky, zákony a praktiky, které brání lidem se zdravotním postižením např. v tom vybrat si místo svého pobytu, v přístupu k cenově dostupnému a přístupnému bydlení, v pronajmutí si ubytování či v přístupu k obecným službám a zařízením, určeným široké veřejnosti, jak by to jejich nezávislost vyžadovala. Povinnost poskytnout přiměřené úpravy (čl. 5 (3)) rovněž není předmětem postupné realizace.</w:t>
      </w:r>
    </w:p>
    <w:p w14:paraId="6BADDF44" w14:textId="1B60048F" w:rsidR="00D12D66" w:rsidRPr="00B4207A" w:rsidRDefault="00B40B63" w:rsidP="00B4207A">
      <w:pPr>
        <w:pStyle w:val="H1G"/>
        <w:rPr>
          <w:rFonts w:eastAsia="Calibri"/>
          <w:lang w:val="cs-CZ"/>
        </w:rPr>
      </w:pPr>
      <w:r>
        <w:rPr>
          <w:rFonts w:eastAsia="Calibri"/>
          <w:lang w:val="en-US"/>
        </w:rPr>
        <w:tab/>
        <w:t>A.</w:t>
      </w:r>
      <w:r>
        <w:rPr>
          <w:rFonts w:eastAsia="Calibri"/>
          <w:lang w:val="en-US"/>
        </w:rPr>
        <w:tab/>
      </w:r>
      <w:r w:rsidR="00B4207A">
        <w:rPr>
          <w:rFonts w:eastAsia="Calibri"/>
          <w:lang w:val="cs-CZ"/>
        </w:rPr>
        <w:t>Závazek respektovat</w:t>
      </w:r>
    </w:p>
    <w:p w14:paraId="2668E1C9" w14:textId="0426B7A0" w:rsidR="00B4207A" w:rsidRDefault="004762B3" w:rsidP="00A12659">
      <w:pPr>
        <w:pStyle w:val="ListParagraph3"/>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4</w:t>
      </w:r>
      <w:r w:rsidR="00E82683" w:rsidRPr="00B4207A">
        <w:rPr>
          <w:rFonts w:ascii="Times New Roman" w:hAnsi="Times New Roman" w:cs="Times New Roman"/>
          <w:sz w:val="20"/>
          <w:szCs w:val="20"/>
          <w:lang w:val="cs-CZ"/>
        </w:rPr>
        <w:t>7</w:t>
      </w:r>
      <w:r w:rsidRPr="00B4207A">
        <w:rPr>
          <w:rFonts w:ascii="Times New Roman" w:hAnsi="Times New Roman" w:cs="Times New Roman"/>
          <w:sz w:val="20"/>
          <w:szCs w:val="20"/>
          <w:lang w:val="cs-CZ"/>
        </w:rPr>
        <w:t>.</w:t>
      </w:r>
      <w:r w:rsidRPr="00B4207A">
        <w:rPr>
          <w:rFonts w:ascii="Times New Roman" w:hAnsi="Times New Roman" w:cs="Times New Roman"/>
          <w:sz w:val="20"/>
          <w:szCs w:val="20"/>
          <w:lang w:val="cs-CZ"/>
        </w:rPr>
        <w:tab/>
      </w:r>
      <w:r w:rsidR="00B4207A">
        <w:rPr>
          <w:rFonts w:ascii="Times New Roman" w:hAnsi="Times New Roman" w:cs="Times New Roman"/>
          <w:sz w:val="20"/>
          <w:szCs w:val="20"/>
          <w:lang w:val="cs-CZ"/>
        </w:rPr>
        <w:t xml:space="preserve">Závazek respektovat vyžaduje, aby se smluvní státy zdržely toho, aby přímo či nepřímo zasahovaly nebo jakýmkoli způsobem omezovaly právo jednotlivce vykonávat své právo </w:t>
      </w:r>
      <w:r w:rsidR="00A472AF">
        <w:rPr>
          <w:rFonts w:ascii="Times New Roman" w:hAnsi="Times New Roman" w:cs="Times New Roman"/>
          <w:sz w:val="20"/>
          <w:szCs w:val="20"/>
          <w:lang w:val="cs-CZ"/>
        </w:rPr>
        <w:t>žít nezávisle a být začleněn do komunity. Smluvní státy by neměly omezovat nebo odepírat komukoli přístup k nezávislému životu v komunitě, včetně prostřednictvím zákonů, které přímo či nepřímo omezuj</w:t>
      </w:r>
      <w:r w:rsidR="00947F7C">
        <w:rPr>
          <w:rFonts w:ascii="Times New Roman" w:hAnsi="Times New Roman" w:cs="Times New Roman"/>
          <w:sz w:val="20"/>
          <w:szCs w:val="20"/>
          <w:lang w:val="cs-CZ"/>
        </w:rPr>
        <w:t>í autonomii a možnosti lidí se</w:t>
      </w:r>
      <w:r w:rsidR="00A472AF">
        <w:rPr>
          <w:rFonts w:ascii="Times New Roman" w:hAnsi="Times New Roman" w:cs="Times New Roman"/>
          <w:sz w:val="20"/>
          <w:szCs w:val="20"/>
          <w:lang w:val="cs-CZ"/>
        </w:rPr>
        <w:t> zdravotním postižením zvolit si místo svého pobytu nebo to, kde, jak a s kým žít. Smluvní státy by měly reformovat zákony, které brání výkonu práv, zakotvených v článku 19 Úmluvy.</w:t>
      </w:r>
    </w:p>
    <w:p w14:paraId="291A941F" w14:textId="77777777" w:rsidR="004762B3" w:rsidRPr="00B4207A" w:rsidRDefault="004762B3" w:rsidP="00A12659">
      <w:pPr>
        <w:pStyle w:val="ListParagraph3"/>
        <w:spacing w:after="120" w:line="240" w:lineRule="atLeast"/>
        <w:ind w:left="1134" w:right="1134"/>
        <w:jc w:val="both"/>
        <w:rPr>
          <w:rFonts w:ascii="Times New Roman" w:hAnsi="Times New Roman" w:cs="Times New Roman"/>
          <w:sz w:val="20"/>
          <w:szCs w:val="20"/>
          <w:lang w:val="cs-CZ"/>
        </w:rPr>
      </w:pPr>
    </w:p>
    <w:p w14:paraId="19C9E7A8" w14:textId="1B32276D" w:rsidR="00A472AF" w:rsidRDefault="004762B3" w:rsidP="00A12659">
      <w:pPr>
        <w:pStyle w:val="ListParagraph3"/>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4</w:t>
      </w:r>
      <w:r w:rsidR="00E82683" w:rsidRPr="00B4207A">
        <w:rPr>
          <w:rFonts w:ascii="Times New Roman" w:hAnsi="Times New Roman" w:cs="Times New Roman"/>
          <w:sz w:val="20"/>
          <w:szCs w:val="20"/>
          <w:lang w:val="cs-CZ"/>
        </w:rPr>
        <w:t>8</w:t>
      </w:r>
      <w:r w:rsidRPr="00B4207A">
        <w:rPr>
          <w:rFonts w:ascii="Times New Roman" w:hAnsi="Times New Roman" w:cs="Times New Roman"/>
          <w:sz w:val="20"/>
          <w:szCs w:val="20"/>
          <w:lang w:val="cs-CZ"/>
        </w:rPr>
        <w:t>.</w:t>
      </w:r>
      <w:r w:rsidRPr="00B4207A">
        <w:rPr>
          <w:rFonts w:ascii="Times New Roman" w:hAnsi="Times New Roman" w:cs="Times New Roman"/>
          <w:sz w:val="20"/>
          <w:szCs w:val="20"/>
          <w:lang w:val="cs-CZ"/>
        </w:rPr>
        <w:tab/>
      </w:r>
      <w:r w:rsidR="00A472AF">
        <w:rPr>
          <w:rFonts w:ascii="Times New Roman" w:hAnsi="Times New Roman" w:cs="Times New Roman"/>
          <w:sz w:val="20"/>
          <w:szCs w:val="20"/>
          <w:lang w:val="cs-CZ"/>
        </w:rPr>
        <w:t>Závazek rovněž vyžaduje, aby smluvní státy zrušily nebo ustoupily od přijetí zákonů, politik nebo struktur, které udržují či vytvářejí bariéry v přístupu k podpůrným službám, stejně jako k obecným zařízením a službám. To rovněž zahrnuje závazek propustit všechny jednotlivce, kteří jsou drženi proti své vůli v zařízeních duševního zdraví a dalších formách zbavení osobní svobody, specificky spojených se zdravotním postižením. Dále to zahrnuje zákaz všech forem opatrovnictví a závazek nahradit režimy náhradního rozhodování alternativami podporovaného rozhodování.</w:t>
      </w:r>
    </w:p>
    <w:p w14:paraId="0D65B7FB" w14:textId="4089DF00" w:rsidR="00A472AF" w:rsidRDefault="004762B3" w:rsidP="00A12659">
      <w:pPr>
        <w:pStyle w:val="Listeafsnit1"/>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4</w:t>
      </w:r>
      <w:r w:rsidR="00E82683" w:rsidRPr="00B4207A">
        <w:rPr>
          <w:rFonts w:ascii="Times New Roman" w:hAnsi="Times New Roman" w:cs="Times New Roman"/>
          <w:sz w:val="20"/>
          <w:szCs w:val="20"/>
          <w:lang w:val="cs-CZ"/>
        </w:rPr>
        <w:t>9</w:t>
      </w:r>
      <w:r w:rsidRPr="00B4207A">
        <w:rPr>
          <w:rFonts w:ascii="Times New Roman" w:hAnsi="Times New Roman" w:cs="Times New Roman"/>
          <w:sz w:val="20"/>
          <w:szCs w:val="20"/>
          <w:lang w:val="cs-CZ"/>
        </w:rPr>
        <w:t>.</w:t>
      </w:r>
      <w:r w:rsidRPr="00B4207A">
        <w:rPr>
          <w:rFonts w:ascii="Times New Roman" w:hAnsi="Times New Roman" w:cs="Times New Roman"/>
          <w:sz w:val="20"/>
          <w:szCs w:val="20"/>
          <w:lang w:val="cs-CZ"/>
        </w:rPr>
        <w:tab/>
      </w:r>
      <w:r w:rsidR="00A472AF">
        <w:rPr>
          <w:rFonts w:ascii="Times New Roman" w:hAnsi="Times New Roman" w:cs="Times New Roman"/>
          <w:sz w:val="20"/>
          <w:szCs w:val="20"/>
          <w:lang w:val="cs-CZ"/>
        </w:rPr>
        <w:t>Respektovat práva lidí se zdravotním postižením podle článku 19 znamená, že smluvní státy musí postupně ukončit institucionalizaci. Žádné nové instituce by neměly být smluvními státy budovány, stejně tak by neměly být renovovány staré instituce, s výjimkou nejurgentnějších opatření, nezbytných pro ochranu fyzické bezpečnosti jejich obyvatel. Instituce by neměly být rozšiřovány, noví obyvatelé by neměli být přijímáni na místo těch, kteří odešli</w:t>
      </w:r>
      <w:r w:rsidR="00656182">
        <w:rPr>
          <w:rFonts w:ascii="Times New Roman" w:hAnsi="Times New Roman" w:cs="Times New Roman"/>
          <w:sz w:val="20"/>
          <w:szCs w:val="20"/>
          <w:lang w:val="cs-CZ"/>
        </w:rPr>
        <w:t>,</w:t>
      </w:r>
      <w:r w:rsidR="00A472AF">
        <w:rPr>
          <w:rFonts w:ascii="Times New Roman" w:hAnsi="Times New Roman" w:cs="Times New Roman"/>
          <w:sz w:val="20"/>
          <w:szCs w:val="20"/>
          <w:lang w:val="cs-CZ"/>
        </w:rPr>
        <w:t xml:space="preserve"> a „satelitní“ životní uspořádání, která vycházejí z instituce, mají podobu individuálního bydlení (byty nebo samostatné doby), ale točí se kolem instituce, by neměla být zřizována. </w:t>
      </w:r>
    </w:p>
    <w:p w14:paraId="5151F430" w14:textId="65DEBB72" w:rsidR="00D12D66" w:rsidRPr="00B4207A" w:rsidRDefault="00B40B63" w:rsidP="00B40B63">
      <w:pPr>
        <w:pStyle w:val="H1G"/>
        <w:rPr>
          <w:rFonts w:eastAsia="Calibri"/>
          <w:lang w:val="cs-CZ"/>
        </w:rPr>
      </w:pPr>
      <w:r w:rsidRPr="00B4207A">
        <w:rPr>
          <w:rFonts w:eastAsia="Calibri"/>
          <w:lang w:val="cs-CZ"/>
        </w:rPr>
        <w:tab/>
        <w:t>B.</w:t>
      </w:r>
      <w:r w:rsidRPr="00B4207A">
        <w:rPr>
          <w:rFonts w:eastAsia="Calibri"/>
          <w:lang w:val="cs-CZ"/>
        </w:rPr>
        <w:tab/>
      </w:r>
      <w:r w:rsidR="00656182">
        <w:rPr>
          <w:rFonts w:eastAsia="Calibri"/>
          <w:lang w:val="cs-CZ"/>
        </w:rPr>
        <w:t>Závazek chránit</w:t>
      </w:r>
    </w:p>
    <w:p w14:paraId="549484E6" w14:textId="177494E5" w:rsidR="004762B3" w:rsidRDefault="00E82683" w:rsidP="00656182">
      <w:pPr>
        <w:pStyle w:val="ListParagraph3"/>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50</w:t>
      </w:r>
      <w:r w:rsidR="004762B3" w:rsidRPr="00B4207A">
        <w:rPr>
          <w:rFonts w:ascii="Times New Roman" w:hAnsi="Times New Roman" w:cs="Times New Roman"/>
          <w:sz w:val="20"/>
          <w:szCs w:val="20"/>
          <w:lang w:val="cs-CZ"/>
        </w:rPr>
        <w:t>.</w:t>
      </w:r>
      <w:r w:rsidR="004762B3" w:rsidRPr="00B4207A">
        <w:rPr>
          <w:rFonts w:ascii="Times New Roman" w:hAnsi="Times New Roman" w:cs="Times New Roman"/>
          <w:sz w:val="20"/>
          <w:szCs w:val="20"/>
          <w:lang w:val="cs-CZ"/>
        </w:rPr>
        <w:tab/>
      </w:r>
      <w:r w:rsidR="00656182">
        <w:rPr>
          <w:rFonts w:ascii="Times New Roman" w:hAnsi="Times New Roman" w:cs="Times New Roman"/>
          <w:sz w:val="20"/>
          <w:szCs w:val="20"/>
          <w:lang w:val="cs-CZ"/>
        </w:rPr>
        <w:t xml:space="preserve">Závazek chránit zavazuje smluvní státy k přijetí opatření, která by bránila rodinným příslušníkům a třetím subjektům v přímém či nepřímém zasahování do užívání práva žít nezávisle v komunitě. Povinnost chránit vyžaduje, aby smluvní státy přijaly a implementovaly zákony a politiky zakazující takové chování rodinných příslušníků a třetích subjektů, poskytovatelů služeb, pronajímatelů nebo poskytovatelů obecných služeb, které podrývá užívání práva být začleněn a žít nezávisle v komunitě. </w:t>
      </w:r>
    </w:p>
    <w:p w14:paraId="561DCDB3" w14:textId="77777777" w:rsidR="00656182" w:rsidRPr="00B4207A" w:rsidRDefault="00656182" w:rsidP="00DA4D4E">
      <w:pPr>
        <w:pStyle w:val="ListParagraph3"/>
        <w:spacing w:after="120" w:line="240" w:lineRule="atLeast"/>
        <w:ind w:left="1134" w:right="1134"/>
        <w:jc w:val="both"/>
        <w:rPr>
          <w:rFonts w:ascii="Times New Roman" w:hAnsi="Times New Roman" w:cs="Times New Roman"/>
          <w:sz w:val="20"/>
          <w:szCs w:val="20"/>
          <w:lang w:val="cs-CZ"/>
        </w:rPr>
      </w:pPr>
    </w:p>
    <w:p w14:paraId="7E98F507" w14:textId="7CAA9EE3" w:rsidR="00656182" w:rsidRDefault="004762B3" w:rsidP="00DA4D4E">
      <w:pPr>
        <w:pStyle w:val="ListParagraph3"/>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5</w:t>
      </w:r>
      <w:r w:rsidR="00E82683" w:rsidRPr="00B4207A">
        <w:rPr>
          <w:rFonts w:ascii="Times New Roman" w:hAnsi="Times New Roman" w:cs="Times New Roman"/>
          <w:sz w:val="20"/>
          <w:szCs w:val="20"/>
          <w:lang w:val="cs-CZ"/>
        </w:rPr>
        <w:t>1</w:t>
      </w:r>
      <w:r w:rsidRPr="00B4207A">
        <w:rPr>
          <w:rFonts w:ascii="Times New Roman" w:hAnsi="Times New Roman" w:cs="Times New Roman"/>
          <w:sz w:val="20"/>
          <w:szCs w:val="20"/>
          <w:lang w:val="cs-CZ"/>
        </w:rPr>
        <w:t>.</w:t>
      </w:r>
      <w:r w:rsidRPr="00B4207A">
        <w:rPr>
          <w:rFonts w:ascii="Times New Roman" w:hAnsi="Times New Roman" w:cs="Times New Roman"/>
          <w:sz w:val="20"/>
          <w:szCs w:val="20"/>
          <w:lang w:val="cs-CZ"/>
        </w:rPr>
        <w:tab/>
      </w:r>
      <w:r w:rsidR="00656182">
        <w:rPr>
          <w:rFonts w:ascii="Times New Roman" w:hAnsi="Times New Roman" w:cs="Times New Roman"/>
          <w:sz w:val="20"/>
          <w:szCs w:val="20"/>
          <w:lang w:val="cs-CZ"/>
        </w:rPr>
        <w:t xml:space="preserve">Smluvní státy by měly zajistit, že veřejné a soukromé zdroje nebudou utráceny na udržování, renovaci, zřizování, budování existujících nebo nových institucí v jakékoli formě institucionalizace. Smluvní státy musí navíc zajistit, že soukromé instituce nebudou zřizovány pod maskou „života v komunitě“. </w:t>
      </w:r>
    </w:p>
    <w:p w14:paraId="0DF447C0" w14:textId="77777777" w:rsidR="004762B3" w:rsidRPr="00B4207A" w:rsidRDefault="004762B3" w:rsidP="00DA4D4E">
      <w:pPr>
        <w:pStyle w:val="ListParagraph3"/>
        <w:spacing w:after="120" w:line="240" w:lineRule="atLeast"/>
        <w:ind w:left="1134" w:right="1134"/>
        <w:jc w:val="both"/>
        <w:rPr>
          <w:rFonts w:ascii="Times New Roman" w:hAnsi="Times New Roman" w:cs="Times New Roman"/>
          <w:sz w:val="20"/>
          <w:szCs w:val="20"/>
          <w:lang w:val="cs-CZ"/>
        </w:rPr>
      </w:pPr>
    </w:p>
    <w:p w14:paraId="4DF8B6E4" w14:textId="4D7F71F4" w:rsidR="00656182" w:rsidRDefault="004762B3" w:rsidP="00DA4D4E">
      <w:pPr>
        <w:pStyle w:val="ListParagraph3"/>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5</w:t>
      </w:r>
      <w:r w:rsidR="00E82683" w:rsidRPr="00B4207A">
        <w:rPr>
          <w:rFonts w:ascii="Times New Roman" w:hAnsi="Times New Roman" w:cs="Times New Roman"/>
          <w:sz w:val="20"/>
          <w:szCs w:val="20"/>
          <w:lang w:val="cs-CZ"/>
        </w:rPr>
        <w:t>2</w:t>
      </w:r>
      <w:r w:rsidRPr="00B4207A">
        <w:rPr>
          <w:rFonts w:ascii="Times New Roman" w:hAnsi="Times New Roman" w:cs="Times New Roman"/>
          <w:sz w:val="20"/>
          <w:szCs w:val="20"/>
          <w:lang w:val="cs-CZ"/>
        </w:rPr>
        <w:t>.</w:t>
      </w:r>
      <w:r w:rsidRPr="00B4207A">
        <w:rPr>
          <w:rFonts w:ascii="Times New Roman" w:hAnsi="Times New Roman" w:cs="Times New Roman"/>
          <w:sz w:val="20"/>
          <w:szCs w:val="20"/>
          <w:lang w:val="cs-CZ"/>
        </w:rPr>
        <w:tab/>
      </w:r>
      <w:r w:rsidR="00656182">
        <w:rPr>
          <w:rFonts w:ascii="Times New Roman" w:hAnsi="Times New Roman" w:cs="Times New Roman"/>
          <w:sz w:val="20"/>
          <w:szCs w:val="20"/>
          <w:lang w:val="cs-CZ"/>
        </w:rPr>
        <w:t>Podpora by vždy měla být založena na individuálních požadavcích, nikoli na zájmu poskytovatele služby. Státy by měly zřídit monitorovací mechanismus poskytovatelů služeb, přijmout opatření, která by chránila lidi se zdravotním postižením před ukrýváním rodinou nebo izolaci v institucích, chránila děti před opuštěním a institucionalizací na</w:t>
      </w:r>
      <w:r w:rsidR="00697358">
        <w:rPr>
          <w:rFonts w:ascii="Times New Roman" w:hAnsi="Times New Roman" w:cs="Times New Roman"/>
          <w:sz w:val="20"/>
          <w:szCs w:val="20"/>
          <w:lang w:val="cs-CZ"/>
        </w:rPr>
        <w:t xml:space="preserve"> základě zdravotního postižení a zřídila odpovídající mechanismy k detekování situací násilí vůči lidem se zdravotním postižením ze strany třetích subjektů. Smluvní státy by měly rovněž zakázat, aby se ředitelé a/nebo manažeři pobytových institucí stávali opatrovníky obyvatel</w:t>
      </w:r>
      <w:r w:rsidR="00947F7C">
        <w:rPr>
          <w:rFonts w:ascii="Times New Roman" w:hAnsi="Times New Roman" w:cs="Times New Roman"/>
          <w:sz w:val="20"/>
          <w:szCs w:val="20"/>
          <w:lang w:val="cs-CZ"/>
        </w:rPr>
        <w:t xml:space="preserve"> těchto institucí</w:t>
      </w:r>
      <w:r w:rsidR="00697358">
        <w:rPr>
          <w:rFonts w:ascii="Times New Roman" w:hAnsi="Times New Roman" w:cs="Times New Roman"/>
          <w:sz w:val="20"/>
          <w:szCs w:val="20"/>
          <w:lang w:val="cs-CZ"/>
        </w:rPr>
        <w:t>.</w:t>
      </w:r>
    </w:p>
    <w:p w14:paraId="698F3D01" w14:textId="77777777" w:rsidR="004762B3" w:rsidRPr="00B4207A" w:rsidRDefault="004762B3" w:rsidP="00DA4D4E">
      <w:pPr>
        <w:pStyle w:val="ListParagraph3"/>
        <w:spacing w:after="120" w:line="240" w:lineRule="atLeast"/>
        <w:ind w:left="1134" w:right="1134"/>
        <w:jc w:val="both"/>
        <w:rPr>
          <w:rFonts w:ascii="Times New Roman" w:hAnsi="Times New Roman" w:cs="Times New Roman"/>
          <w:sz w:val="20"/>
          <w:szCs w:val="20"/>
          <w:lang w:val="cs-CZ"/>
        </w:rPr>
      </w:pPr>
    </w:p>
    <w:p w14:paraId="372440BB" w14:textId="727943A9" w:rsidR="00D12D66" w:rsidRPr="00B4207A" w:rsidRDefault="004762B3" w:rsidP="00697358">
      <w:pPr>
        <w:pStyle w:val="ListParagraph3"/>
        <w:spacing w:after="120" w:line="240" w:lineRule="atLeast"/>
        <w:ind w:left="1134" w:right="1134"/>
        <w:jc w:val="both"/>
        <w:rPr>
          <w:rFonts w:ascii="Times New Roman" w:hAnsi="Times New Roman" w:cs="Times New Roman"/>
          <w:sz w:val="20"/>
          <w:szCs w:val="20"/>
          <w:lang w:val="cs-CZ"/>
        </w:rPr>
      </w:pPr>
      <w:r w:rsidRPr="00B4207A">
        <w:rPr>
          <w:rFonts w:ascii="Times New Roman" w:hAnsi="Times New Roman" w:cs="Times New Roman"/>
          <w:sz w:val="20"/>
          <w:szCs w:val="20"/>
          <w:lang w:val="cs-CZ"/>
        </w:rPr>
        <w:t>5</w:t>
      </w:r>
      <w:r w:rsidR="00E82683" w:rsidRPr="00B4207A">
        <w:rPr>
          <w:rFonts w:ascii="Times New Roman" w:hAnsi="Times New Roman" w:cs="Times New Roman"/>
          <w:sz w:val="20"/>
          <w:szCs w:val="20"/>
          <w:lang w:val="cs-CZ"/>
        </w:rPr>
        <w:t>3</w:t>
      </w:r>
      <w:r w:rsidRPr="00B4207A">
        <w:rPr>
          <w:rFonts w:ascii="Times New Roman" w:hAnsi="Times New Roman" w:cs="Times New Roman"/>
          <w:sz w:val="20"/>
          <w:szCs w:val="20"/>
          <w:lang w:val="cs-CZ"/>
        </w:rPr>
        <w:t>.</w:t>
      </w:r>
      <w:r w:rsidRPr="00B4207A">
        <w:rPr>
          <w:rFonts w:ascii="Times New Roman" w:hAnsi="Times New Roman" w:cs="Times New Roman"/>
          <w:sz w:val="20"/>
          <w:szCs w:val="20"/>
          <w:lang w:val="cs-CZ"/>
        </w:rPr>
        <w:tab/>
      </w:r>
      <w:r w:rsidR="00697358">
        <w:rPr>
          <w:rFonts w:ascii="Times New Roman" w:hAnsi="Times New Roman" w:cs="Times New Roman"/>
          <w:sz w:val="20"/>
          <w:szCs w:val="20"/>
          <w:lang w:val="cs-CZ"/>
        </w:rPr>
        <w:t xml:space="preserve">Povinnost chránit rovněž zahrnuje zákaz diskriminačních praktik, jako je vyloučení jednotlivců nebo skupin z poskytování určitých služeb. Smluvní státy by měly zakázat a </w:t>
      </w:r>
      <w:r w:rsidR="00697358">
        <w:rPr>
          <w:rFonts w:ascii="Times New Roman" w:hAnsi="Times New Roman" w:cs="Times New Roman"/>
          <w:sz w:val="20"/>
          <w:szCs w:val="20"/>
          <w:lang w:val="cs-CZ"/>
        </w:rPr>
        <w:lastRenderedPageBreak/>
        <w:t>zabránit třetím subjektům, aby vytvářely praktické nebo procesní překážky pro nezávislý život a začlenění do komunity, jako je zajištění toho, že poskytované služby budou v souladu s nezávislým životem v komunitě a že lidem se zdravotním postižením nebude odepřena možnost nájmu nebo nebudou znevýhodněni na trhu s byty. Obecné komunitní služby pro veřejnost, jako jsou knihovny, plavecké bazény, veřejné parky/prostory, obchody, poštovní pobočky, nebo kina musí být přístupné a musí odpovídat požadavkům lidí se zdravotním postižením, jak jsou popsány v Obecném komentáři Výboru č. 2 (2014) k přístupnosti</w:t>
      </w:r>
      <w:r w:rsidRPr="00B4207A">
        <w:rPr>
          <w:rStyle w:val="Znakapoznpodarou"/>
          <w:rFonts w:eastAsia="Malgun Gothic" w:cs="Times New Roman"/>
          <w:sz w:val="20"/>
          <w:szCs w:val="20"/>
          <w:lang w:val="cs-CZ"/>
        </w:rPr>
        <w:footnoteReference w:id="10"/>
      </w:r>
      <w:r w:rsidRPr="00B4207A">
        <w:rPr>
          <w:rFonts w:ascii="Times New Roman" w:hAnsi="Times New Roman" w:cs="Times New Roman"/>
          <w:sz w:val="20"/>
          <w:szCs w:val="20"/>
          <w:lang w:val="cs-CZ"/>
        </w:rPr>
        <w:t xml:space="preserve">. </w:t>
      </w:r>
    </w:p>
    <w:p w14:paraId="04D418F5" w14:textId="6954D7F0" w:rsidR="00D12D66" w:rsidRPr="00697358" w:rsidRDefault="00B40B63" w:rsidP="00B40B63">
      <w:pPr>
        <w:pStyle w:val="H1G"/>
        <w:rPr>
          <w:rFonts w:eastAsia="Calibri"/>
          <w:lang w:val="cs-CZ"/>
        </w:rPr>
      </w:pPr>
      <w:r>
        <w:rPr>
          <w:rFonts w:eastAsia="Calibri"/>
          <w:lang w:val="en-US"/>
        </w:rPr>
        <w:tab/>
        <w:t>C.</w:t>
      </w:r>
      <w:r>
        <w:rPr>
          <w:rFonts w:eastAsia="Calibri"/>
          <w:lang w:val="en-US"/>
        </w:rPr>
        <w:tab/>
      </w:r>
      <w:r w:rsidR="00697358">
        <w:rPr>
          <w:rFonts w:eastAsia="Calibri"/>
          <w:lang w:val="cs-CZ"/>
        </w:rPr>
        <w:t>Závazek plnit</w:t>
      </w:r>
    </w:p>
    <w:p w14:paraId="51015041" w14:textId="2966BAD8" w:rsidR="006C0C66" w:rsidRDefault="004762B3" w:rsidP="00DA4D4E">
      <w:pPr>
        <w:pStyle w:val="ListParagraph3"/>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5</w:t>
      </w:r>
      <w:r w:rsidR="00E82683" w:rsidRPr="00697358">
        <w:rPr>
          <w:rFonts w:ascii="Times New Roman" w:hAnsi="Times New Roman" w:cs="Times New Roman"/>
          <w:sz w:val="20"/>
          <w:szCs w:val="20"/>
          <w:lang w:val="cs-CZ"/>
        </w:rPr>
        <w:t>4</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6C0C66">
        <w:rPr>
          <w:rFonts w:ascii="Times New Roman" w:hAnsi="Times New Roman" w:cs="Times New Roman"/>
          <w:sz w:val="20"/>
          <w:szCs w:val="20"/>
          <w:lang w:val="cs-CZ"/>
        </w:rPr>
        <w:t xml:space="preserve">Závazek plnit vyžaduje, aby státy podporovaly, usnadňovaly a poskytovaly odpovídající legislativní, správní, rozpočtová, soudní, programová, propagační a jiná opatření s cílem zajistit plnou realizaci práva žít nezávisle a být začleněn do komunity, jak je zakotveno v Úmluvě. Závazek plnit rovněž vyžaduje, aby smluvní státy přijaly opatření za účelem vymýcení praktických </w:t>
      </w:r>
      <w:r w:rsidR="00E41105">
        <w:rPr>
          <w:rFonts w:ascii="Times New Roman" w:hAnsi="Times New Roman" w:cs="Times New Roman"/>
          <w:sz w:val="20"/>
          <w:szCs w:val="20"/>
          <w:lang w:val="cs-CZ"/>
        </w:rPr>
        <w:t>překážek plné realizace</w:t>
      </w:r>
      <w:r w:rsidR="006C0C66">
        <w:rPr>
          <w:rFonts w:ascii="Times New Roman" w:hAnsi="Times New Roman" w:cs="Times New Roman"/>
          <w:sz w:val="20"/>
          <w:szCs w:val="20"/>
          <w:lang w:val="cs-CZ"/>
        </w:rPr>
        <w:t xml:space="preserve"> práva žít nezávisle a být začleněn do komunity, jako je nepřístupné bydlení, omezený přístup k podpůrným službám pro osoby se zdravotním postižením, nepřístupná zařízení, produkty a služby v komunitě a předsudky proti lidem se zdravotním postižením.</w:t>
      </w:r>
    </w:p>
    <w:p w14:paraId="4BAFA056" w14:textId="77777777" w:rsidR="006C0C66" w:rsidRDefault="006C0C66" w:rsidP="00CE5CDC">
      <w:pPr>
        <w:pStyle w:val="ListParagraph3"/>
        <w:spacing w:after="120" w:line="240" w:lineRule="atLeast"/>
        <w:ind w:left="1134" w:right="1134"/>
        <w:jc w:val="both"/>
        <w:rPr>
          <w:rFonts w:ascii="Times New Roman" w:hAnsi="Times New Roman" w:cs="Times New Roman"/>
          <w:sz w:val="20"/>
          <w:szCs w:val="20"/>
          <w:lang w:val="cs-CZ"/>
        </w:rPr>
      </w:pPr>
    </w:p>
    <w:p w14:paraId="51660E8B" w14:textId="793891AE" w:rsidR="006C0C66" w:rsidRDefault="004762B3" w:rsidP="00CE5CDC">
      <w:pPr>
        <w:pStyle w:val="ListParagraph3"/>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5</w:t>
      </w:r>
      <w:r w:rsidR="00E82683" w:rsidRPr="00697358">
        <w:rPr>
          <w:rFonts w:ascii="Times New Roman" w:hAnsi="Times New Roman" w:cs="Times New Roman"/>
          <w:sz w:val="20"/>
          <w:szCs w:val="20"/>
          <w:lang w:val="cs-CZ"/>
        </w:rPr>
        <w:t>5</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6C0C66">
        <w:rPr>
          <w:rFonts w:ascii="Times New Roman" w:hAnsi="Times New Roman" w:cs="Times New Roman"/>
          <w:sz w:val="20"/>
          <w:szCs w:val="20"/>
          <w:lang w:val="cs-CZ"/>
        </w:rPr>
        <w:t xml:space="preserve">Smluvní státy by měly </w:t>
      </w:r>
      <w:proofErr w:type="spellStart"/>
      <w:r w:rsidR="006C0C66">
        <w:rPr>
          <w:rFonts w:ascii="Times New Roman" w:hAnsi="Times New Roman" w:cs="Times New Roman"/>
          <w:sz w:val="20"/>
          <w:szCs w:val="20"/>
          <w:lang w:val="cs-CZ"/>
        </w:rPr>
        <w:t>zeschopňovat</w:t>
      </w:r>
      <w:proofErr w:type="spellEnd"/>
      <w:r w:rsidR="006C0C66">
        <w:rPr>
          <w:rFonts w:ascii="Times New Roman" w:hAnsi="Times New Roman" w:cs="Times New Roman"/>
          <w:sz w:val="20"/>
          <w:szCs w:val="20"/>
          <w:lang w:val="cs-CZ"/>
        </w:rPr>
        <w:t xml:space="preserve"> rodinné příslušníky, aby tito podporovali členy své rodiny se zdravotním postižením v realizaci jejich práva žít nezávisle a být začleněn do komunity.</w:t>
      </w:r>
    </w:p>
    <w:p w14:paraId="23C88B3E" w14:textId="77777777" w:rsidR="006C0C66" w:rsidRDefault="006C0C66" w:rsidP="00DA4D4E">
      <w:pPr>
        <w:pStyle w:val="Listeafsnit1"/>
        <w:spacing w:after="120" w:line="240" w:lineRule="atLeast"/>
        <w:ind w:left="1134" w:right="1134"/>
        <w:jc w:val="both"/>
        <w:rPr>
          <w:rFonts w:ascii="Times New Roman" w:hAnsi="Times New Roman" w:cs="Times New Roman"/>
          <w:sz w:val="20"/>
          <w:szCs w:val="20"/>
          <w:lang w:val="cs-CZ"/>
        </w:rPr>
      </w:pPr>
    </w:p>
    <w:p w14:paraId="58D2E0C5" w14:textId="28D51FF7" w:rsidR="006C0C66"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5</w:t>
      </w:r>
      <w:r w:rsidR="00E82683" w:rsidRPr="00697358">
        <w:rPr>
          <w:rFonts w:ascii="Times New Roman" w:hAnsi="Times New Roman" w:cs="Times New Roman"/>
          <w:sz w:val="20"/>
          <w:szCs w:val="20"/>
          <w:lang w:val="cs-CZ"/>
        </w:rPr>
        <w:t>6</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6C0C66">
        <w:rPr>
          <w:rFonts w:ascii="Times New Roman" w:hAnsi="Times New Roman" w:cs="Times New Roman"/>
          <w:sz w:val="20"/>
          <w:szCs w:val="20"/>
          <w:lang w:val="cs-CZ"/>
        </w:rPr>
        <w:t>Implementaci legislativy, politik a programů musí smluvní státy úzce konzultovat a aktivně do ní zapojit rozličné skupiny lidí se zdravotním postižením prostřednictvím jejich zastupujících organizace, a to z hlediska všech aspektů nezávislého života v komunitě, obzvláště pokud jde o rozvoj podpůrných služeb a investice zdrojů do podpůrných služeb v rámci komunity.</w:t>
      </w:r>
    </w:p>
    <w:p w14:paraId="3F4CFED3" w14:textId="01A69F2C" w:rsidR="004762B3" w:rsidRPr="00697358" w:rsidRDefault="004762B3" w:rsidP="006C0C66">
      <w:pPr>
        <w:pStyle w:val="Listeafsnit1"/>
        <w:spacing w:after="120" w:line="240" w:lineRule="atLeast"/>
        <w:ind w:left="1134" w:right="1134"/>
        <w:jc w:val="both"/>
        <w:rPr>
          <w:rFonts w:ascii="Times New Roman" w:hAnsi="Times New Roman" w:cs="Times New Roman"/>
          <w:sz w:val="20"/>
          <w:szCs w:val="20"/>
          <w:lang w:val="cs-CZ"/>
        </w:rPr>
      </w:pPr>
    </w:p>
    <w:p w14:paraId="4465AE9E" w14:textId="327BF896" w:rsidR="006C0C66"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5</w:t>
      </w:r>
      <w:r w:rsidR="00E82683" w:rsidRPr="00697358">
        <w:rPr>
          <w:rFonts w:ascii="Times New Roman" w:hAnsi="Times New Roman" w:cs="Times New Roman"/>
          <w:sz w:val="20"/>
          <w:szCs w:val="20"/>
          <w:lang w:val="cs-CZ"/>
        </w:rPr>
        <w:t>7</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6C0C66">
        <w:rPr>
          <w:rFonts w:ascii="Times New Roman" w:hAnsi="Times New Roman" w:cs="Times New Roman"/>
          <w:sz w:val="20"/>
          <w:szCs w:val="20"/>
          <w:lang w:val="cs-CZ"/>
        </w:rPr>
        <w:t>Smluvní státy musí přijmout strategii a konkrétní akční plán pro deinstitucionalizaci. To zahrnuje povinnost implementovat strukturální reformy, zlepšit přístupnost pro lidi se zdravotním postižením v rámci komunity a zvýšit povědomí mezi všemi lidmi ve společnosti o inkluzi lidí se zdravotním postižením do komunity.</w:t>
      </w:r>
    </w:p>
    <w:p w14:paraId="1F954A85" w14:textId="77777777" w:rsidR="0012401D" w:rsidRPr="00697358" w:rsidRDefault="0012401D" w:rsidP="00DA4D4E">
      <w:pPr>
        <w:pStyle w:val="Listeafsnit1"/>
        <w:spacing w:after="120" w:line="240" w:lineRule="atLeast"/>
        <w:ind w:left="1134" w:right="1134"/>
        <w:jc w:val="both"/>
        <w:rPr>
          <w:rFonts w:ascii="Times New Roman" w:hAnsi="Times New Roman" w:cs="Times New Roman"/>
          <w:sz w:val="20"/>
          <w:szCs w:val="20"/>
          <w:lang w:val="cs-CZ"/>
        </w:rPr>
      </w:pPr>
    </w:p>
    <w:p w14:paraId="08BC094D" w14:textId="589948BE" w:rsidR="004762B3" w:rsidRPr="00697358" w:rsidRDefault="00E82683" w:rsidP="00EE6D17">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58</w:t>
      </w:r>
      <w:r w:rsidR="00D06989" w:rsidRPr="00697358">
        <w:rPr>
          <w:rFonts w:ascii="Times New Roman" w:hAnsi="Times New Roman" w:cs="Times New Roman"/>
          <w:sz w:val="20"/>
          <w:szCs w:val="20"/>
          <w:lang w:val="cs-CZ"/>
        </w:rPr>
        <w:t xml:space="preserve">. </w:t>
      </w:r>
      <w:r w:rsidR="006C0C66">
        <w:rPr>
          <w:rFonts w:ascii="Times New Roman" w:hAnsi="Times New Roman" w:cs="Times New Roman"/>
          <w:sz w:val="20"/>
          <w:szCs w:val="20"/>
          <w:lang w:val="cs-CZ"/>
        </w:rPr>
        <w:tab/>
        <w:t xml:space="preserve">Deinstitucionalizace rovněž vyžaduje systematickou transformaci, která zahrnuje uzavření institucí a </w:t>
      </w:r>
      <w:r w:rsidR="00E41105">
        <w:rPr>
          <w:rFonts w:ascii="Times New Roman" w:hAnsi="Times New Roman" w:cs="Times New Roman"/>
          <w:sz w:val="20"/>
          <w:szCs w:val="20"/>
          <w:lang w:val="cs-CZ"/>
        </w:rPr>
        <w:t xml:space="preserve">odstranění </w:t>
      </w:r>
      <w:r w:rsidR="006C0C66">
        <w:rPr>
          <w:rFonts w:ascii="Times New Roman" w:hAnsi="Times New Roman" w:cs="Times New Roman"/>
          <w:sz w:val="20"/>
          <w:szCs w:val="20"/>
          <w:lang w:val="cs-CZ"/>
        </w:rPr>
        <w:t>instituciona</w:t>
      </w:r>
      <w:r w:rsidR="00E41105">
        <w:rPr>
          <w:rFonts w:ascii="Times New Roman" w:hAnsi="Times New Roman" w:cs="Times New Roman"/>
          <w:sz w:val="20"/>
          <w:szCs w:val="20"/>
          <w:lang w:val="cs-CZ"/>
        </w:rPr>
        <w:t>lizující regulace jako součásti</w:t>
      </w:r>
      <w:r w:rsidR="006C0C66">
        <w:rPr>
          <w:rFonts w:ascii="Times New Roman" w:hAnsi="Times New Roman" w:cs="Times New Roman"/>
          <w:sz w:val="20"/>
          <w:szCs w:val="20"/>
          <w:lang w:val="cs-CZ"/>
        </w:rPr>
        <w:t xml:space="preserve"> srozumitelné strategie. </w:t>
      </w:r>
      <w:r w:rsidR="00EE6D17">
        <w:rPr>
          <w:rFonts w:ascii="Times New Roman" w:hAnsi="Times New Roman" w:cs="Times New Roman"/>
          <w:sz w:val="20"/>
          <w:szCs w:val="20"/>
          <w:lang w:val="cs-CZ"/>
        </w:rPr>
        <w:t>To je spojeno se zřízením</w:t>
      </w:r>
      <w:r w:rsidR="006C0C66">
        <w:rPr>
          <w:rFonts w:ascii="Times New Roman" w:hAnsi="Times New Roman" w:cs="Times New Roman"/>
          <w:sz w:val="20"/>
          <w:szCs w:val="20"/>
          <w:lang w:val="cs-CZ"/>
        </w:rPr>
        <w:t xml:space="preserve"> škály individualizovaných podpůrných služeb, </w:t>
      </w:r>
      <w:r w:rsidR="00EE6D17">
        <w:rPr>
          <w:rFonts w:ascii="Times New Roman" w:hAnsi="Times New Roman" w:cs="Times New Roman"/>
          <w:sz w:val="20"/>
          <w:szCs w:val="20"/>
          <w:lang w:val="cs-CZ"/>
        </w:rPr>
        <w:t xml:space="preserve">včetně přijetí </w:t>
      </w:r>
      <w:r w:rsidR="006C0C66">
        <w:rPr>
          <w:rFonts w:ascii="Times New Roman" w:hAnsi="Times New Roman" w:cs="Times New Roman"/>
          <w:sz w:val="20"/>
          <w:szCs w:val="20"/>
          <w:lang w:val="cs-CZ"/>
        </w:rPr>
        <w:t>indivi</w:t>
      </w:r>
      <w:r w:rsidR="00EE6D17">
        <w:rPr>
          <w:rFonts w:ascii="Times New Roman" w:hAnsi="Times New Roman" w:cs="Times New Roman"/>
          <w:sz w:val="20"/>
          <w:szCs w:val="20"/>
          <w:lang w:val="cs-CZ"/>
        </w:rPr>
        <w:t>dualizovaného</w:t>
      </w:r>
      <w:r w:rsidR="006C0C66">
        <w:rPr>
          <w:rFonts w:ascii="Times New Roman" w:hAnsi="Times New Roman" w:cs="Times New Roman"/>
          <w:sz w:val="20"/>
          <w:szCs w:val="20"/>
          <w:lang w:val="cs-CZ"/>
        </w:rPr>
        <w:t xml:space="preserve"> plán</w:t>
      </w:r>
      <w:r w:rsidR="00EE6D17">
        <w:rPr>
          <w:rFonts w:ascii="Times New Roman" w:hAnsi="Times New Roman" w:cs="Times New Roman"/>
          <w:sz w:val="20"/>
          <w:szCs w:val="20"/>
          <w:lang w:val="cs-CZ"/>
        </w:rPr>
        <w:t>u</w:t>
      </w:r>
      <w:r w:rsidR="006C0C66">
        <w:rPr>
          <w:rFonts w:ascii="Times New Roman" w:hAnsi="Times New Roman" w:cs="Times New Roman"/>
          <w:sz w:val="20"/>
          <w:szCs w:val="20"/>
          <w:lang w:val="cs-CZ"/>
        </w:rPr>
        <w:t xml:space="preserve"> přechodu, společně s rozpočtem a časovým rámcem, </w:t>
      </w:r>
      <w:r w:rsidR="00EE6D17">
        <w:rPr>
          <w:rFonts w:ascii="Times New Roman" w:hAnsi="Times New Roman" w:cs="Times New Roman"/>
          <w:sz w:val="20"/>
          <w:szCs w:val="20"/>
          <w:lang w:val="cs-CZ"/>
        </w:rPr>
        <w:t>stejně jako inkluzivní</w:t>
      </w:r>
      <w:r w:rsidR="00E41105">
        <w:rPr>
          <w:rFonts w:ascii="Times New Roman" w:hAnsi="Times New Roman" w:cs="Times New Roman"/>
          <w:sz w:val="20"/>
          <w:szCs w:val="20"/>
          <w:lang w:val="cs-CZ"/>
        </w:rPr>
        <w:t>ch podpůrných služeb</w:t>
      </w:r>
      <w:r w:rsidR="00EE6D17">
        <w:rPr>
          <w:rFonts w:ascii="Times New Roman" w:hAnsi="Times New Roman" w:cs="Times New Roman"/>
          <w:sz w:val="20"/>
          <w:szCs w:val="20"/>
          <w:lang w:val="cs-CZ"/>
        </w:rPr>
        <w:t>. Z tohoto důvodu je nezbytný koordinovaný meziresortní přístup, který zajistí, že dojde ke všem potřebným reformám, přijetí rozpočtu a změně postojů na všech úrovních a ve všech sektorech výkonné moci, včetně místních orgánů.</w:t>
      </w:r>
    </w:p>
    <w:p w14:paraId="30BD78DC" w14:textId="77777777" w:rsidR="00605EB7" w:rsidRPr="00697358" w:rsidRDefault="00605EB7" w:rsidP="00DA4D4E">
      <w:pPr>
        <w:pStyle w:val="Listeafsnit1"/>
        <w:spacing w:after="120" w:line="240" w:lineRule="atLeast"/>
        <w:ind w:left="1134" w:right="1134"/>
        <w:jc w:val="both"/>
        <w:rPr>
          <w:rFonts w:ascii="Times New Roman" w:hAnsi="Times New Roman" w:cs="Times New Roman"/>
          <w:sz w:val="20"/>
          <w:szCs w:val="20"/>
          <w:lang w:val="cs-CZ"/>
        </w:rPr>
      </w:pPr>
    </w:p>
    <w:p w14:paraId="21423005" w14:textId="5DE62497" w:rsidR="00EE6D17"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5</w:t>
      </w:r>
      <w:r w:rsidR="00E82683" w:rsidRPr="00697358">
        <w:rPr>
          <w:rFonts w:ascii="Times New Roman" w:hAnsi="Times New Roman" w:cs="Times New Roman"/>
          <w:sz w:val="20"/>
          <w:szCs w:val="20"/>
          <w:lang w:val="cs-CZ"/>
        </w:rPr>
        <w:t>9</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t>P</w:t>
      </w:r>
      <w:r w:rsidR="00EE6D17">
        <w:rPr>
          <w:rFonts w:ascii="Times New Roman" w:hAnsi="Times New Roman" w:cs="Times New Roman"/>
          <w:sz w:val="20"/>
          <w:szCs w:val="20"/>
          <w:lang w:val="cs-CZ"/>
        </w:rPr>
        <w:t xml:space="preserve">rogramy a nároky na podporu při nezávislém životu v komunitě musí pokrývat náklady, </w:t>
      </w:r>
      <w:r w:rsidR="00E41105">
        <w:rPr>
          <w:rFonts w:ascii="Times New Roman" w:hAnsi="Times New Roman" w:cs="Times New Roman"/>
          <w:sz w:val="20"/>
          <w:szCs w:val="20"/>
          <w:lang w:val="cs-CZ"/>
        </w:rPr>
        <w:t>vyplývající ze zdravotního</w:t>
      </w:r>
      <w:r w:rsidR="00EE6D17">
        <w:rPr>
          <w:rFonts w:ascii="Times New Roman" w:hAnsi="Times New Roman" w:cs="Times New Roman"/>
          <w:sz w:val="20"/>
          <w:szCs w:val="20"/>
          <w:lang w:val="cs-CZ"/>
        </w:rPr>
        <w:t xml:space="preserve"> postižení. Stěžejní pro deinstitucionalizaci je navíc zajistit dostupnost dostatečného množství přístupného, i cenově, bydlení, včetně bydlení pro rodiny. Je proto důležité, aby přístup k bydlení nebyl podmíněn požadavky, které by snižovaly autonomii a závislost lidí se zdravotním postižením. Budovy a prostory otevřené veřejnosti a všechny formy dopravy musí být navržené takovým způsobem, aby dokázaly uspokojit nároky všech lidí se zdravotním postižením. Smluvní státy musí přijmout promyšlené a okamžité kroky směřující k realokaci zdrojů do realizace možnosti lidí se zdravotním postižením žít nezávisle v komunitě. </w:t>
      </w:r>
    </w:p>
    <w:p w14:paraId="7386EE29" w14:textId="77777777" w:rsidR="004762B3" w:rsidRPr="00697358"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3A137AE9" w14:textId="54968580" w:rsidR="00EE6D17" w:rsidRDefault="00E8268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lastRenderedPageBreak/>
        <w:t>60</w:t>
      </w:r>
      <w:r w:rsidR="004762B3" w:rsidRPr="00697358">
        <w:rPr>
          <w:rFonts w:ascii="Times New Roman" w:hAnsi="Times New Roman" w:cs="Times New Roman"/>
          <w:sz w:val="20"/>
          <w:szCs w:val="20"/>
          <w:lang w:val="cs-CZ"/>
        </w:rPr>
        <w:t>.</w:t>
      </w:r>
      <w:r w:rsidR="004762B3" w:rsidRPr="00697358">
        <w:rPr>
          <w:rFonts w:ascii="Times New Roman" w:hAnsi="Times New Roman" w:cs="Times New Roman"/>
          <w:sz w:val="20"/>
          <w:szCs w:val="20"/>
          <w:lang w:val="cs-CZ"/>
        </w:rPr>
        <w:tab/>
      </w:r>
      <w:r w:rsidR="00EE6D17">
        <w:rPr>
          <w:rFonts w:ascii="Times New Roman" w:hAnsi="Times New Roman" w:cs="Times New Roman"/>
          <w:sz w:val="20"/>
          <w:szCs w:val="20"/>
          <w:lang w:val="cs-CZ"/>
        </w:rPr>
        <w:t xml:space="preserve">Podpůrné služby, určené lidem se zdravotním postižením, musí být dostupné, přístupné, cenově přístupné, přijatelné a přizpůsobitelné všem lidem se zdravotním postižením a musí být citlivé k různým životním podmínkám, jako je např. individuální a rodinný příjem a individuální charakteristiky, jako je pohlaví, věk, národnostní nebo etnický původ, jazyková, náboženská, sexuální a/nebo genderová identita. Lidskoprávní model zdravotního postižení neumožňuje vylučovat lidi se zdravotním postižením z jakéhokoli důvodu, včetně </w:t>
      </w:r>
      <w:r w:rsidR="00027000">
        <w:rPr>
          <w:rFonts w:ascii="Times New Roman" w:hAnsi="Times New Roman" w:cs="Times New Roman"/>
          <w:sz w:val="20"/>
          <w:szCs w:val="20"/>
          <w:lang w:val="cs-CZ"/>
        </w:rPr>
        <w:t>typu a rozsahu podpůrných služeb, které potřebují. Podpůrné služby, včetně osobní asistence, by neměly být sdíleny s ostatními, ledaže se tak děje na základě svobodného a informovaného souhlasu.</w:t>
      </w:r>
    </w:p>
    <w:p w14:paraId="29FF444D" w14:textId="77777777" w:rsidR="004762B3" w:rsidRPr="00697358" w:rsidRDefault="004762B3" w:rsidP="00DA4D4E">
      <w:pPr>
        <w:pStyle w:val="Listeafsnit1"/>
        <w:spacing w:after="120" w:line="240" w:lineRule="atLeast"/>
        <w:ind w:left="1134" w:right="1134"/>
        <w:rPr>
          <w:rFonts w:ascii="Times New Roman" w:hAnsi="Times New Roman" w:cs="Times New Roman"/>
          <w:sz w:val="20"/>
          <w:szCs w:val="20"/>
          <w:lang w:val="cs-CZ"/>
        </w:rPr>
      </w:pPr>
    </w:p>
    <w:p w14:paraId="039E8268" w14:textId="7DAF6D21" w:rsidR="00027000" w:rsidRDefault="00E8268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61</w:t>
      </w:r>
      <w:r w:rsidR="004762B3" w:rsidRPr="00697358">
        <w:rPr>
          <w:rFonts w:ascii="Times New Roman" w:hAnsi="Times New Roman" w:cs="Times New Roman"/>
          <w:sz w:val="20"/>
          <w:szCs w:val="20"/>
          <w:lang w:val="cs-CZ"/>
        </w:rPr>
        <w:t>.</w:t>
      </w:r>
      <w:r w:rsidR="004762B3" w:rsidRPr="00697358">
        <w:rPr>
          <w:rFonts w:ascii="Times New Roman" w:hAnsi="Times New Roman" w:cs="Times New Roman"/>
          <w:sz w:val="20"/>
          <w:szCs w:val="20"/>
          <w:lang w:val="cs-CZ"/>
        </w:rPr>
        <w:tab/>
      </w:r>
      <w:r w:rsidR="00027000">
        <w:rPr>
          <w:rFonts w:ascii="Times New Roman" w:hAnsi="Times New Roman" w:cs="Times New Roman"/>
          <w:sz w:val="20"/>
          <w:szCs w:val="20"/>
          <w:lang w:val="cs-CZ"/>
        </w:rPr>
        <w:t>Smluvní státy musí inkorporovat následující prvky mezi kritéria posuzování pro přístup k asistenci: Posuzování by mělo být založeno na lidskoprávním přístupu k postižení, zaměřovat se na požadavky člověka vyplývající z bariér v rámci společnost</w:t>
      </w:r>
      <w:r w:rsidR="00E41105">
        <w:rPr>
          <w:rFonts w:ascii="Times New Roman" w:hAnsi="Times New Roman" w:cs="Times New Roman"/>
          <w:sz w:val="20"/>
          <w:szCs w:val="20"/>
          <w:lang w:val="cs-CZ"/>
        </w:rPr>
        <w:t>i</w:t>
      </w:r>
      <w:r w:rsidR="00027000">
        <w:rPr>
          <w:rFonts w:ascii="Times New Roman" w:hAnsi="Times New Roman" w:cs="Times New Roman"/>
          <w:sz w:val="20"/>
          <w:szCs w:val="20"/>
          <w:lang w:val="cs-CZ"/>
        </w:rPr>
        <w:t xml:space="preserve"> spíše než na míru jeho neschopnosti, vzít v úvahu a respektovat vůli člověka a jeho preference a zajistit plné zapojení lidí se zdravotním postižením do procesu přijímání rozhodnutí.</w:t>
      </w:r>
    </w:p>
    <w:p w14:paraId="3943DBCD" w14:textId="77777777" w:rsidR="004762B3" w:rsidRPr="00697358" w:rsidRDefault="004762B3" w:rsidP="00DA4D4E">
      <w:pPr>
        <w:pStyle w:val="Listeafsnit1"/>
        <w:spacing w:after="120" w:line="240" w:lineRule="atLeast"/>
        <w:ind w:left="1134" w:right="1134"/>
        <w:jc w:val="both"/>
        <w:rPr>
          <w:rFonts w:ascii="Times New Roman" w:hAnsi="Times New Roman" w:cs="Times New Roman"/>
          <w:b/>
          <w:sz w:val="20"/>
          <w:szCs w:val="20"/>
          <w:lang w:val="cs-CZ"/>
        </w:rPr>
      </w:pPr>
    </w:p>
    <w:p w14:paraId="17401EA6" w14:textId="7A6EFF8F" w:rsidR="00263771" w:rsidRDefault="004762B3" w:rsidP="00B22074">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2</w:t>
      </w:r>
      <w:r w:rsidRPr="00697358">
        <w:rPr>
          <w:rFonts w:ascii="Times New Roman" w:hAnsi="Times New Roman" w:cs="Times New Roman"/>
          <w:sz w:val="20"/>
          <w:szCs w:val="20"/>
          <w:lang w:val="cs-CZ"/>
        </w:rPr>
        <w:t>.</w:t>
      </w:r>
      <w:r w:rsidRPr="00697358">
        <w:rPr>
          <w:rFonts w:ascii="Times New Roman" w:hAnsi="Times New Roman" w:cs="Times New Roman"/>
          <w:b/>
          <w:sz w:val="20"/>
          <w:szCs w:val="20"/>
          <w:lang w:val="cs-CZ"/>
        </w:rPr>
        <w:tab/>
      </w:r>
      <w:r w:rsidR="003A6B71">
        <w:rPr>
          <w:rFonts w:ascii="Times New Roman" w:hAnsi="Times New Roman" w:cs="Times New Roman"/>
          <w:sz w:val="20"/>
          <w:szCs w:val="20"/>
          <w:lang w:val="cs-CZ"/>
        </w:rPr>
        <w:t>Hotovostní</w:t>
      </w:r>
      <w:r w:rsidR="001D367D">
        <w:rPr>
          <w:rFonts w:ascii="Times New Roman" w:hAnsi="Times New Roman" w:cs="Times New Roman"/>
          <w:sz w:val="20"/>
          <w:szCs w:val="20"/>
          <w:lang w:val="cs-CZ"/>
        </w:rPr>
        <w:t xml:space="preserve"> transfery jako jsou dávky z důvodu zdravot</w:t>
      </w:r>
      <w:r w:rsidR="00562D64">
        <w:rPr>
          <w:rFonts w:ascii="Times New Roman" w:hAnsi="Times New Roman" w:cs="Times New Roman"/>
          <w:sz w:val="20"/>
          <w:szCs w:val="20"/>
          <w:lang w:val="cs-CZ"/>
        </w:rPr>
        <w:t>ního postižení představují jednu</w:t>
      </w:r>
      <w:r w:rsidR="001D367D">
        <w:rPr>
          <w:rFonts w:ascii="Times New Roman" w:hAnsi="Times New Roman" w:cs="Times New Roman"/>
          <w:sz w:val="20"/>
          <w:szCs w:val="20"/>
          <w:lang w:val="cs-CZ"/>
        </w:rPr>
        <w:t xml:space="preserve"> z forem, jejichž prostřednictvím smluvní státy poskytují podporu lidem se zdravotním postižením v souladu s články 19 a 28 Úmluvy. Takové </w:t>
      </w:r>
      <w:r w:rsidR="003A6B71">
        <w:rPr>
          <w:rFonts w:ascii="Times New Roman" w:hAnsi="Times New Roman" w:cs="Times New Roman"/>
          <w:sz w:val="20"/>
          <w:szCs w:val="20"/>
          <w:lang w:val="cs-CZ"/>
        </w:rPr>
        <w:t>hotovostní</w:t>
      </w:r>
      <w:r w:rsidR="001D367D">
        <w:rPr>
          <w:rFonts w:ascii="Times New Roman" w:hAnsi="Times New Roman" w:cs="Times New Roman"/>
          <w:sz w:val="20"/>
          <w:szCs w:val="20"/>
          <w:lang w:val="cs-CZ"/>
        </w:rPr>
        <w:t xml:space="preserve"> transfery často zohledňují výdaje spojené se zdravotním postižením a usnad</w:t>
      </w:r>
      <w:r w:rsidR="00263771">
        <w:rPr>
          <w:rFonts w:ascii="Times New Roman" w:hAnsi="Times New Roman" w:cs="Times New Roman"/>
          <w:sz w:val="20"/>
          <w:szCs w:val="20"/>
          <w:lang w:val="cs-CZ"/>
        </w:rPr>
        <w:t xml:space="preserve">ňují </w:t>
      </w:r>
      <w:r w:rsidR="00B22074">
        <w:rPr>
          <w:rFonts w:ascii="Times New Roman" w:hAnsi="Times New Roman" w:cs="Times New Roman"/>
          <w:sz w:val="20"/>
          <w:szCs w:val="20"/>
          <w:lang w:val="cs-CZ"/>
        </w:rPr>
        <w:t>plnou inkluzi lidí se zdravotním postižením do komunity</w:t>
      </w:r>
      <w:r w:rsidRPr="00697358">
        <w:rPr>
          <w:rFonts w:ascii="Times New Roman" w:hAnsi="Times New Roman" w:cs="Times New Roman"/>
          <w:sz w:val="20"/>
          <w:szCs w:val="20"/>
          <w:lang w:val="cs-CZ"/>
        </w:rPr>
        <w:t xml:space="preserve">. </w:t>
      </w:r>
      <w:r w:rsidR="004004DF">
        <w:rPr>
          <w:rFonts w:ascii="Times New Roman" w:hAnsi="Times New Roman" w:cs="Times New Roman"/>
          <w:sz w:val="20"/>
          <w:szCs w:val="20"/>
          <w:lang w:val="cs-CZ"/>
        </w:rPr>
        <w:t>Hotovostní</w:t>
      </w:r>
      <w:r w:rsidR="00263771">
        <w:rPr>
          <w:rFonts w:ascii="Times New Roman" w:hAnsi="Times New Roman" w:cs="Times New Roman"/>
          <w:sz w:val="20"/>
          <w:szCs w:val="20"/>
          <w:lang w:val="cs-CZ"/>
        </w:rPr>
        <w:t xml:space="preserve"> transfery rovněž často</w:t>
      </w:r>
      <w:r w:rsidR="005304B4">
        <w:rPr>
          <w:rFonts w:ascii="Times New Roman" w:hAnsi="Times New Roman" w:cs="Times New Roman"/>
          <w:sz w:val="20"/>
          <w:szCs w:val="20"/>
          <w:lang w:val="cs-CZ"/>
        </w:rPr>
        <w:t xml:space="preserve"> usilují o řešení situace chudoby a extrémní chudoby, které lidé se zdravotním postižením mohou čelit. Smluvní státy nesmí prohlubovat těžkosti, jimž jsou vystaveni lidé se zdravotním postižením, snižováním jejic</w:t>
      </w:r>
      <w:r w:rsidR="004004DF">
        <w:rPr>
          <w:rFonts w:ascii="Times New Roman" w:hAnsi="Times New Roman" w:cs="Times New Roman"/>
          <w:sz w:val="20"/>
          <w:szCs w:val="20"/>
          <w:lang w:val="cs-CZ"/>
        </w:rPr>
        <w:t>h příjmu v dobá</w:t>
      </w:r>
      <w:r w:rsidR="005304B4">
        <w:rPr>
          <w:rFonts w:ascii="Times New Roman" w:hAnsi="Times New Roman" w:cs="Times New Roman"/>
          <w:sz w:val="20"/>
          <w:szCs w:val="20"/>
          <w:lang w:val="cs-CZ"/>
        </w:rPr>
        <w:t>ch hospodářské nebo finanční krize nebo prostřednictvím přísných opatření, která nejsou v souladu s lidskoprávními standardy, popsanými výše v odstavci 38.</w:t>
      </w:r>
    </w:p>
    <w:p w14:paraId="62DA0AE6" w14:textId="77777777" w:rsidR="004762B3" w:rsidRPr="00697358" w:rsidRDefault="004762B3" w:rsidP="00DA4D4E">
      <w:pPr>
        <w:pStyle w:val="Listeafsnit1"/>
        <w:spacing w:after="120" w:line="240" w:lineRule="atLeast"/>
        <w:ind w:left="1134" w:right="1134"/>
        <w:rPr>
          <w:rFonts w:ascii="Times New Roman" w:hAnsi="Times New Roman" w:cs="Times New Roman"/>
          <w:b/>
          <w:sz w:val="20"/>
          <w:szCs w:val="20"/>
          <w:lang w:val="cs-CZ"/>
        </w:rPr>
      </w:pPr>
    </w:p>
    <w:p w14:paraId="29146D64" w14:textId="6E9BA5FE" w:rsidR="005304B4"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3</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5304B4">
        <w:rPr>
          <w:rFonts w:ascii="Times New Roman" w:hAnsi="Times New Roman" w:cs="Times New Roman"/>
          <w:sz w:val="20"/>
          <w:szCs w:val="20"/>
          <w:lang w:val="cs-CZ"/>
        </w:rPr>
        <w:t>Podpora pro lidí se zdravotním postižením by měla být posuzována prostřednictvím osobního přístupu a šitá na míru specifickým činnostem a skutečným bariérám, kterým lidé se zdravotním postižením z hlediska svého začlenění do komunity čelí. Posouzení by mělo uznat, že lidé se zdravotním postižením potřebují přístup k činnostem, které se během času mění. Smluvní státy by měly zajistit, že personalizace podpory, včetně finančních transferů/osobních rozpočtů, vezme v úvahu a bude reagovat na výzvy, kterým lidé se zdravotním postižením čelí, když žijí ve venkovských a/nebo v městských oblastech.</w:t>
      </w:r>
    </w:p>
    <w:p w14:paraId="12F3C12B" w14:textId="559D5243" w:rsidR="004762B3" w:rsidRPr="00697358" w:rsidRDefault="004762B3" w:rsidP="005304B4">
      <w:pPr>
        <w:pStyle w:val="Listeafsnit1"/>
        <w:spacing w:after="120" w:line="240" w:lineRule="atLeast"/>
        <w:ind w:left="0" w:right="1134"/>
        <w:jc w:val="both"/>
        <w:rPr>
          <w:rFonts w:ascii="Times New Roman" w:hAnsi="Times New Roman" w:cs="Times New Roman"/>
          <w:sz w:val="20"/>
          <w:szCs w:val="20"/>
          <w:lang w:val="cs-CZ"/>
        </w:rPr>
      </w:pPr>
    </w:p>
    <w:p w14:paraId="642C2179" w14:textId="2B6489B4" w:rsidR="005304B4"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4</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5304B4">
        <w:rPr>
          <w:rFonts w:ascii="Times New Roman" w:hAnsi="Times New Roman" w:cs="Times New Roman"/>
          <w:sz w:val="20"/>
          <w:szCs w:val="20"/>
          <w:lang w:val="cs-CZ"/>
        </w:rPr>
        <w:t xml:space="preserve">Smluvní státy by měly poskytovat a šířit včasné aktualizované a odpovídající informace pro informované přijímání rozhodnutí o volbě nezávislého života a podpůrných služeb v komunitě v přístupných formátech, včetně Braillova písma, znakové řeči, hmatového formátu </w:t>
      </w:r>
      <w:proofErr w:type="spellStart"/>
      <w:r w:rsidR="005304B4">
        <w:rPr>
          <w:rFonts w:ascii="Times New Roman" w:hAnsi="Times New Roman" w:cs="Times New Roman"/>
          <w:sz w:val="20"/>
          <w:szCs w:val="20"/>
          <w:lang w:val="cs-CZ"/>
        </w:rPr>
        <w:t>easy</w:t>
      </w:r>
      <w:proofErr w:type="spellEnd"/>
      <w:r w:rsidR="005304B4">
        <w:rPr>
          <w:rFonts w:ascii="Times New Roman" w:hAnsi="Times New Roman" w:cs="Times New Roman"/>
          <w:sz w:val="20"/>
          <w:szCs w:val="20"/>
          <w:lang w:val="cs-CZ"/>
        </w:rPr>
        <w:t>-to-</w:t>
      </w:r>
      <w:proofErr w:type="spellStart"/>
      <w:r w:rsidR="005304B4">
        <w:rPr>
          <w:rFonts w:ascii="Times New Roman" w:hAnsi="Times New Roman" w:cs="Times New Roman"/>
          <w:sz w:val="20"/>
          <w:szCs w:val="20"/>
          <w:lang w:val="cs-CZ"/>
        </w:rPr>
        <w:t>read</w:t>
      </w:r>
      <w:proofErr w:type="spellEnd"/>
      <w:r w:rsidR="005304B4">
        <w:rPr>
          <w:rFonts w:ascii="Times New Roman" w:hAnsi="Times New Roman" w:cs="Times New Roman"/>
          <w:sz w:val="20"/>
          <w:szCs w:val="20"/>
          <w:lang w:val="cs-CZ"/>
        </w:rPr>
        <w:t xml:space="preserve"> formátu a alternativních a augmentativních způsobů komunikace.</w:t>
      </w:r>
    </w:p>
    <w:p w14:paraId="4B037FBA" w14:textId="77777777" w:rsidR="005304B4" w:rsidRDefault="005304B4" w:rsidP="00DA4D4E">
      <w:pPr>
        <w:pStyle w:val="Listeafsnit1"/>
        <w:spacing w:after="120" w:line="240" w:lineRule="atLeast"/>
        <w:ind w:left="1134" w:right="1134"/>
        <w:jc w:val="both"/>
        <w:rPr>
          <w:rFonts w:ascii="Times New Roman" w:hAnsi="Times New Roman" w:cs="Times New Roman"/>
          <w:sz w:val="20"/>
          <w:szCs w:val="20"/>
          <w:lang w:val="cs-CZ"/>
        </w:rPr>
      </w:pPr>
    </w:p>
    <w:p w14:paraId="24EE1DD8" w14:textId="5961C99B" w:rsidR="005304B4" w:rsidRDefault="004762B3" w:rsidP="00716B30">
      <w:pPr>
        <w:ind w:left="1134" w:right="1134"/>
        <w:jc w:val="both"/>
        <w:rPr>
          <w:lang w:val="cs-CZ"/>
        </w:rPr>
      </w:pPr>
      <w:r w:rsidRPr="00697358">
        <w:rPr>
          <w:lang w:val="cs-CZ"/>
        </w:rPr>
        <w:t>6</w:t>
      </w:r>
      <w:r w:rsidR="00E82683" w:rsidRPr="00697358">
        <w:rPr>
          <w:lang w:val="cs-CZ"/>
        </w:rPr>
        <w:t>5</w:t>
      </w:r>
      <w:r w:rsidRPr="00697358">
        <w:rPr>
          <w:lang w:val="cs-CZ"/>
        </w:rPr>
        <w:t>.</w:t>
      </w:r>
      <w:r w:rsidRPr="00697358">
        <w:rPr>
          <w:lang w:val="cs-CZ"/>
        </w:rPr>
        <w:tab/>
      </w:r>
      <w:r w:rsidR="005304B4">
        <w:rPr>
          <w:lang w:val="cs-CZ"/>
        </w:rPr>
        <w:t xml:space="preserve">Smluvní státy by měly zajistit, že personál pracující </w:t>
      </w:r>
      <w:r w:rsidR="00C2043A">
        <w:rPr>
          <w:lang w:val="cs-CZ"/>
        </w:rPr>
        <w:t>ve službách určených pro osoby se zdravotním postižením, nebo se chystající vstoupit do těchto služeb, včetně zaměstnanců, osob přijímajících rozhodnutí a občanských zaměstnanců monitorujících služby pro lidi se zdravotním postižením, bude odpovídajícím způsobem vyškolen v teorii i praxi nezávislého života v komunitě. Státy by rovněž měly formulovat kritéria v souladu s článkem 19, která by se vztahovala na subjekty, které žádají o povolení poskytovat sociální podporu lidem se zdravotním postižením za účelem života v komunitě, a posoudit, jak tito vykonávají své povinnosti.</w:t>
      </w:r>
    </w:p>
    <w:p w14:paraId="04C31169" w14:textId="77777777" w:rsidR="004762B3" w:rsidRPr="00697358" w:rsidRDefault="004762B3" w:rsidP="00716B30">
      <w:pPr>
        <w:pStyle w:val="Listeafsnit1"/>
        <w:spacing w:after="120" w:line="240" w:lineRule="atLeast"/>
        <w:ind w:left="0" w:right="1134"/>
        <w:rPr>
          <w:rFonts w:ascii="Times New Roman" w:hAnsi="Times New Roman" w:cs="Times New Roman"/>
          <w:sz w:val="20"/>
          <w:szCs w:val="20"/>
          <w:lang w:val="cs-CZ"/>
        </w:rPr>
      </w:pPr>
    </w:p>
    <w:p w14:paraId="4112BBCF" w14:textId="0EE51597" w:rsidR="00C2043A"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6</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C2043A">
        <w:rPr>
          <w:rFonts w:ascii="Times New Roman" w:hAnsi="Times New Roman" w:cs="Times New Roman"/>
          <w:sz w:val="20"/>
          <w:szCs w:val="20"/>
          <w:lang w:val="cs-CZ"/>
        </w:rPr>
        <w:t>Smluvní státy by měly zajistit, že mezinárodní spolupráce v souladu s článkem 2 a následné investice a projekty nebudou přispívat k z</w:t>
      </w:r>
      <w:r w:rsidR="004004DF">
        <w:rPr>
          <w:rFonts w:ascii="Times New Roman" w:hAnsi="Times New Roman" w:cs="Times New Roman"/>
          <w:sz w:val="20"/>
          <w:szCs w:val="20"/>
          <w:lang w:val="cs-CZ"/>
        </w:rPr>
        <w:t>akonzervování bariér nezávislému životu</w:t>
      </w:r>
      <w:r w:rsidR="00C2043A">
        <w:rPr>
          <w:rFonts w:ascii="Times New Roman" w:hAnsi="Times New Roman" w:cs="Times New Roman"/>
          <w:sz w:val="20"/>
          <w:szCs w:val="20"/>
          <w:lang w:val="cs-CZ"/>
        </w:rPr>
        <w:t xml:space="preserve"> v komunitě, ale spíše budou tyto bariéry odstraňovat a podporovat implementaci práva žít nezávisle a být začleněn do komunity. Po situaci katastrofy je důležité nevybudovat bariéry znovu, a to jako prvek implementace článku 11 Úmluvy.</w:t>
      </w:r>
    </w:p>
    <w:p w14:paraId="1D8E4717" w14:textId="77777777" w:rsidR="004762B3" w:rsidRPr="00697358" w:rsidRDefault="004762B3" w:rsidP="00DA4D4E">
      <w:pPr>
        <w:pStyle w:val="Listeafsnit1"/>
        <w:spacing w:after="120" w:line="240" w:lineRule="atLeast"/>
        <w:ind w:left="1134" w:right="1134"/>
        <w:rPr>
          <w:rFonts w:ascii="Times New Roman" w:hAnsi="Times New Roman" w:cs="Times New Roman"/>
          <w:sz w:val="20"/>
          <w:szCs w:val="20"/>
          <w:lang w:val="cs-CZ"/>
        </w:rPr>
      </w:pPr>
    </w:p>
    <w:p w14:paraId="1725905C" w14:textId="51B9F892" w:rsidR="00C2043A"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7</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C2043A">
        <w:rPr>
          <w:rFonts w:ascii="Times New Roman" w:hAnsi="Times New Roman" w:cs="Times New Roman"/>
          <w:sz w:val="20"/>
          <w:szCs w:val="20"/>
          <w:lang w:val="cs-CZ"/>
        </w:rPr>
        <w:t>Smluvní státy musí zajistit přístup ke spravedlnosti a pos</w:t>
      </w:r>
      <w:r w:rsidR="003A6B71">
        <w:rPr>
          <w:rFonts w:ascii="Times New Roman" w:hAnsi="Times New Roman" w:cs="Times New Roman"/>
          <w:sz w:val="20"/>
          <w:szCs w:val="20"/>
          <w:lang w:val="cs-CZ"/>
        </w:rPr>
        <w:t>kytovat bezplatnou právní pomoc, odpovídající právní služby, prostředk</w:t>
      </w:r>
      <w:r w:rsidR="004004DF">
        <w:rPr>
          <w:rFonts w:ascii="Times New Roman" w:hAnsi="Times New Roman" w:cs="Times New Roman"/>
          <w:sz w:val="20"/>
          <w:szCs w:val="20"/>
          <w:lang w:val="cs-CZ"/>
        </w:rPr>
        <w:t>y nápravy a podporu</w:t>
      </w:r>
      <w:r w:rsidR="003A6B71">
        <w:rPr>
          <w:rFonts w:ascii="Times New Roman" w:hAnsi="Times New Roman" w:cs="Times New Roman"/>
          <w:sz w:val="20"/>
          <w:szCs w:val="20"/>
          <w:lang w:val="cs-CZ"/>
        </w:rPr>
        <w:t xml:space="preserve">, včetně podpory </w:t>
      </w:r>
      <w:r w:rsidR="003A6B71">
        <w:rPr>
          <w:rFonts w:ascii="Times New Roman" w:hAnsi="Times New Roman" w:cs="Times New Roman"/>
          <w:sz w:val="20"/>
          <w:szCs w:val="20"/>
          <w:lang w:val="cs-CZ"/>
        </w:rPr>
        <w:lastRenderedPageBreak/>
        <w:t>prostřednictvím přiměřených a procesních úprav pro lidi se zdravotním postižením, kteří usilují o vymožení svého práva na nezávislý život v komunitě.</w:t>
      </w:r>
    </w:p>
    <w:p w14:paraId="0FED92EE" w14:textId="77777777" w:rsidR="004762B3" w:rsidRPr="00697358"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238A3EBD" w14:textId="04B0E33C" w:rsid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8</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3A6B71">
        <w:rPr>
          <w:rFonts w:ascii="Times New Roman" w:hAnsi="Times New Roman" w:cs="Times New Roman"/>
          <w:sz w:val="20"/>
          <w:szCs w:val="20"/>
          <w:lang w:val="cs-CZ"/>
        </w:rPr>
        <w:t>Smluvní státy by měly poskytnout odpovídající podpůrné služby rodinným pečovatelům, aby tito mohli na oplátku podporovat své dítě nebo příbuzného žít nezávisle v komunitě. Tato podpora zahrnuje respitní služby péče, služby péče o děti a další podpůrné rodičovské služby. Finanční podpora je rovněž klíčová pro rodinné p</w:t>
      </w:r>
      <w:r w:rsidR="004004DF">
        <w:rPr>
          <w:rFonts w:ascii="Times New Roman" w:hAnsi="Times New Roman" w:cs="Times New Roman"/>
          <w:sz w:val="20"/>
          <w:szCs w:val="20"/>
          <w:lang w:val="cs-CZ"/>
        </w:rPr>
        <w:t>ečovatele</w:t>
      </w:r>
      <w:r w:rsidR="003A6B71">
        <w:rPr>
          <w:rFonts w:ascii="Times New Roman" w:hAnsi="Times New Roman" w:cs="Times New Roman"/>
          <w:sz w:val="20"/>
          <w:szCs w:val="20"/>
          <w:lang w:val="cs-CZ"/>
        </w:rPr>
        <w:t>, kteří často žijí v situaci extrémní chudoby bez možnosti přístupu na pracovní trh. Smluvní státy by měly rovněž poskytovat sociální podporu rodinám a posilovat rozvoj poradenských služeb, kruhů podpory a dalších odpovídajících podpůrných možností.</w:t>
      </w:r>
    </w:p>
    <w:p w14:paraId="7F8BA0B7" w14:textId="77777777" w:rsidR="004762B3" w:rsidRPr="00697358"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2BD3FC8A" w14:textId="61842396" w:rsid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697358">
        <w:rPr>
          <w:rFonts w:ascii="Times New Roman" w:hAnsi="Times New Roman" w:cs="Times New Roman"/>
          <w:sz w:val="20"/>
          <w:szCs w:val="20"/>
          <w:lang w:val="cs-CZ"/>
        </w:rPr>
        <w:t>6</w:t>
      </w:r>
      <w:r w:rsidR="00E82683" w:rsidRPr="00697358">
        <w:rPr>
          <w:rFonts w:ascii="Times New Roman" w:hAnsi="Times New Roman" w:cs="Times New Roman"/>
          <w:sz w:val="20"/>
          <w:szCs w:val="20"/>
          <w:lang w:val="cs-CZ"/>
        </w:rPr>
        <w:t>9</w:t>
      </w:r>
      <w:r w:rsidRPr="00697358">
        <w:rPr>
          <w:rFonts w:ascii="Times New Roman" w:hAnsi="Times New Roman" w:cs="Times New Roman"/>
          <w:sz w:val="20"/>
          <w:szCs w:val="20"/>
          <w:lang w:val="cs-CZ"/>
        </w:rPr>
        <w:t>.</w:t>
      </w:r>
      <w:r w:rsidRPr="00697358">
        <w:rPr>
          <w:rFonts w:ascii="Times New Roman" w:hAnsi="Times New Roman" w:cs="Times New Roman"/>
          <w:sz w:val="20"/>
          <w:szCs w:val="20"/>
          <w:lang w:val="cs-CZ"/>
        </w:rPr>
        <w:tab/>
      </w:r>
      <w:r w:rsidR="003A6B71">
        <w:rPr>
          <w:rFonts w:ascii="Times New Roman" w:hAnsi="Times New Roman" w:cs="Times New Roman"/>
          <w:sz w:val="20"/>
          <w:szCs w:val="20"/>
          <w:lang w:val="cs-CZ"/>
        </w:rPr>
        <w:t>Smluvní státy musí pravidelně provádět výzkumy a další formy analýz, poskytujících data o fyzických, komunikačních, enviromentálních, infrastrukturálních a postojových bariér</w:t>
      </w:r>
      <w:r w:rsidR="004004DF">
        <w:rPr>
          <w:rFonts w:ascii="Times New Roman" w:hAnsi="Times New Roman" w:cs="Times New Roman"/>
          <w:sz w:val="20"/>
          <w:szCs w:val="20"/>
          <w:lang w:val="cs-CZ"/>
        </w:rPr>
        <w:t>ách</w:t>
      </w:r>
      <w:r w:rsidR="003A6B71">
        <w:rPr>
          <w:rFonts w:ascii="Times New Roman" w:hAnsi="Times New Roman" w:cs="Times New Roman"/>
          <w:sz w:val="20"/>
          <w:szCs w:val="20"/>
          <w:lang w:val="cs-CZ"/>
        </w:rPr>
        <w:t>, s nimiž se lidé se zdravotním postižením setkávají, a požadavcích na implementaci nezávislého života v komunitě.</w:t>
      </w:r>
    </w:p>
    <w:p w14:paraId="13232160" w14:textId="2A78E4BE" w:rsidR="00D12D66" w:rsidRPr="003A6B71" w:rsidRDefault="00696CC0" w:rsidP="00696CC0">
      <w:pPr>
        <w:pStyle w:val="HChG"/>
        <w:rPr>
          <w:lang w:val="cs-CZ"/>
        </w:rPr>
      </w:pPr>
      <w:r>
        <w:tab/>
        <w:t>IV.</w:t>
      </w:r>
      <w:r>
        <w:tab/>
      </w:r>
      <w:r w:rsidR="003A6B71">
        <w:rPr>
          <w:lang w:val="cs-CZ"/>
        </w:rPr>
        <w:t xml:space="preserve">Vztah k dalším ustanovením Úmluvy </w:t>
      </w:r>
    </w:p>
    <w:p w14:paraId="3141C08D" w14:textId="0559C530" w:rsidR="003A6B71" w:rsidRDefault="00E8268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70</w:t>
      </w:r>
      <w:r w:rsidR="004762B3" w:rsidRPr="003A6B71">
        <w:rPr>
          <w:rFonts w:ascii="Times New Roman" w:hAnsi="Times New Roman" w:cs="Times New Roman"/>
          <w:sz w:val="20"/>
          <w:szCs w:val="20"/>
          <w:lang w:val="cs-CZ"/>
        </w:rPr>
        <w:t>.</w:t>
      </w:r>
      <w:r w:rsidR="004762B3" w:rsidRPr="003A6B71">
        <w:rPr>
          <w:rFonts w:ascii="Times New Roman" w:hAnsi="Times New Roman" w:cs="Times New Roman"/>
          <w:sz w:val="20"/>
          <w:szCs w:val="20"/>
          <w:lang w:val="cs-CZ"/>
        </w:rPr>
        <w:tab/>
      </w:r>
      <w:r w:rsidR="003A6B71">
        <w:rPr>
          <w:rFonts w:ascii="Times New Roman" w:hAnsi="Times New Roman" w:cs="Times New Roman"/>
          <w:sz w:val="20"/>
          <w:szCs w:val="20"/>
          <w:lang w:val="cs-CZ"/>
        </w:rPr>
        <w:t>Právo žít nezávisle a být začleněn do komunity je vzájemně propojené s užívání</w:t>
      </w:r>
      <w:r w:rsidR="004004DF">
        <w:rPr>
          <w:rFonts w:ascii="Times New Roman" w:hAnsi="Times New Roman" w:cs="Times New Roman"/>
          <w:sz w:val="20"/>
          <w:szCs w:val="20"/>
          <w:lang w:val="cs-CZ"/>
        </w:rPr>
        <w:t>m</w:t>
      </w:r>
      <w:r w:rsidR="003A6B71">
        <w:rPr>
          <w:rFonts w:ascii="Times New Roman" w:hAnsi="Times New Roman" w:cs="Times New Roman"/>
          <w:sz w:val="20"/>
          <w:szCs w:val="20"/>
          <w:lang w:val="cs-CZ"/>
        </w:rPr>
        <w:t xml:space="preserve"> dalších lidských práv zakotvených v Úmluvě. Je to současně více než pouhý </w:t>
      </w:r>
      <w:proofErr w:type="spellStart"/>
      <w:r w:rsidR="003A6B71">
        <w:rPr>
          <w:rFonts w:ascii="Times New Roman" w:hAnsi="Times New Roman" w:cs="Times New Roman"/>
          <w:sz w:val="20"/>
          <w:szCs w:val="20"/>
          <w:lang w:val="cs-CZ"/>
        </w:rPr>
        <w:t>souhr</w:t>
      </w:r>
      <w:proofErr w:type="spellEnd"/>
      <w:r w:rsidR="003A6B71">
        <w:rPr>
          <w:rFonts w:ascii="Times New Roman" w:hAnsi="Times New Roman" w:cs="Times New Roman"/>
          <w:sz w:val="20"/>
          <w:szCs w:val="20"/>
          <w:lang w:val="cs-CZ"/>
        </w:rPr>
        <w:t xml:space="preserve"> těchto práv, jelikož </w:t>
      </w:r>
      <w:r w:rsidR="000A3156">
        <w:rPr>
          <w:rFonts w:ascii="Times New Roman" w:hAnsi="Times New Roman" w:cs="Times New Roman"/>
          <w:sz w:val="20"/>
          <w:szCs w:val="20"/>
          <w:lang w:val="cs-CZ"/>
        </w:rPr>
        <w:t>dává znát, že všechna práva by měla být vykonávána a užívána v komunitě, v níž si člověk zvolí žít a v níž jediné může být naplněn svobodný a plný rozvoj jeho osobnosti.</w:t>
      </w:r>
    </w:p>
    <w:p w14:paraId="0F77863D"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5D8B24DB" w14:textId="3BE465A7" w:rsidR="000A3156" w:rsidRDefault="00E8268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71</w:t>
      </w:r>
      <w:r w:rsidR="004762B3" w:rsidRPr="003A6B71">
        <w:rPr>
          <w:rFonts w:ascii="Times New Roman" w:hAnsi="Times New Roman" w:cs="Times New Roman"/>
          <w:sz w:val="20"/>
          <w:szCs w:val="20"/>
          <w:lang w:val="cs-CZ"/>
        </w:rPr>
        <w:t>.</w:t>
      </w:r>
      <w:r w:rsidR="004762B3" w:rsidRPr="003A6B71">
        <w:rPr>
          <w:rFonts w:ascii="Times New Roman" w:hAnsi="Times New Roman" w:cs="Times New Roman"/>
          <w:sz w:val="20"/>
          <w:szCs w:val="20"/>
          <w:lang w:val="cs-CZ"/>
        </w:rPr>
        <w:tab/>
      </w:r>
      <w:r w:rsidR="000A3156">
        <w:rPr>
          <w:rFonts w:ascii="Times New Roman" w:hAnsi="Times New Roman" w:cs="Times New Roman"/>
          <w:sz w:val="20"/>
          <w:szCs w:val="20"/>
          <w:lang w:val="cs-CZ"/>
        </w:rPr>
        <w:t>Konzultace s aktivním zapojením lidí s postižením prostřednictvím jejich zastupujících organizací (čl. 4 (3)</w:t>
      </w:r>
      <w:r w:rsidR="004004DF">
        <w:rPr>
          <w:rFonts w:ascii="Times New Roman" w:hAnsi="Times New Roman" w:cs="Times New Roman"/>
          <w:sz w:val="20"/>
          <w:szCs w:val="20"/>
          <w:lang w:val="cs-CZ"/>
        </w:rPr>
        <w:t>)</w:t>
      </w:r>
      <w:r w:rsidR="000A3156">
        <w:rPr>
          <w:rFonts w:ascii="Times New Roman" w:hAnsi="Times New Roman" w:cs="Times New Roman"/>
          <w:sz w:val="20"/>
          <w:szCs w:val="20"/>
          <w:lang w:val="cs-CZ"/>
        </w:rPr>
        <w:t xml:space="preserve"> jsou při implementaci práva na nezávislý život v komunitě klíčové pro přijetí všech plánů a strategií, stejně jako pro</w:t>
      </w:r>
      <w:r w:rsidR="004004DF">
        <w:rPr>
          <w:rFonts w:ascii="Times New Roman" w:hAnsi="Times New Roman" w:cs="Times New Roman"/>
          <w:sz w:val="20"/>
          <w:szCs w:val="20"/>
          <w:lang w:val="cs-CZ"/>
        </w:rPr>
        <w:t xml:space="preserve"> vyhodnocení a monitoring. Ti, kd</w:t>
      </w:r>
      <w:r w:rsidR="000A3156">
        <w:rPr>
          <w:rFonts w:ascii="Times New Roman" w:hAnsi="Times New Roman" w:cs="Times New Roman"/>
          <w:sz w:val="20"/>
          <w:szCs w:val="20"/>
          <w:lang w:val="cs-CZ"/>
        </w:rPr>
        <w:t xml:space="preserve">o přijímají rozhodnutí na všech úrovních, musí [do svého rozhodování] aktivně </w:t>
      </w:r>
      <w:r w:rsidR="004004DF">
        <w:rPr>
          <w:rFonts w:ascii="Times New Roman" w:hAnsi="Times New Roman" w:cs="Times New Roman"/>
          <w:sz w:val="20"/>
          <w:szCs w:val="20"/>
          <w:lang w:val="cs-CZ"/>
        </w:rPr>
        <w:t xml:space="preserve">zahrnout plné zastoupení lidí se zdravotním </w:t>
      </w:r>
      <w:r w:rsidR="000A3156">
        <w:rPr>
          <w:rFonts w:ascii="Times New Roman" w:hAnsi="Times New Roman" w:cs="Times New Roman"/>
          <w:sz w:val="20"/>
          <w:szCs w:val="20"/>
          <w:lang w:val="cs-CZ"/>
        </w:rPr>
        <w:t>postižením, dětí se zdravotním postižením, lidí s psychosociálním postižením a lidí s mentálním postižením, a musí s nimi [svá rozhodnutí] konzultovat.</w:t>
      </w:r>
    </w:p>
    <w:p w14:paraId="0F2E9416" w14:textId="77777777" w:rsidR="004762B3" w:rsidRPr="003A6B71" w:rsidRDefault="004762B3" w:rsidP="00DA4D4E">
      <w:pPr>
        <w:pStyle w:val="Listeafsnit1"/>
        <w:spacing w:after="120" w:line="240" w:lineRule="atLeast"/>
        <w:ind w:left="1134" w:right="1134"/>
        <w:rPr>
          <w:rFonts w:ascii="Times New Roman" w:hAnsi="Times New Roman" w:cs="Times New Roman"/>
          <w:sz w:val="20"/>
          <w:szCs w:val="20"/>
          <w:lang w:val="cs-CZ"/>
        </w:rPr>
      </w:pPr>
    </w:p>
    <w:p w14:paraId="2BA65D9A" w14:textId="7F290237" w:rsidR="00FA5BC5"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w:t>
      </w:r>
      <w:r w:rsidR="00E82683" w:rsidRPr="003A6B71">
        <w:rPr>
          <w:rFonts w:ascii="Times New Roman" w:hAnsi="Times New Roman" w:cs="Times New Roman"/>
          <w:sz w:val="20"/>
          <w:szCs w:val="20"/>
          <w:lang w:val="cs-CZ"/>
        </w:rPr>
        <w:t>2</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FA5BC5">
        <w:rPr>
          <w:rFonts w:ascii="Times New Roman" w:hAnsi="Times New Roman" w:cs="Times New Roman"/>
          <w:sz w:val="20"/>
          <w:szCs w:val="20"/>
          <w:lang w:val="cs-CZ"/>
        </w:rPr>
        <w:t>Pro nezávislý život a začlenění do komunity je důležitá nediskriminace (čl. 5) v přístupu a přijímání podpůrných služeb. Smluvní státy by měly definovat kri</w:t>
      </w:r>
      <w:r w:rsidR="00E00099">
        <w:rPr>
          <w:rFonts w:ascii="Times New Roman" w:hAnsi="Times New Roman" w:cs="Times New Roman"/>
          <w:sz w:val="20"/>
          <w:szCs w:val="20"/>
          <w:lang w:val="cs-CZ"/>
        </w:rPr>
        <w:t>téria vhodnosti (způsobilosti) a procesy pro přístup k podpůrným službám nediskriminačním způsobem, objektivně a se zaměřením na člověka spíše než na postižení (znevýhodnění), v souladu s přístupem založeným na lidských právech. Zřízení specifických služeb pro lidi se zdravotním postižením ve specifických situacích lidí se zdravotním postižením a v souladu s jejich požadavky by nemělo být považováno za diskriminační porušení Úmluvy, ale spíše za spravedlivou a právně dostupnou pozitivní akci (pozitivní diskriminaci). Lidé se zdravotním postižením, kteří čelí diskriminaci ve vztahu k článku 19 musí mít k dispozici účinné a cenově přístupné právní prost</w:t>
      </w:r>
      <w:r w:rsidR="004F4FE3">
        <w:rPr>
          <w:rFonts w:ascii="Times New Roman" w:hAnsi="Times New Roman" w:cs="Times New Roman"/>
          <w:sz w:val="20"/>
          <w:szCs w:val="20"/>
          <w:lang w:val="cs-CZ"/>
        </w:rPr>
        <w:t>ředky nápravy.</w:t>
      </w:r>
      <w:r w:rsidR="00FA5BC5">
        <w:rPr>
          <w:rFonts w:ascii="Times New Roman" w:hAnsi="Times New Roman" w:cs="Times New Roman"/>
          <w:sz w:val="20"/>
          <w:szCs w:val="20"/>
          <w:lang w:val="cs-CZ"/>
        </w:rPr>
        <w:t xml:space="preserve"> </w:t>
      </w:r>
    </w:p>
    <w:p w14:paraId="0A036B41"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714C50CA" w14:textId="164DFBB5" w:rsidR="004F4FE3" w:rsidRDefault="004762B3" w:rsidP="004F4FE3">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w:t>
      </w:r>
      <w:r w:rsidR="00E82683" w:rsidRPr="003A6B71">
        <w:rPr>
          <w:rFonts w:ascii="Times New Roman" w:hAnsi="Times New Roman" w:cs="Times New Roman"/>
          <w:sz w:val="20"/>
          <w:szCs w:val="20"/>
          <w:lang w:val="cs-CZ"/>
        </w:rPr>
        <w:t>3</w:t>
      </w:r>
      <w:r w:rsidR="004F4FE3">
        <w:rPr>
          <w:rFonts w:ascii="Times New Roman" w:hAnsi="Times New Roman" w:cs="Times New Roman"/>
          <w:sz w:val="20"/>
          <w:szCs w:val="20"/>
          <w:lang w:val="cs-CZ"/>
        </w:rPr>
        <w:t>.</w:t>
      </w:r>
      <w:r w:rsidR="004F4FE3">
        <w:rPr>
          <w:rFonts w:ascii="Times New Roman" w:hAnsi="Times New Roman" w:cs="Times New Roman"/>
          <w:sz w:val="20"/>
          <w:szCs w:val="20"/>
          <w:lang w:val="cs-CZ"/>
        </w:rPr>
        <w:tab/>
        <w:t xml:space="preserve">Ženy a dívky se zdravotním postižením (čl. 6) bývají často více vyloučené a izolované a čelí více omezením, pokud jde o místo </w:t>
      </w:r>
      <w:r w:rsidR="004004DF">
        <w:rPr>
          <w:rFonts w:ascii="Times New Roman" w:hAnsi="Times New Roman" w:cs="Times New Roman"/>
          <w:sz w:val="20"/>
          <w:szCs w:val="20"/>
          <w:lang w:val="cs-CZ"/>
        </w:rPr>
        <w:t>svého</w:t>
      </w:r>
      <w:r w:rsidR="004F4FE3">
        <w:rPr>
          <w:rFonts w:ascii="Times New Roman" w:hAnsi="Times New Roman" w:cs="Times New Roman"/>
          <w:sz w:val="20"/>
          <w:szCs w:val="20"/>
          <w:lang w:val="cs-CZ"/>
        </w:rPr>
        <w:t xml:space="preserve"> pobytu, stejně jako uspořádání </w:t>
      </w:r>
      <w:r w:rsidR="004004DF">
        <w:rPr>
          <w:rFonts w:ascii="Times New Roman" w:hAnsi="Times New Roman" w:cs="Times New Roman"/>
          <w:sz w:val="20"/>
          <w:szCs w:val="20"/>
          <w:lang w:val="cs-CZ"/>
        </w:rPr>
        <w:t>svého</w:t>
      </w:r>
      <w:r w:rsidR="004F4FE3">
        <w:rPr>
          <w:rFonts w:ascii="Times New Roman" w:hAnsi="Times New Roman" w:cs="Times New Roman"/>
          <w:sz w:val="20"/>
          <w:szCs w:val="20"/>
          <w:lang w:val="cs-CZ"/>
        </w:rPr>
        <w:t xml:space="preserve"> života, a to z důvodu paternalistického </w:t>
      </w:r>
      <w:proofErr w:type="spellStart"/>
      <w:r w:rsidR="004F4FE3">
        <w:rPr>
          <w:rFonts w:ascii="Times New Roman" w:hAnsi="Times New Roman" w:cs="Times New Roman"/>
          <w:sz w:val="20"/>
          <w:szCs w:val="20"/>
          <w:lang w:val="cs-CZ"/>
        </w:rPr>
        <w:t>stereotypizování</w:t>
      </w:r>
      <w:proofErr w:type="spellEnd"/>
      <w:r w:rsidR="004F4FE3">
        <w:rPr>
          <w:rFonts w:ascii="Times New Roman" w:hAnsi="Times New Roman" w:cs="Times New Roman"/>
          <w:sz w:val="20"/>
          <w:szCs w:val="20"/>
          <w:lang w:val="cs-CZ"/>
        </w:rPr>
        <w:t xml:space="preserve"> a patriarchálních sociálních vzorců proti ženám ve společnosti. Ženy a dívky se zdravotním postižením rovněž zažívají genderovou, mnohonásobnou nebo </w:t>
      </w:r>
      <w:proofErr w:type="spellStart"/>
      <w:r w:rsidR="004F4FE3">
        <w:rPr>
          <w:rFonts w:ascii="Times New Roman" w:hAnsi="Times New Roman" w:cs="Times New Roman"/>
          <w:sz w:val="20"/>
          <w:szCs w:val="20"/>
          <w:lang w:val="cs-CZ"/>
        </w:rPr>
        <w:t>intersektorální</w:t>
      </w:r>
      <w:proofErr w:type="spellEnd"/>
      <w:r w:rsidR="004F4FE3">
        <w:rPr>
          <w:rFonts w:ascii="Times New Roman" w:hAnsi="Times New Roman" w:cs="Times New Roman"/>
          <w:sz w:val="20"/>
          <w:szCs w:val="20"/>
          <w:lang w:val="cs-CZ"/>
        </w:rPr>
        <w:t xml:space="preserve"> diskriminaci, institucionalizaci, násilí, včetně sexuálního násilí a sexuálního obtěžování</w:t>
      </w:r>
      <w:r w:rsidRPr="003A6B71">
        <w:rPr>
          <w:rStyle w:val="Znakapoznpodarou"/>
          <w:rFonts w:cs="Times New Roman"/>
          <w:sz w:val="20"/>
          <w:szCs w:val="20"/>
          <w:lang w:val="cs-CZ"/>
        </w:rPr>
        <w:footnoteReference w:id="11"/>
      </w:r>
      <w:r w:rsidRPr="003A6B71">
        <w:rPr>
          <w:rFonts w:ascii="Times New Roman" w:hAnsi="Times New Roman" w:cs="Times New Roman"/>
          <w:sz w:val="20"/>
          <w:szCs w:val="20"/>
          <w:lang w:val="cs-CZ"/>
        </w:rPr>
        <w:t xml:space="preserve">. </w:t>
      </w:r>
      <w:r w:rsidR="004F4FE3">
        <w:rPr>
          <w:rFonts w:ascii="Times New Roman" w:hAnsi="Times New Roman" w:cs="Times New Roman"/>
          <w:sz w:val="20"/>
          <w:szCs w:val="20"/>
          <w:lang w:val="cs-CZ"/>
        </w:rPr>
        <w:t xml:space="preserve">Smluvní státy musí poskytovat cenově </w:t>
      </w:r>
      <w:proofErr w:type="spellStart"/>
      <w:r w:rsidR="004F4FE3">
        <w:rPr>
          <w:rFonts w:ascii="Times New Roman" w:hAnsi="Times New Roman" w:cs="Times New Roman"/>
          <w:sz w:val="20"/>
          <w:szCs w:val="20"/>
          <w:lang w:val="cs-CZ"/>
        </w:rPr>
        <w:t>přéstupné</w:t>
      </w:r>
      <w:proofErr w:type="spellEnd"/>
      <w:r w:rsidR="004F4FE3">
        <w:rPr>
          <w:rFonts w:ascii="Times New Roman" w:hAnsi="Times New Roman" w:cs="Times New Roman"/>
          <w:sz w:val="20"/>
          <w:szCs w:val="20"/>
          <w:lang w:val="cs-CZ"/>
        </w:rPr>
        <w:t xml:space="preserve"> nebo bezplatné právní prostředky nápravy a podpůrné služby pro oběti násilí a zneužívání. Ženy se zdravotním postižením, které čelí domácímu násilí jsou často více ekonomicky, fyzicky nebo citově závislé na svých zneuživatelích, kteří jsou často jejich pečovateli, </w:t>
      </w:r>
      <w:r w:rsidR="00EF1CF2">
        <w:rPr>
          <w:rFonts w:ascii="Times New Roman" w:hAnsi="Times New Roman" w:cs="Times New Roman"/>
          <w:sz w:val="20"/>
          <w:szCs w:val="20"/>
          <w:lang w:val="cs-CZ"/>
        </w:rPr>
        <w:t xml:space="preserve">což je situace, která ženám se zdravotním postižením brání opustit </w:t>
      </w:r>
      <w:proofErr w:type="spellStart"/>
      <w:r w:rsidR="00EF1CF2">
        <w:rPr>
          <w:rFonts w:ascii="Times New Roman" w:hAnsi="Times New Roman" w:cs="Times New Roman"/>
          <w:sz w:val="20"/>
          <w:szCs w:val="20"/>
          <w:lang w:val="cs-CZ"/>
        </w:rPr>
        <w:t>zneužívajcí</w:t>
      </w:r>
      <w:proofErr w:type="spellEnd"/>
      <w:r w:rsidR="00EF1CF2">
        <w:rPr>
          <w:rFonts w:ascii="Times New Roman" w:hAnsi="Times New Roman" w:cs="Times New Roman"/>
          <w:sz w:val="20"/>
          <w:szCs w:val="20"/>
          <w:lang w:val="cs-CZ"/>
        </w:rPr>
        <w:t xml:space="preserve"> vztah a vede k [jejich] další sociální izolaci. Proto při implementaci práva žít nezávisle a </w:t>
      </w:r>
      <w:r w:rsidR="00EF1CF2">
        <w:rPr>
          <w:rFonts w:ascii="Times New Roman" w:hAnsi="Times New Roman" w:cs="Times New Roman"/>
          <w:sz w:val="20"/>
          <w:szCs w:val="20"/>
          <w:lang w:val="cs-CZ"/>
        </w:rPr>
        <w:lastRenderedPageBreak/>
        <w:t>být začleněn do komunity by měla být zvláštní pozornost věnována genderové rovnosti, odstranění genderové diskriminace a patriarchálních sociálních vzorců.</w:t>
      </w:r>
    </w:p>
    <w:p w14:paraId="7D74E1FE"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7B29CD47" w14:textId="53A3379E" w:rsidR="00EF1CF2" w:rsidRDefault="004762B3" w:rsidP="00EF1CF2">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w:t>
      </w:r>
      <w:r w:rsidR="00E82683" w:rsidRPr="003A6B71">
        <w:rPr>
          <w:rFonts w:ascii="Times New Roman" w:hAnsi="Times New Roman" w:cs="Times New Roman"/>
          <w:sz w:val="20"/>
          <w:szCs w:val="20"/>
          <w:lang w:val="cs-CZ"/>
        </w:rPr>
        <w:t>4</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EF1CF2">
        <w:rPr>
          <w:rFonts w:ascii="Times New Roman" w:hAnsi="Times New Roman" w:cs="Times New Roman"/>
          <w:sz w:val="20"/>
          <w:szCs w:val="20"/>
          <w:lang w:val="cs-CZ"/>
        </w:rPr>
        <w:t>Kultu</w:t>
      </w:r>
      <w:r w:rsidR="004004DF">
        <w:rPr>
          <w:rFonts w:ascii="Times New Roman" w:hAnsi="Times New Roman" w:cs="Times New Roman"/>
          <w:sz w:val="20"/>
          <w:szCs w:val="20"/>
          <w:lang w:val="cs-CZ"/>
        </w:rPr>
        <w:t>rní normy a hodnoty mohou nepří</w:t>
      </w:r>
      <w:r w:rsidR="00EF1CF2">
        <w:rPr>
          <w:rFonts w:ascii="Times New Roman" w:hAnsi="Times New Roman" w:cs="Times New Roman"/>
          <w:sz w:val="20"/>
          <w:szCs w:val="20"/>
          <w:lang w:val="cs-CZ"/>
        </w:rPr>
        <w:t xml:space="preserve">znivě omezit ženy a dívky se zdravotním postižením ve volbě svého životního uspořádání, omezovat jejich autonomii, nutit je žít v určitém životním uspořádání, vyžadovat po nich potlačení </w:t>
      </w:r>
      <w:r w:rsidR="004004DF">
        <w:rPr>
          <w:rFonts w:ascii="Times New Roman" w:hAnsi="Times New Roman" w:cs="Times New Roman"/>
          <w:sz w:val="20"/>
          <w:szCs w:val="20"/>
          <w:lang w:val="cs-CZ"/>
        </w:rPr>
        <w:t>svých</w:t>
      </w:r>
      <w:r w:rsidR="00EF1CF2">
        <w:rPr>
          <w:rFonts w:ascii="Times New Roman" w:hAnsi="Times New Roman" w:cs="Times New Roman"/>
          <w:sz w:val="20"/>
          <w:szCs w:val="20"/>
          <w:lang w:val="cs-CZ"/>
        </w:rPr>
        <w:t xml:space="preserve"> vlastních požadavků a na místo toho sloužit požadavkům jiných a plnit určité role v rámci rodiny</w:t>
      </w:r>
      <w:r w:rsidRPr="003A6B71">
        <w:rPr>
          <w:rFonts w:ascii="Times New Roman" w:hAnsi="Times New Roman" w:cs="Times New Roman"/>
          <w:sz w:val="20"/>
          <w:szCs w:val="20"/>
          <w:lang w:val="cs-CZ"/>
        </w:rPr>
        <w:t>.</w:t>
      </w:r>
      <w:r w:rsidRPr="003A6B71">
        <w:rPr>
          <w:rStyle w:val="Znakapoznpodarou"/>
          <w:rFonts w:cs="Times New Roman"/>
          <w:sz w:val="20"/>
          <w:szCs w:val="20"/>
          <w:lang w:val="cs-CZ"/>
        </w:rPr>
        <w:footnoteReference w:id="12"/>
      </w:r>
      <w:r w:rsidRPr="003A6B71">
        <w:rPr>
          <w:rFonts w:ascii="Times New Roman" w:hAnsi="Times New Roman" w:cs="Times New Roman"/>
          <w:sz w:val="20"/>
          <w:szCs w:val="20"/>
          <w:lang w:val="cs-CZ"/>
        </w:rPr>
        <w:t xml:space="preserve"> </w:t>
      </w:r>
      <w:r w:rsidR="00EF1CF2">
        <w:rPr>
          <w:rFonts w:ascii="Times New Roman" w:hAnsi="Times New Roman" w:cs="Times New Roman"/>
          <w:sz w:val="20"/>
          <w:szCs w:val="20"/>
          <w:lang w:val="cs-CZ"/>
        </w:rPr>
        <w:t>Smluvní státy by měly přijmout opatření řešící diskriminaci a bariéry, kterým čelí ženy při přístupu k sociálním službám a podpoře, stejně jako zajistit, že rozličné politiky, programy a strategie, které se týkají přístupu k sociálním službám a podpoře, budou věnovat náležitou pozornost rovnosti mezi ženami a muži.</w:t>
      </w:r>
    </w:p>
    <w:p w14:paraId="3891EE3A"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2FE05588" w14:textId="1817F073" w:rsidR="00EF1CF2" w:rsidRDefault="004762B3" w:rsidP="00EF1CF2">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w:t>
      </w:r>
      <w:r w:rsidR="00E82683" w:rsidRPr="003A6B71">
        <w:rPr>
          <w:rFonts w:ascii="Times New Roman" w:hAnsi="Times New Roman" w:cs="Times New Roman"/>
          <w:sz w:val="20"/>
          <w:szCs w:val="20"/>
          <w:lang w:val="cs-CZ"/>
        </w:rPr>
        <w:t>5</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EF1CF2">
        <w:rPr>
          <w:rFonts w:ascii="Times New Roman" w:hAnsi="Times New Roman" w:cs="Times New Roman"/>
          <w:sz w:val="20"/>
          <w:szCs w:val="20"/>
          <w:lang w:val="cs-CZ"/>
        </w:rPr>
        <w:t xml:space="preserve">Smluvní státy by měly rovněž zajistit, že opatření, jejichž cílem je rozvoj, </w:t>
      </w:r>
      <w:proofErr w:type="spellStart"/>
      <w:r w:rsidR="00EF1CF2">
        <w:rPr>
          <w:rFonts w:ascii="Times New Roman" w:hAnsi="Times New Roman" w:cs="Times New Roman"/>
          <w:sz w:val="20"/>
          <w:szCs w:val="20"/>
          <w:lang w:val="cs-CZ"/>
        </w:rPr>
        <w:t>zeschopňování</w:t>
      </w:r>
      <w:proofErr w:type="spellEnd"/>
      <w:r w:rsidR="00EF1CF2">
        <w:rPr>
          <w:rFonts w:ascii="Times New Roman" w:hAnsi="Times New Roman" w:cs="Times New Roman"/>
          <w:sz w:val="20"/>
          <w:szCs w:val="20"/>
          <w:lang w:val="cs-CZ"/>
        </w:rPr>
        <w:t xml:space="preserve"> a pokrok žen a dívek se zdravotním postižením (článek 6 (2)), se budou zaměřovat na genderovou nerovnost v přístupu k podpoře a sociální ochraně. Smluvní státy by měly přijmout odpovídající opatření v oblasti rovnováhy života a práce (zdroje, čas, služby), které podpoří ženy se zdravotním postižením v (opětovném) vstupu na otevřený pracovní trh a zajistí rovná práva a odpovědnost mezi ženami a muži při výkonu rodičovské odpovědnosti</w:t>
      </w:r>
      <w:r w:rsidR="005A634E" w:rsidRPr="003A6B71">
        <w:rPr>
          <w:rStyle w:val="Znakapoznpodarou"/>
          <w:rFonts w:cs="Times New Roman"/>
          <w:szCs w:val="20"/>
          <w:lang w:val="cs-CZ"/>
        </w:rPr>
        <w:footnoteReference w:id="13"/>
      </w:r>
      <w:r w:rsidRPr="003A6B71">
        <w:rPr>
          <w:rFonts w:ascii="Times New Roman" w:hAnsi="Times New Roman" w:cs="Times New Roman"/>
          <w:sz w:val="20"/>
          <w:szCs w:val="20"/>
          <w:lang w:val="cs-CZ"/>
        </w:rPr>
        <w:t xml:space="preserve">. </w:t>
      </w:r>
      <w:r w:rsidR="009D44FB">
        <w:rPr>
          <w:rFonts w:ascii="Times New Roman" w:hAnsi="Times New Roman" w:cs="Times New Roman"/>
          <w:sz w:val="20"/>
          <w:szCs w:val="20"/>
          <w:lang w:val="cs-CZ"/>
        </w:rPr>
        <w:t>Je rovněž odpovědností smluvních států zajistit, že přístřeší pro oběti genderově motivovaného násilí bude plně přístupné pro ženy a dívky se zdravotním postižením.</w:t>
      </w:r>
    </w:p>
    <w:p w14:paraId="5C392E4B"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2F121D3F" w14:textId="7D285DB0" w:rsidR="00400C06"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w:t>
      </w:r>
      <w:r w:rsidR="00E82683" w:rsidRPr="003A6B71">
        <w:rPr>
          <w:rFonts w:ascii="Times New Roman" w:hAnsi="Times New Roman" w:cs="Times New Roman"/>
          <w:sz w:val="20"/>
          <w:szCs w:val="20"/>
          <w:lang w:val="cs-CZ"/>
        </w:rPr>
        <w:t>6</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9D44FB">
        <w:rPr>
          <w:rFonts w:ascii="Times New Roman" w:hAnsi="Times New Roman" w:cs="Times New Roman"/>
          <w:sz w:val="20"/>
          <w:szCs w:val="20"/>
          <w:lang w:val="cs-CZ"/>
        </w:rPr>
        <w:t xml:space="preserve">Existence </w:t>
      </w:r>
      <w:proofErr w:type="spellStart"/>
      <w:r w:rsidR="009D44FB">
        <w:rPr>
          <w:rFonts w:ascii="Times New Roman" w:hAnsi="Times New Roman" w:cs="Times New Roman"/>
          <w:sz w:val="20"/>
          <w:szCs w:val="20"/>
          <w:lang w:val="cs-CZ"/>
        </w:rPr>
        <w:t>odpovídajcích</w:t>
      </w:r>
      <w:proofErr w:type="spellEnd"/>
      <w:r w:rsidR="009D44FB">
        <w:rPr>
          <w:rFonts w:ascii="Times New Roman" w:hAnsi="Times New Roman" w:cs="Times New Roman"/>
          <w:sz w:val="20"/>
          <w:szCs w:val="20"/>
          <w:lang w:val="cs-CZ"/>
        </w:rPr>
        <w:t xml:space="preserve"> a k věku citlivých služeb pro dívky a chlapce se zdravotním postižením má zásadní význam pro rovné užívání lidských práv (čl. 7). Stěžejní je respekt k rozvíjejícím se schopnostem dětí se zdravotním postižením a jejich rozvoj v tom, aby mohly promlouvat do rozhodnutí, která na ně mají dopad. Je rovněž důležité </w:t>
      </w:r>
      <w:r w:rsidR="00400C06">
        <w:rPr>
          <w:rFonts w:ascii="Times New Roman" w:hAnsi="Times New Roman" w:cs="Times New Roman"/>
          <w:sz w:val="20"/>
          <w:szCs w:val="20"/>
          <w:lang w:val="cs-CZ"/>
        </w:rPr>
        <w:t>poskytovat podporu a informace</w:t>
      </w:r>
      <w:r w:rsidR="009D44FB">
        <w:rPr>
          <w:rFonts w:ascii="Times New Roman" w:hAnsi="Times New Roman" w:cs="Times New Roman"/>
          <w:sz w:val="20"/>
          <w:szCs w:val="20"/>
          <w:lang w:val="cs-CZ"/>
        </w:rPr>
        <w:t xml:space="preserve"> rodině</w:t>
      </w:r>
      <w:r w:rsidR="00400C06">
        <w:rPr>
          <w:rFonts w:ascii="Times New Roman" w:hAnsi="Times New Roman" w:cs="Times New Roman"/>
          <w:sz w:val="20"/>
          <w:szCs w:val="20"/>
          <w:lang w:val="cs-CZ"/>
        </w:rPr>
        <w:t xml:space="preserve"> a doprovázet ji (čl. 23), aby bylo předcházeno institucionalizaci dětí se zdravotním postižením, a mít inkluzivní politiky, týkající se osvojení, které by zajistily rovné příležitosti pro děti se zdravotním postižením.</w:t>
      </w:r>
    </w:p>
    <w:p w14:paraId="779FBBF7" w14:textId="3879CCAA" w:rsidR="004762B3" w:rsidRPr="003A6B71" w:rsidRDefault="009D44FB" w:rsidP="00DA4D4E">
      <w:pPr>
        <w:pStyle w:val="Listeafsnit1"/>
        <w:spacing w:after="120" w:line="240" w:lineRule="atLeast"/>
        <w:ind w:left="1134" w:right="1134"/>
        <w:jc w:val="both"/>
        <w:rPr>
          <w:rFonts w:ascii="Times New Roman" w:hAnsi="Times New Roman" w:cs="Times New Roman"/>
          <w:sz w:val="20"/>
          <w:szCs w:val="20"/>
          <w:lang w:val="cs-CZ"/>
        </w:rPr>
      </w:pPr>
      <w:r>
        <w:rPr>
          <w:rFonts w:ascii="Times New Roman" w:hAnsi="Times New Roman" w:cs="Times New Roman"/>
          <w:sz w:val="20"/>
          <w:szCs w:val="20"/>
          <w:lang w:val="cs-CZ"/>
        </w:rPr>
        <w:t xml:space="preserve"> </w:t>
      </w:r>
    </w:p>
    <w:p w14:paraId="0C7AC101" w14:textId="30C1EDEA" w:rsidR="00F9549A"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7B4D2E">
        <w:rPr>
          <w:rFonts w:ascii="Times New Roman" w:hAnsi="Times New Roman" w:cs="Times New Roman"/>
          <w:sz w:val="20"/>
          <w:szCs w:val="20"/>
          <w:lang w:val="cs-CZ"/>
        </w:rPr>
        <w:t>7</w:t>
      </w:r>
      <w:r w:rsidR="00E82683" w:rsidRPr="007B4D2E">
        <w:rPr>
          <w:rFonts w:ascii="Times New Roman" w:hAnsi="Times New Roman" w:cs="Times New Roman"/>
          <w:sz w:val="20"/>
          <w:szCs w:val="20"/>
          <w:lang w:val="cs-CZ"/>
        </w:rPr>
        <w:t>7</w:t>
      </w:r>
      <w:r w:rsidRPr="007B4D2E">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F9549A">
        <w:rPr>
          <w:rFonts w:ascii="Times New Roman" w:hAnsi="Times New Roman" w:cs="Times New Roman"/>
          <w:sz w:val="20"/>
          <w:szCs w:val="20"/>
          <w:lang w:val="cs-CZ"/>
        </w:rPr>
        <w:t xml:space="preserve">Pokud jde o sociální interakce a vztahy s vrstevníky </w:t>
      </w:r>
      <w:r w:rsidR="004004DF">
        <w:rPr>
          <w:rFonts w:ascii="Times New Roman" w:hAnsi="Times New Roman" w:cs="Times New Roman"/>
          <w:sz w:val="20"/>
          <w:szCs w:val="20"/>
          <w:lang w:val="cs-CZ"/>
        </w:rPr>
        <w:t xml:space="preserve">mohou </w:t>
      </w:r>
      <w:r w:rsidR="00F9549A">
        <w:rPr>
          <w:rFonts w:ascii="Times New Roman" w:hAnsi="Times New Roman" w:cs="Times New Roman"/>
          <w:sz w:val="20"/>
          <w:szCs w:val="20"/>
          <w:lang w:val="cs-CZ"/>
        </w:rPr>
        <w:t xml:space="preserve">dospívající </w:t>
      </w:r>
      <w:r w:rsidR="004004DF">
        <w:rPr>
          <w:rFonts w:ascii="Times New Roman" w:hAnsi="Times New Roman" w:cs="Times New Roman"/>
          <w:sz w:val="20"/>
          <w:szCs w:val="20"/>
          <w:lang w:val="cs-CZ"/>
        </w:rPr>
        <w:t>upřednostňovat</w:t>
      </w:r>
      <w:r w:rsidR="00F9549A">
        <w:rPr>
          <w:rFonts w:ascii="Times New Roman" w:hAnsi="Times New Roman" w:cs="Times New Roman"/>
          <w:sz w:val="20"/>
          <w:szCs w:val="20"/>
          <w:lang w:val="cs-CZ"/>
        </w:rPr>
        <w:t xml:space="preserve"> osobní </w:t>
      </w:r>
      <w:proofErr w:type="spellStart"/>
      <w:r w:rsidR="00F9549A">
        <w:rPr>
          <w:rFonts w:ascii="Times New Roman" w:hAnsi="Times New Roman" w:cs="Times New Roman"/>
          <w:sz w:val="20"/>
          <w:szCs w:val="20"/>
          <w:lang w:val="cs-CZ"/>
        </w:rPr>
        <w:t>asistanci</w:t>
      </w:r>
      <w:proofErr w:type="spellEnd"/>
      <w:r w:rsidR="00F9549A">
        <w:rPr>
          <w:rFonts w:ascii="Times New Roman" w:hAnsi="Times New Roman" w:cs="Times New Roman"/>
          <w:sz w:val="20"/>
          <w:szCs w:val="20"/>
          <w:lang w:val="cs-CZ"/>
        </w:rPr>
        <w:t xml:space="preserve"> a profesionální tlumočníky do znakového jazyka před neformální podporou, kterou jim poskytují jejich příbuzní. Smluvní státy by měly vytvořit inovativní formy podporných a přístupných služeb pro děti a dospívající s postižením osobně nebo prostřednictvím svých organizací. Děti se zdravotním postižením mohou vyžadovat podporu pro to, aby mohly provozovat sportovní nebo jiné aktivity v komunitě odpovídající jejich věku. Dospívajícím se zdravotním postižením by mělo být umožněno trávit čas a účastnit se volnočasových aktivit se svými vrstevníky. Smluvní státy musí poskytnout asistenční pomůcky a technologie, které usnadňují inkluzi dospívajících se zdravotním postižením v jejich vrstevnických sítích. Vedle toho jsou při podpoře nezávislého života klíčové služby, kter</w:t>
      </w:r>
      <w:r w:rsidR="004004DF">
        <w:rPr>
          <w:rFonts w:ascii="Times New Roman" w:hAnsi="Times New Roman" w:cs="Times New Roman"/>
          <w:sz w:val="20"/>
          <w:szCs w:val="20"/>
          <w:lang w:val="cs-CZ"/>
        </w:rPr>
        <w:t>é usnadňují přechod mladých lidí</w:t>
      </w:r>
      <w:r w:rsidR="00F9549A">
        <w:rPr>
          <w:rFonts w:ascii="Times New Roman" w:hAnsi="Times New Roman" w:cs="Times New Roman"/>
          <w:sz w:val="20"/>
          <w:szCs w:val="20"/>
          <w:lang w:val="cs-CZ"/>
        </w:rPr>
        <w:t xml:space="preserve"> do dospělosti, včetně podpory při </w:t>
      </w:r>
      <w:r w:rsidR="005A3836">
        <w:rPr>
          <w:rFonts w:ascii="Times New Roman" w:hAnsi="Times New Roman" w:cs="Times New Roman"/>
          <w:sz w:val="20"/>
          <w:szCs w:val="20"/>
          <w:lang w:val="cs-CZ"/>
        </w:rPr>
        <w:t>pře</w:t>
      </w:r>
      <w:r w:rsidR="00F9549A">
        <w:rPr>
          <w:rFonts w:ascii="Times New Roman" w:hAnsi="Times New Roman" w:cs="Times New Roman"/>
          <w:sz w:val="20"/>
          <w:szCs w:val="20"/>
          <w:lang w:val="cs-CZ"/>
        </w:rPr>
        <w:t>stěhování z rodinného domu, při nástupu do zaměstnání a při získávání vyššího vzdělání.</w:t>
      </w:r>
    </w:p>
    <w:p w14:paraId="14D90AF1" w14:textId="77777777" w:rsidR="00F9549A" w:rsidRDefault="00F9549A" w:rsidP="00DA4D4E">
      <w:pPr>
        <w:pStyle w:val="Listeafsnit1"/>
        <w:spacing w:after="120" w:line="240" w:lineRule="atLeast"/>
        <w:ind w:left="1134" w:right="1134"/>
        <w:jc w:val="both"/>
        <w:rPr>
          <w:rFonts w:ascii="Times New Roman" w:hAnsi="Times New Roman" w:cs="Times New Roman"/>
          <w:sz w:val="20"/>
          <w:szCs w:val="20"/>
          <w:lang w:val="cs-CZ"/>
        </w:rPr>
      </w:pPr>
    </w:p>
    <w:p w14:paraId="35588C0A" w14:textId="3F3497FB" w:rsidR="00F9549A"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7</w:t>
      </w:r>
      <w:r w:rsidR="00E82683" w:rsidRPr="003A6B71">
        <w:rPr>
          <w:rFonts w:ascii="Times New Roman" w:hAnsi="Times New Roman" w:cs="Times New Roman"/>
          <w:sz w:val="20"/>
          <w:szCs w:val="20"/>
          <w:lang w:val="cs-CZ"/>
        </w:rPr>
        <w:t>8</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F9549A">
        <w:rPr>
          <w:rFonts w:ascii="Times New Roman" w:hAnsi="Times New Roman" w:cs="Times New Roman"/>
          <w:sz w:val="20"/>
          <w:szCs w:val="20"/>
          <w:lang w:val="cs-CZ"/>
        </w:rPr>
        <w:t>Zvyšování povědomí (čl. 8) je klíčové pro vytvoření otevřených, umožňujících a inkluzivních komunit, jelikož článek 19 je ve své podstatě o transformaci komunit. Stereotypy, předsudky proti lidem se zdravotním postižením a fale</w:t>
      </w:r>
      <w:r w:rsidR="00F27143">
        <w:rPr>
          <w:rFonts w:ascii="Times New Roman" w:hAnsi="Times New Roman" w:cs="Times New Roman"/>
          <w:sz w:val="20"/>
          <w:szCs w:val="20"/>
          <w:lang w:val="cs-CZ"/>
        </w:rPr>
        <w:t>šné dojmy, které brání lidem se zdravotním postižením žít nezávisle, musí být vymýceny a musí být prosazován jejich pozitivní obraz a přínosy společnosti. Zvyšování povědomí by mělo být poskytnuto orgánům, občanským zaměstnancům, profesionálům, médiím, obecné veřejnosti a lidem se zdravotním postižením a jejich rodinám. Všechny aktivity zaměřené na zvyšování povědomí by měl</w:t>
      </w:r>
      <w:r w:rsidR="005A3836">
        <w:rPr>
          <w:rFonts w:ascii="Times New Roman" w:hAnsi="Times New Roman" w:cs="Times New Roman"/>
          <w:sz w:val="20"/>
          <w:szCs w:val="20"/>
          <w:lang w:val="cs-CZ"/>
        </w:rPr>
        <w:t>y</w:t>
      </w:r>
      <w:r w:rsidR="00F27143">
        <w:rPr>
          <w:rFonts w:ascii="Times New Roman" w:hAnsi="Times New Roman" w:cs="Times New Roman"/>
          <w:sz w:val="20"/>
          <w:szCs w:val="20"/>
          <w:lang w:val="cs-CZ"/>
        </w:rPr>
        <w:t xml:space="preserve"> být vykonávány v úzké spolupráci s lidmi se zdravotním postižením prostřednictví</w:t>
      </w:r>
      <w:r w:rsidR="005A3836">
        <w:rPr>
          <w:rFonts w:ascii="Times New Roman" w:hAnsi="Times New Roman" w:cs="Times New Roman"/>
          <w:sz w:val="20"/>
          <w:szCs w:val="20"/>
          <w:lang w:val="cs-CZ"/>
        </w:rPr>
        <w:t>m</w:t>
      </w:r>
      <w:r w:rsidR="00F27143">
        <w:rPr>
          <w:rFonts w:ascii="Times New Roman" w:hAnsi="Times New Roman" w:cs="Times New Roman"/>
          <w:sz w:val="20"/>
          <w:szCs w:val="20"/>
          <w:lang w:val="cs-CZ"/>
        </w:rPr>
        <w:t xml:space="preserve"> jejich zastupujících organizací.</w:t>
      </w:r>
    </w:p>
    <w:p w14:paraId="2F264336"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6EE655D2" w14:textId="13F12870" w:rsidR="005F322A"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lastRenderedPageBreak/>
        <w:t>7</w:t>
      </w:r>
      <w:r w:rsidR="00E82683" w:rsidRPr="003A6B71">
        <w:rPr>
          <w:rFonts w:ascii="Times New Roman" w:hAnsi="Times New Roman" w:cs="Times New Roman"/>
          <w:sz w:val="20"/>
          <w:szCs w:val="20"/>
          <w:lang w:val="cs-CZ"/>
        </w:rPr>
        <w:t>9</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5F322A">
        <w:rPr>
          <w:rFonts w:ascii="Times New Roman" w:hAnsi="Times New Roman" w:cs="Times New Roman"/>
          <w:sz w:val="20"/>
          <w:szCs w:val="20"/>
          <w:lang w:val="cs-CZ"/>
        </w:rPr>
        <w:t>Práva zakotvená v článku 19 jsou svázána s povinnostmi smluvní stran, vztahujícími se k přístupnosti (čl. 9), jelikož obecná přístupnost veškerého vybudovaného prostředí, dopravy, informací, komunikace a zařízení a služeb určených veřejnosti v konkrétní komunitě je podmínkou nezávislého života v této komunitě. Článek 9 vyžaduje, aby byly identifikovány překážky a odstraněny bariéry budov, určených veřejnosti, a to např. revizí zákonů, týkající se kontroly výstavby, a zákoníků městského plánování, inkluzí standardů univerzálního designu do různých sektorů a zakotvením standardů přístupnosti pro bydlení.</w:t>
      </w:r>
    </w:p>
    <w:p w14:paraId="212E3B1E" w14:textId="77777777" w:rsidR="005F322A" w:rsidRDefault="005F322A" w:rsidP="00DA4D4E">
      <w:pPr>
        <w:pStyle w:val="Listeafsnit1"/>
        <w:spacing w:after="120" w:line="240" w:lineRule="atLeast"/>
        <w:ind w:left="1134" w:right="1134"/>
        <w:jc w:val="both"/>
        <w:rPr>
          <w:rFonts w:ascii="Times New Roman" w:hAnsi="Times New Roman" w:cs="Times New Roman"/>
          <w:sz w:val="20"/>
          <w:szCs w:val="20"/>
          <w:lang w:val="cs-CZ"/>
        </w:rPr>
      </w:pPr>
    </w:p>
    <w:p w14:paraId="0C65BDBD" w14:textId="52756E9E" w:rsidR="004762B3" w:rsidRPr="003A6B71" w:rsidRDefault="00E82683" w:rsidP="001F1323">
      <w:pPr>
        <w:pStyle w:val="Listeafsnit1"/>
        <w:spacing w:after="120" w:line="240" w:lineRule="atLeast"/>
        <w:ind w:left="1134" w:right="1134"/>
        <w:jc w:val="both"/>
        <w:rPr>
          <w:rFonts w:ascii="Times New Roman" w:eastAsia="Times New Roman" w:hAnsi="Times New Roman" w:cs="Times New Roman"/>
          <w:sz w:val="20"/>
          <w:szCs w:val="20"/>
          <w:lang w:val="cs-CZ" w:eastAsia="fr-FR"/>
        </w:rPr>
      </w:pPr>
      <w:r w:rsidRPr="003A6B71">
        <w:rPr>
          <w:rFonts w:ascii="Times New Roman" w:hAnsi="Times New Roman" w:cs="Times New Roman"/>
          <w:sz w:val="20"/>
          <w:szCs w:val="20"/>
          <w:lang w:val="cs-CZ"/>
        </w:rPr>
        <w:t>80</w:t>
      </w:r>
      <w:r w:rsidR="004762B3" w:rsidRPr="003A6B71">
        <w:rPr>
          <w:rFonts w:ascii="Times New Roman" w:hAnsi="Times New Roman" w:cs="Times New Roman"/>
          <w:sz w:val="20"/>
          <w:szCs w:val="20"/>
          <w:lang w:val="cs-CZ"/>
        </w:rPr>
        <w:t>.</w:t>
      </w:r>
      <w:r w:rsidR="004762B3" w:rsidRPr="003A6B71">
        <w:rPr>
          <w:rFonts w:ascii="Times New Roman" w:hAnsi="Times New Roman" w:cs="Times New Roman"/>
          <w:sz w:val="20"/>
          <w:szCs w:val="20"/>
          <w:lang w:val="cs-CZ"/>
        </w:rPr>
        <w:tab/>
      </w:r>
      <w:r w:rsidR="005F322A">
        <w:rPr>
          <w:rFonts w:ascii="Times New Roman" w:hAnsi="Times New Roman" w:cs="Times New Roman"/>
          <w:sz w:val="20"/>
          <w:szCs w:val="20"/>
          <w:lang w:val="cs-CZ"/>
        </w:rPr>
        <w:t xml:space="preserve">Smluvní státy musí dopředu zohledňovat závazek poskytovat podpůrné služby lidem se zdravotním postižením v rámci všech aktivit, týkajících se řízení rizik v souvislosti s katastrofami (čl. 11) a zajistí, že [lidé se zdravotním postižením] nezůstanou </w:t>
      </w:r>
      <w:r w:rsidR="001F1323">
        <w:rPr>
          <w:rFonts w:ascii="Times New Roman" w:hAnsi="Times New Roman" w:cs="Times New Roman"/>
          <w:sz w:val="20"/>
          <w:szCs w:val="20"/>
          <w:lang w:val="cs-CZ"/>
        </w:rPr>
        <w:t xml:space="preserve">[někde] zanecháni nebo zapomenuti. Rovněž je důležité, aby po odeznění situace ozbrojených </w:t>
      </w:r>
      <w:proofErr w:type="spellStart"/>
      <w:r w:rsidR="001F1323">
        <w:rPr>
          <w:rFonts w:ascii="Times New Roman" w:hAnsi="Times New Roman" w:cs="Times New Roman"/>
          <w:sz w:val="20"/>
          <w:szCs w:val="20"/>
          <w:lang w:val="cs-CZ"/>
        </w:rPr>
        <w:t>konflitků</w:t>
      </w:r>
      <w:proofErr w:type="spellEnd"/>
      <w:r w:rsidR="001F1323">
        <w:rPr>
          <w:rFonts w:ascii="Times New Roman" w:hAnsi="Times New Roman" w:cs="Times New Roman"/>
          <w:sz w:val="20"/>
          <w:szCs w:val="20"/>
          <w:lang w:val="cs-CZ"/>
        </w:rPr>
        <w:t>, humanitárních krizí nebo přírodních katastrof nebyly znovu budovány bariéry. Procesy rekonstrukce musí zajistit plnou přístupnost pro nezávislý život lidí se zdravotním postižením v komunitě</w:t>
      </w:r>
      <w:r w:rsidR="001F1323">
        <w:rPr>
          <w:rFonts w:ascii="Times New Roman" w:eastAsia="Times New Roman" w:hAnsi="Times New Roman" w:cs="Times New Roman"/>
          <w:sz w:val="20"/>
          <w:szCs w:val="20"/>
          <w:lang w:val="cs-CZ" w:eastAsia="fr-FR"/>
        </w:rPr>
        <w:t>.</w:t>
      </w:r>
    </w:p>
    <w:p w14:paraId="362CB714" w14:textId="77777777" w:rsidR="004762B3" w:rsidRPr="003A6B71" w:rsidRDefault="004762B3" w:rsidP="00DA4D4E">
      <w:pPr>
        <w:pStyle w:val="Listeafsnit1"/>
        <w:spacing w:after="120" w:line="240" w:lineRule="atLeast"/>
        <w:ind w:left="1134" w:right="1134"/>
        <w:jc w:val="both"/>
        <w:rPr>
          <w:rFonts w:ascii="Times New Roman" w:eastAsia="Times New Roman" w:hAnsi="Times New Roman" w:cs="Times New Roman"/>
          <w:sz w:val="20"/>
          <w:szCs w:val="20"/>
          <w:lang w:val="cs-CZ" w:eastAsia="fr-FR"/>
        </w:rPr>
      </w:pPr>
    </w:p>
    <w:p w14:paraId="6C7855AD" w14:textId="288C267A" w:rsidR="004762B3" w:rsidRPr="003A6B71" w:rsidRDefault="00E82683" w:rsidP="001F1323">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eastAsia="Times New Roman" w:hAnsi="Times New Roman" w:cs="Times New Roman"/>
          <w:sz w:val="20"/>
          <w:szCs w:val="20"/>
          <w:lang w:val="cs-CZ" w:eastAsia="fr-FR"/>
        </w:rPr>
        <w:t>81</w:t>
      </w:r>
      <w:r w:rsidR="004762B3" w:rsidRPr="003A6B71">
        <w:rPr>
          <w:rFonts w:ascii="Times New Roman" w:eastAsia="Times New Roman" w:hAnsi="Times New Roman" w:cs="Times New Roman"/>
          <w:sz w:val="20"/>
          <w:szCs w:val="20"/>
          <w:lang w:val="cs-CZ" w:eastAsia="fr-FR"/>
        </w:rPr>
        <w:t>.</w:t>
      </w:r>
      <w:r w:rsidR="004762B3" w:rsidRPr="003A6B71">
        <w:rPr>
          <w:rFonts w:ascii="Times New Roman" w:eastAsia="Times New Roman" w:hAnsi="Times New Roman" w:cs="Times New Roman"/>
          <w:sz w:val="20"/>
          <w:szCs w:val="20"/>
          <w:lang w:val="cs-CZ" w:eastAsia="fr-FR"/>
        </w:rPr>
        <w:tab/>
      </w:r>
      <w:r w:rsidR="001F1323">
        <w:rPr>
          <w:rFonts w:ascii="Times New Roman" w:hAnsi="Times New Roman" w:cs="Times New Roman"/>
          <w:sz w:val="20"/>
          <w:szCs w:val="20"/>
          <w:lang w:val="cs-CZ"/>
        </w:rPr>
        <w:t xml:space="preserve">Uznání rovnosti před zákonem (čl. 12) zajišťuje, že všichni lidé se zdravotním postižením </w:t>
      </w:r>
      <w:r w:rsidR="005A3836">
        <w:rPr>
          <w:rFonts w:ascii="Times New Roman" w:hAnsi="Times New Roman" w:cs="Times New Roman"/>
          <w:sz w:val="20"/>
          <w:szCs w:val="20"/>
          <w:lang w:val="cs-CZ"/>
        </w:rPr>
        <w:t>budou mít</w:t>
      </w:r>
      <w:r w:rsidR="001F1323">
        <w:rPr>
          <w:rFonts w:ascii="Times New Roman" w:hAnsi="Times New Roman" w:cs="Times New Roman"/>
          <w:sz w:val="20"/>
          <w:szCs w:val="20"/>
          <w:lang w:val="cs-CZ"/>
        </w:rPr>
        <w:t xml:space="preserve"> právo vykonávat svou plnou způsobilost k právním jednáním, a proto mají rovné právo volit a kontrolovat své život tím, že si zvolí kde, s kým a jak chtějí žít a přijímat podporu podle své vůle a preferencí. Za účelem realizace plného přechodu k podporovanému rozhodování a implementace práv zakotvených v čl. 12 je nezbytné, aby lidé se zdravotním postižením měli příležitost rozvíjet a vyjadřovat svou vůli a preference, aby mohli vykonávat svou způsobilost k právním jednáním na rovnoprávném základě s ostatními. Aby tohoto bylo dosaženo, musí být součástí komunity. Podpora při realizaci způsobilosti k právním jednáním by navíc měla být poskytována s využitím komunitního přístupu, který respektuje vůli a preference jednotlivců se zdravotním postižením.</w:t>
      </w:r>
    </w:p>
    <w:p w14:paraId="5F7BBEC3"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16F47CBB" w14:textId="5BA4D562" w:rsidR="001F1323"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8</w:t>
      </w:r>
      <w:r w:rsidR="00E82683" w:rsidRPr="003A6B71">
        <w:rPr>
          <w:rFonts w:ascii="Times New Roman" w:hAnsi="Times New Roman" w:cs="Times New Roman"/>
          <w:sz w:val="20"/>
          <w:szCs w:val="20"/>
          <w:lang w:val="cs-CZ"/>
        </w:rPr>
        <w:t>2</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BE6F34">
        <w:rPr>
          <w:rFonts w:ascii="Times New Roman" w:hAnsi="Times New Roman" w:cs="Times New Roman"/>
          <w:sz w:val="20"/>
          <w:szCs w:val="20"/>
          <w:lang w:val="cs-CZ"/>
        </w:rPr>
        <w:t>Přístup ke spravedlnosti, zakotvený v článku 13, je základem k zajištění pl</w:t>
      </w:r>
      <w:r w:rsidR="005A3836">
        <w:rPr>
          <w:rFonts w:ascii="Times New Roman" w:hAnsi="Times New Roman" w:cs="Times New Roman"/>
          <w:sz w:val="20"/>
          <w:szCs w:val="20"/>
          <w:lang w:val="cs-CZ"/>
        </w:rPr>
        <w:t xml:space="preserve">ného užívání práva žít nezávisle </w:t>
      </w:r>
      <w:r w:rsidR="00BE6F34">
        <w:rPr>
          <w:rFonts w:ascii="Times New Roman" w:hAnsi="Times New Roman" w:cs="Times New Roman"/>
          <w:sz w:val="20"/>
          <w:szCs w:val="20"/>
          <w:lang w:val="cs-CZ"/>
        </w:rPr>
        <w:t xml:space="preserve">v komunitě. Smluvní státy musí zajistit, že všichni lidé se zdravotním postižením budou mít před soudy způsobilost k právním jednáním a procesní status. Smluvní státy </w:t>
      </w:r>
      <w:r w:rsidR="006E4571">
        <w:rPr>
          <w:rFonts w:ascii="Times New Roman" w:hAnsi="Times New Roman" w:cs="Times New Roman"/>
          <w:sz w:val="20"/>
          <w:szCs w:val="20"/>
          <w:lang w:val="cs-CZ"/>
        </w:rPr>
        <w:t>musí navíc zajistit, že všechna rozhodnutí, týkající se nezávislého života v komunitě, budou moci být napadena odvoláním. Podpora pro umožnění nezávislého života v komunitě musí být vymahatelná jako práva a nároky. Pro zajištění rovného a účinného přístupu ke spravedlnosti jsou stěžejní důležitá práva – právo na bezplatnou právní pomoc, podporu a procesní a věku odpovídající úpravy.</w:t>
      </w:r>
    </w:p>
    <w:p w14:paraId="51C26C41" w14:textId="77777777" w:rsidR="004762B3" w:rsidRPr="003A6B71" w:rsidRDefault="004762B3" w:rsidP="00DA4D4E">
      <w:pPr>
        <w:pStyle w:val="Listeafsnit1"/>
        <w:spacing w:after="120" w:line="240" w:lineRule="atLeast"/>
        <w:ind w:left="1134" w:right="1134"/>
        <w:jc w:val="both"/>
        <w:rPr>
          <w:rFonts w:ascii="Times New Roman" w:eastAsia="Times New Roman" w:hAnsi="Times New Roman" w:cs="Times New Roman"/>
          <w:sz w:val="20"/>
          <w:szCs w:val="20"/>
          <w:lang w:val="cs-CZ"/>
        </w:rPr>
      </w:pPr>
    </w:p>
    <w:p w14:paraId="77434D44" w14:textId="326FF0BA" w:rsidR="006E4571" w:rsidRDefault="004762B3" w:rsidP="00DA4D4E">
      <w:pPr>
        <w:pStyle w:val="Listeafsnit1"/>
        <w:spacing w:after="120" w:line="240" w:lineRule="atLeast"/>
        <w:ind w:left="1134" w:right="1134"/>
        <w:jc w:val="both"/>
        <w:rPr>
          <w:rFonts w:ascii="Times New Roman" w:eastAsia="Times New Roman" w:hAnsi="Times New Roman" w:cs="Times New Roman"/>
          <w:sz w:val="20"/>
          <w:szCs w:val="20"/>
          <w:lang w:val="cs-CZ"/>
        </w:rPr>
      </w:pPr>
      <w:r w:rsidRPr="003A6B71">
        <w:rPr>
          <w:rFonts w:ascii="Times New Roman" w:eastAsia="Times New Roman" w:hAnsi="Times New Roman" w:cs="Times New Roman"/>
          <w:sz w:val="20"/>
          <w:szCs w:val="20"/>
          <w:lang w:val="cs-CZ"/>
        </w:rPr>
        <w:t>8</w:t>
      </w:r>
      <w:r w:rsidR="00E82683" w:rsidRPr="003A6B71">
        <w:rPr>
          <w:rFonts w:ascii="Times New Roman" w:eastAsia="Times New Roman" w:hAnsi="Times New Roman" w:cs="Times New Roman"/>
          <w:sz w:val="20"/>
          <w:szCs w:val="20"/>
          <w:lang w:val="cs-CZ"/>
        </w:rPr>
        <w:t>3</w:t>
      </w:r>
      <w:r w:rsidRPr="003A6B71">
        <w:rPr>
          <w:rFonts w:ascii="Times New Roman" w:eastAsia="Times New Roman" w:hAnsi="Times New Roman" w:cs="Times New Roman"/>
          <w:sz w:val="20"/>
          <w:szCs w:val="20"/>
          <w:lang w:val="cs-CZ"/>
        </w:rPr>
        <w:t>.</w:t>
      </w:r>
      <w:r w:rsidRPr="003A6B71">
        <w:rPr>
          <w:rFonts w:ascii="Times New Roman" w:eastAsia="Times New Roman" w:hAnsi="Times New Roman" w:cs="Times New Roman"/>
          <w:sz w:val="20"/>
          <w:szCs w:val="20"/>
          <w:lang w:val="cs-CZ"/>
        </w:rPr>
        <w:tab/>
      </w:r>
      <w:r w:rsidR="006E4571">
        <w:rPr>
          <w:rFonts w:ascii="Times New Roman" w:eastAsia="Times New Roman" w:hAnsi="Times New Roman" w:cs="Times New Roman"/>
          <w:sz w:val="20"/>
          <w:szCs w:val="20"/>
          <w:lang w:val="cs-CZ"/>
        </w:rPr>
        <w:t>Nedobrovolná institucionalizace na základě znevýhodnění nebo k tomu přidružených okolností, jako je předpokládaná „nebezpečnost“ nebo další faktory, které byly popsány v Pokynech Výboru k článku 14, je často způsobena nebo posilována nedostatkem podpůrných služeb specificky určených pro lidi se zdravotním postižením. Implementace článku 19 proto nakonec bude předcházet porušení článku 14.</w:t>
      </w:r>
    </w:p>
    <w:p w14:paraId="1F8F733E" w14:textId="77777777" w:rsidR="004762B3" w:rsidRPr="003A6B71" w:rsidRDefault="004762B3" w:rsidP="00DA4D4E">
      <w:pPr>
        <w:pStyle w:val="Listeafsnit1"/>
        <w:spacing w:after="120" w:line="240" w:lineRule="atLeast"/>
        <w:ind w:left="1134" w:right="1134"/>
        <w:rPr>
          <w:rFonts w:ascii="Times New Roman" w:hAnsi="Times New Roman" w:cs="Times New Roman"/>
          <w:sz w:val="20"/>
          <w:szCs w:val="20"/>
          <w:lang w:val="cs-CZ"/>
        </w:rPr>
      </w:pPr>
    </w:p>
    <w:p w14:paraId="3DA4D9DC" w14:textId="401926A5" w:rsidR="006E4571" w:rsidRDefault="004762B3" w:rsidP="00205504">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8</w:t>
      </w:r>
      <w:r w:rsidR="00E82683" w:rsidRPr="003A6B71">
        <w:rPr>
          <w:rFonts w:ascii="Times New Roman" w:hAnsi="Times New Roman" w:cs="Times New Roman"/>
          <w:sz w:val="20"/>
          <w:szCs w:val="20"/>
          <w:lang w:val="cs-CZ"/>
        </w:rPr>
        <w:t>4</w:t>
      </w:r>
      <w:r w:rsidRPr="003A6B71">
        <w:rPr>
          <w:rFonts w:ascii="Times New Roman" w:hAnsi="Times New Roman" w:cs="Times New Roman"/>
          <w:sz w:val="20"/>
          <w:szCs w:val="20"/>
          <w:lang w:val="cs-CZ"/>
        </w:rPr>
        <w:t>.</w:t>
      </w:r>
      <w:r w:rsidR="006E4571">
        <w:rPr>
          <w:rFonts w:ascii="Times New Roman" w:hAnsi="Times New Roman" w:cs="Times New Roman"/>
          <w:sz w:val="20"/>
          <w:szCs w:val="20"/>
          <w:lang w:val="cs-CZ"/>
        </w:rPr>
        <w:tab/>
      </w:r>
      <w:r w:rsidR="00205504">
        <w:rPr>
          <w:rFonts w:ascii="Times New Roman" w:hAnsi="Times New Roman" w:cs="Times New Roman"/>
          <w:sz w:val="20"/>
          <w:szCs w:val="20"/>
          <w:lang w:val="cs-CZ"/>
        </w:rPr>
        <w:t xml:space="preserve">Nejvyšší důležitosti je zajistit, že podpůrné služby neponechají žádný prostor pro potenciální zneužití, vykořisťování lidí se zdravotním postižením nebo jakékoli násilí proti nim (čl. 16). Monitoring, právní prostředky nápravy a pomoc, které jsou citlivé ke zdravotnímu postižení, genderu a věku, musí být dostupné pro všechny lidi se zdravotním postižením, kteří využívají služby upravené v článku 19 a kteří mohou čelit zneužívání, násilí a vykořisťování. Jelikož instituce má tendenci izolovat ty, kteří v nich žijí, </w:t>
      </w:r>
      <w:r w:rsidR="005A3836">
        <w:rPr>
          <w:rFonts w:ascii="Times New Roman" w:hAnsi="Times New Roman" w:cs="Times New Roman"/>
          <w:sz w:val="20"/>
          <w:szCs w:val="20"/>
          <w:lang w:val="cs-CZ"/>
        </w:rPr>
        <w:t>od zbytku</w:t>
      </w:r>
      <w:r w:rsidR="00205504">
        <w:rPr>
          <w:rFonts w:ascii="Times New Roman" w:hAnsi="Times New Roman" w:cs="Times New Roman"/>
          <w:sz w:val="20"/>
          <w:szCs w:val="20"/>
          <w:lang w:val="cs-CZ"/>
        </w:rPr>
        <w:t xml:space="preserve"> komunity, institucionalizované ženy a dívky se zdravotním postižením jsou navíc více ohrožené genderově </w:t>
      </w:r>
      <w:r w:rsidR="00414FBB">
        <w:rPr>
          <w:rFonts w:ascii="Times New Roman" w:hAnsi="Times New Roman" w:cs="Times New Roman"/>
          <w:sz w:val="20"/>
          <w:szCs w:val="20"/>
          <w:lang w:val="cs-CZ"/>
        </w:rPr>
        <w:t xml:space="preserve">motivovaným </w:t>
      </w:r>
      <w:r w:rsidR="00205504">
        <w:rPr>
          <w:rFonts w:ascii="Times New Roman" w:hAnsi="Times New Roman" w:cs="Times New Roman"/>
          <w:sz w:val="20"/>
          <w:szCs w:val="20"/>
          <w:lang w:val="cs-CZ"/>
        </w:rPr>
        <w:t>násilí</w:t>
      </w:r>
      <w:r w:rsidR="00414FBB">
        <w:rPr>
          <w:rFonts w:ascii="Times New Roman" w:hAnsi="Times New Roman" w:cs="Times New Roman"/>
          <w:sz w:val="20"/>
          <w:szCs w:val="20"/>
          <w:lang w:val="cs-CZ"/>
        </w:rPr>
        <w:t>m</w:t>
      </w:r>
      <w:r w:rsidR="00205504">
        <w:rPr>
          <w:rFonts w:ascii="Times New Roman" w:hAnsi="Times New Roman" w:cs="Times New Roman"/>
          <w:sz w:val="20"/>
          <w:szCs w:val="20"/>
          <w:lang w:val="cs-CZ"/>
        </w:rPr>
        <w:t xml:space="preserve">, včetně nucené sterilizace, sexuálního a fyzického zneužívání, emocionálního zneužívání a další izolace. Rovněž čelí zvýšeným překážkám pro </w:t>
      </w:r>
      <w:r w:rsidR="005A3836">
        <w:rPr>
          <w:rFonts w:ascii="Times New Roman" w:hAnsi="Times New Roman" w:cs="Times New Roman"/>
          <w:sz w:val="20"/>
          <w:szCs w:val="20"/>
          <w:lang w:val="cs-CZ"/>
        </w:rPr>
        <w:t>to, aby to</w:t>
      </w:r>
      <w:r w:rsidR="00205504">
        <w:rPr>
          <w:rFonts w:ascii="Times New Roman" w:hAnsi="Times New Roman" w:cs="Times New Roman"/>
          <w:sz w:val="20"/>
          <w:szCs w:val="20"/>
          <w:lang w:val="cs-CZ"/>
        </w:rPr>
        <w:t>to násilí</w:t>
      </w:r>
      <w:r w:rsidR="005A3836">
        <w:rPr>
          <w:rFonts w:ascii="Times New Roman" w:hAnsi="Times New Roman" w:cs="Times New Roman"/>
          <w:sz w:val="20"/>
          <w:szCs w:val="20"/>
          <w:lang w:val="cs-CZ"/>
        </w:rPr>
        <w:t xml:space="preserve"> mohly ohlásit</w:t>
      </w:r>
      <w:r w:rsidR="00205504">
        <w:rPr>
          <w:rFonts w:ascii="Times New Roman" w:hAnsi="Times New Roman" w:cs="Times New Roman"/>
          <w:sz w:val="20"/>
          <w:szCs w:val="20"/>
          <w:lang w:val="cs-CZ"/>
        </w:rPr>
        <w:t xml:space="preserve">. Je nezbytné, aby </w:t>
      </w:r>
      <w:r w:rsidR="00414FBB">
        <w:rPr>
          <w:rFonts w:ascii="Times New Roman" w:hAnsi="Times New Roman" w:cs="Times New Roman"/>
          <w:sz w:val="20"/>
          <w:szCs w:val="20"/>
          <w:lang w:val="cs-CZ"/>
        </w:rPr>
        <w:t>státy zahrnuly tyto</w:t>
      </w:r>
      <w:r w:rsidR="005A3836">
        <w:rPr>
          <w:rFonts w:ascii="Times New Roman" w:hAnsi="Times New Roman" w:cs="Times New Roman"/>
          <w:sz w:val="20"/>
          <w:szCs w:val="20"/>
          <w:lang w:val="cs-CZ"/>
        </w:rPr>
        <w:t xml:space="preserve"> otázky do svého monitoringu</w:t>
      </w:r>
      <w:r w:rsidR="00414FBB">
        <w:rPr>
          <w:rFonts w:ascii="Times New Roman" w:hAnsi="Times New Roman" w:cs="Times New Roman"/>
          <w:sz w:val="20"/>
          <w:szCs w:val="20"/>
          <w:lang w:val="cs-CZ"/>
        </w:rPr>
        <w:t xml:space="preserve"> institucí a zajistily přístup k odškodnění ženám se zdravotním postižením, které byly vystaveny genderově motivovanému násilí v institucích.</w:t>
      </w:r>
    </w:p>
    <w:p w14:paraId="534CE5D0" w14:textId="77777777" w:rsidR="00205504" w:rsidRDefault="00205504" w:rsidP="00DA4D4E">
      <w:pPr>
        <w:pStyle w:val="Listeafsnit1"/>
        <w:spacing w:after="120" w:line="240" w:lineRule="atLeast"/>
        <w:ind w:left="1134" w:right="1134"/>
        <w:jc w:val="both"/>
        <w:rPr>
          <w:rFonts w:ascii="Times New Roman" w:hAnsi="Times New Roman" w:cs="Times New Roman"/>
          <w:sz w:val="20"/>
          <w:szCs w:val="20"/>
          <w:lang w:val="cs-CZ"/>
        </w:rPr>
      </w:pPr>
    </w:p>
    <w:p w14:paraId="0B1356E0" w14:textId="084108E8" w:rsidR="00414FBB"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ab/>
        <w:t>8</w:t>
      </w:r>
      <w:r w:rsidR="00E82683" w:rsidRPr="003A6B71">
        <w:rPr>
          <w:rFonts w:ascii="Times New Roman" w:hAnsi="Times New Roman" w:cs="Times New Roman"/>
          <w:sz w:val="20"/>
          <w:szCs w:val="20"/>
          <w:lang w:val="cs-CZ"/>
        </w:rPr>
        <w:t>5</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414FBB">
        <w:rPr>
          <w:rFonts w:ascii="Times New Roman" w:hAnsi="Times New Roman" w:cs="Times New Roman"/>
          <w:sz w:val="20"/>
          <w:szCs w:val="20"/>
          <w:lang w:val="cs-CZ"/>
        </w:rPr>
        <w:t xml:space="preserve">Bez podpory osobní mobility (čl. 20) budou pro mnoho lidí se zdravotním postižením přetrvávat překážky pro nezávislý život v komunitě. Poskytnutí cenově přístupných a dostupných kvalitních kompenzačních pomůcek, zařízení, podpůrných </w:t>
      </w:r>
      <w:r w:rsidR="00414FBB">
        <w:rPr>
          <w:rFonts w:ascii="Times New Roman" w:hAnsi="Times New Roman" w:cs="Times New Roman"/>
          <w:sz w:val="20"/>
          <w:szCs w:val="20"/>
          <w:lang w:val="cs-CZ"/>
        </w:rPr>
        <w:lastRenderedPageBreak/>
        <w:t xml:space="preserve">technologií a živé asistence a prostředníků, jak jsou zakotveny v článku 20 je podmínkou pro plnou inkluzi a participaci lidí se zdravotním postižením ve svých komunitách. </w:t>
      </w:r>
    </w:p>
    <w:p w14:paraId="78E6F625" w14:textId="225ADD45" w:rsidR="00414FBB" w:rsidRDefault="00414FBB" w:rsidP="00DA4D4E">
      <w:pPr>
        <w:pStyle w:val="Listeafsnit1"/>
        <w:spacing w:after="120" w:line="240" w:lineRule="atLeast"/>
        <w:ind w:left="1134" w:right="1134"/>
        <w:jc w:val="both"/>
        <w:rPr>
          <w:rFonts w:ascii="Times New Roman" w:hAnsi="Times New Roman" w:cs="Times New Roman"/>
          <w:sz w:val="20"/>
          <w:szCs w:val="20"/>
          <w:lang w:val="cs-CZ"/>
        </w:rPr>
      </w:pPr>
    </w:p>
    <w:p w14:paraId="6B89F914" w14:textId="134DAA7C" w:rsidR="00414FBB"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8</w:t>
      </w:r>
      <w:r w:rsidR="00E82683" w:rsidRPr="003A6B71">
        <w:rPr>
          <w:rFonts w:ascii="Times New Roman" w:hAnsi="Times New Roman" w:cs="Times New Roman"/>
          <w:sz w:val="20"/>
          <w:szCs w:val="20"/>
          <w:lang w:val="cs-CZ"/>
        </w:rPr>
        <w:t>6</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414FBB">
        <w:rPr>
          <w:rFonts w:ascii="Times New Roman" w:hAnsi="Times New Roman" w:cs="Times New Roman"/>
          <w:sz w:val="20"/>
          <w:szCs w:val="20"/>
          <w:lang w:val="cs-CZ"/>
        </w:rPr>
        <w:t>Lidé se zdravotním postižením mají právo na přístup ke všem veřejným informacím v přístupných form</w:t>
      </w:r>
      <w:r w:rsidR="001F17D1">
        <w:rPr>
          <w:rFonts w:ascii="Times New Roman" w:hAnsi="Times New Roman" w:cs="Times New Roman"/>
          <w:sz w:val="20"/>
          <w:szCs w:val="20"/>
          <w:lang w:val="cs-CZ"/>
        </w:rPr>
        <w:t xml:space="preserve">átech, jakož i právo vyhledávat, přijímat a </w:t>
      </w:r>
      <w:r w:rsidR="00933FCE">
        <w:rPr>
          <w:rFonts w:ascii="Times New Roman" w:hAnsi="Times New Roman" w:cs="Times New Roman"/>
          <w:sz w:val="20"/>
          <w:szCs w:val="20"/>
          <w:lang w:val="cs-CZ"/>
        </w:rPr>
        <w:t>rozšiřovat</w:t>
      </w:r>
      <w:r w:rsidR="001F17D1">
        <w:rPr>
          <w:rFonts w:ascii="Times New Roman" w:hAnsi="Times New Roman" w:cs="Times New Roman"/>
          <w:sz w:val="20"/>
          <w:szCs w:val="20"/>
          <w:lang w:val="cs-CZ"/>
        </w:rPr>
        <w:t xml:space="preserve"> informace a myšlenky na rovnoprávném základě s ostatními (čl. 21).</w:t>
      </w:r>
      <w:r w:rsidR="00933FCE">
        <w:rPr>
          <w:rFonts w:ascii="Times New Roman" w:hAnsi="Times New Roman" w:cs="Times New Roman"/>
          <w:sz w:val="20"/>
          <w:szCs w:val="20"/>
          <w:lang w:val="cs-CZ"/>
        </w:rPr>
        <w:t xml:space="preserve"> Komunikace může být zajištěna ve </w:t>
      </w:r>
      <w:proofErr w:type="spellStart"/>
      <w:r w:rsidR="00933FCE">
        <w:rPr>
          <w:rFonts w:ascii="Times New Roman" w:hAnsi="Times New Roman" w:cs="Times New Roman"/>
          <w:sz w:val="20"/>
          <w:szCs w:val="20"/>
          <w:lang w:val="cs-CZ"/>
        </w:rPr>
        <w:t>vech</w:t>
      </w:r>
      <w:proofErr w:type="spellEnd"/>
      <w:r w:rsidR="00933FCE">
        <w:rPr>
          <w:rFonts w:ascii="Times New Roman" w:hAnsi="Times New Roman" w:cs="Times New Roman"/>
          <w:sz w:val="20"/>
          <w:szCs w:val="20"/>
          <w:lang w:val="cs-CZ"/>
        </w:rPr>
        <w:t xml:space="preserve"> formách a formátech podle jejich výběru, včetně Braillova písma, znakového jazyka, hmatu, </w:t>
      </w:r>
      <w:proofErr w:type="spellStart"/>
      <w:r w:rsidR="00933FCE">
        <w:rPr>
          <w:rFonts w:ascii="Times New Roman" w:hAnsi="Times New Roman" w:cs="Times New Roman"/>
          <w:sz w:val="20"/>
          <w:szCs w:val="20"/>
          <w:lang w:val="cs-CZ"/>
        </w:rPr>
        <w:t>easy</w:t>
      </w:r>
      <w:proofErr w:type="spellEnd"/>
      <w:r w:rsidR="00933FCE">
        <w:rPr>
          <w:rFonts w:ascii="Times New Roman" w:hAnsi="Times New Roman" w:cs="Times New Roman"/>
          <w:sz w:val="20"/>
          <w:szCs w:val="20"/>
          <w:lang w:val="cs-CZ"/>
        </w:rPr>
        <w:t>-to-</w:t>
      </w:r>
      <w:proofErr w:type="spellStart"/>
      <w:r w:rsidR="00933FCE">
        <w:rPr>
          <w:rFonts w:ascii="Times New Roman" w:hAnsi="Times New Roman" w:cs="Times New Roman"/>
          <w:sz w:val="20"/>
          <w:szCs w:val="20"/>
          <w:lang w:val="cs-CZ"/>
        </w:rPr>
        <w:t>read</w:t>
      </w:r>
      <w:proofErr w:type="spellEnd"/>
      <w:r w:rsidR="00933FCE">
        <w:rPr>
          <w:rFonts w:ascii="Times New Roman" w:hAnsi="Times New Roman" w:cs="Times New Roman"/>
          <w:sz w:val="20"/>
          <w:szCs w:val="20"/>
          <w:lang w:val="cs-CZ"/>
        </w:rPr>
        <w:t xml:space="preserve"> formátů a alternativních způsobů, prostředků a formátů komunikace. Je důležité, aby komunikace a informace mohly téct v obou směrech a aby služby a zařízení byly přístupné jednotlivcům, kteří využívají různé způsoby komunikace. Obzvláště důležité je, aby byly z rozličných zdrojů přístupné a dostupné informac</w:t>
      </w:r>
      <w:r w:rsidR="005A3836">
        <w:rPr>
          <w:rFonts w:ascii="Times New Roman" w:hAnsi="Times New Roman" w:cs="Times New Roman"/>
          <w:sz w:val="20"/>
          <w:szCs w:val="20"/>
          <w:lang w:val="cs-CZ"/>
        </w:rPr>
        <w:t>e</w:t>
      </w:r>
      <w:r w:rsidR="00933FCE">
        <w:rPr>
          <w:rFonts w:ascii="Times New Roman" w:hAnsi="Times New Roman" w:cs="Times New Roman"/>
          <w:sz w:val="20"/>
          <w:szCs w:val="20"/>
          <w:lang w:val="cs-CZ"/>
        </w:rPr>
        <w:t xml:space="preserve"> o podpůrných službách a schématech sociální ochrany, včetně mechanismů vztahujících se ke zdravotnímu postižením, aby lidé se zdravotním postižení</w:t>
      </w:r>
      <w:r w:rsidR="005A3836">
        <w:rPr>
          <w:rFonts w:ascii="Times New Roman" w:hAnsi="Times New Roman" w:cs="Times New Roman"/>
          <w:sz w:val="20"/>
          <w:szCs w:val="20"/>
          <w:lang w:val="cs-CZ"/>
        </w:rPr>
        <w:t>m mohli</w:t>
      </w:r>
      <w:r w:rsidR="00933FCE">
        <w:rPr>
          <w:rFonts w:ascii="Times New Roman" w:hAnsi="Times New Roman" w:cs="Times New Roman"/>
          <w:sz w:val="20"/>
          <w:szCs w:val="20"/>
          <w:lang w:val="cs-CZ"/>
        </w:rPr>
        <w:t xml:space="preserve"> činit plně informovaná rozhodnutí a volbu o tom kde, s kým a jak žít a jaký druh služeb jim nejlépe vyhovuje. Je rovněž kriticky důležité, aby byly přístupné komunikační mechanismy pro podávání zpětné vazby a stížností.</w:t>
      </w:r>
    </w:p>
    <w:p w14:paraId="14AA0465"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59774E83" w14:textId="320B1765" w:rsidR="004762B3" w:rsidRPr="003A6B71" w:rsidRDefault="004762B3" w:rsidP="00CB4AD8">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8</w:t>
      </w:r>
      <w:r w:rsidR="00E82683" w:rsidRPr="003A6B71">
        <w:rPr>
          <w:rFonts w:ascii="Times New Roman" w:hAnsi="Times New Roman" w:cs="Times New Roman"/>
          <w:sz w:val="20"/>
          <w:szCs w:val="20"/>
          <w:lang w:val="cs-CZ"/>
        </w:rPr>
        <w:t>7</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933FCE">
        <w:rPr>
          <w:rFonts w:ascii="Times New Roman" w:hAnsi="Times New Roman" w:cs="Times New Roman"/>
          <w:sz w:val="20"/>
          <w:szCs w:val="20"/>
          <w:lang w:val="cs-CZ"/>
        </w:rPr>
        <w:t>Smluvní státy by měly zajistit, že při poskytování podpůrných služeb podle článku 19 bude před nezákonnými zásahy chráněno soukromí, rodina, domov, korespondence a čest lidí se zdravotním postižením (čl. 22). V případě jakéhokoli nezákonného zásahu musí být všem lidem se</w:t>
      </w:r>
      <w:r w:rsidR="00CB4AD8">
        <w:rPr>
          <w:rFonts w:ascii="Times New Roman" w:hAnsi="Times New Roman" w:cs="Times New Roman"/>
          <w:sz w:val="20"/>
          <w:szCs w:val="20"/>
          <w:lang w:val="cs-CZ"/>
        </w:rPr>
        <w:t xml:space="preserve"> zdravotním postižením, kteří využívají podporu služeb, dostupný genderově i k věku citlivý </w:t>
      </w:r>
      <w:r w:rsidR="00933FCE">
        <w:rPr>
          <w:rFonts w:ascii="Times New Roman" w:hAnsi="Times New Roman" w:cs="Times New Roman"/>
          <w:sz w:val="20"/>
          <w:szCs w:val="20"/>
          <w:lang w:val="cs-CZ"/>
        </w:rPr>
        <w:t>monitoring, prá</w:t>
      </w:r>
      <w:r w:rsidR="00CB4AD8">
        <w:rPr>
          <w:rFonts w:ascii="Times New Roman" w:hAnsi="Times New Roman" w:cs="Times New Roman"/>
          <w:sz w:val="20"/>
          <w:szCs w:val="20"/>
          <w:lang w:val="cs-CZ"/>
        </w:rPr>
        <w:t>vní prostředky nápravy a pomoc.</w:t>
      </w:r>
    </w:p>
    <w:p w14:paraId="510BDDCB"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025E1495" w14:textId="1F0FCD38" w:rsidR="00CB4AD8"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8</w:t>
      </w:r>
      <w:r w:rsidR="00E82683" w:rsidRPr="003A6B71">
        <w:rPr>
          <w:rFonts w:ascii="Times New Roman" w:hAnsi="Times New Roman" w:cs="Times New Roman"/>
          <w:sz w:val="20"/>
          <w:szCs w:val="20"/>
          <w:lang w:val="cs-CZ"/>
        </w:rPr>
        <w:t>8</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CB4AD8">
        <w:rPr>
          <w:rFonts w:ascii="Times New Roman" w:hAnsi="Times New Roman" w:cs="Times New Roman"/>
          <w:sz w:val="20"/>
          <w:szCs w:val="20"/>
          <w:lang w:val="cs-CZ"/>
        </w:rPr>
        <w:t xml:space="preserve">Právo žít nezávisle v komunitě je </w:t>
      </w:r>
      <w:r w:rsidR="00862445">
        <w:rPr>
          <w:rFonts w:ascii="Times New Roman" w:hAnsi="Times New Roman" w:cs="Times New Roman"/>
          <w:sz w:val="20"/>
          <w:szCs w:val="20"/>
          <w:lang w:val="cs-CZ"/>
        </w:rPr>
        <w:t xml:space="preserve">ze své podstaty spjato </w:t>
      </w:r>
      <w:r w:rsidR="00CB4AD8">
        <w:rPr>
          <w:rFonts w:ascii="Times New Roman" w:hAnsi="Times New Roman" w:cs="Times New Roman"/>
          <w:sz w:val="20"/>
          <w:szCs w:val="20"/>
          <w:lang w:val="cs-CZ"/>
        </w:rPr>
        <w:t xml:space="preserve">s právem na rodinu pro děti a rodiče se zdravotním postižením (čl. 23). Pokud neexistuje komunitní podpora a služby, může to vytvářet finanční tlak a překážky pro rodiny lidí se zdravotním postižením; práva zakotvená v článku 23 Úmluvy jsou stěžejní pro předcházení odebírání dětí z jejich rodin a jejich institucionalizaci, stejně jako pro podporu rodin v komunitním životě. Tato práva jsou stejně důležitá pro to, aby děti nebyly odebírány svým rodičům z důvodu zdravotního postižení těchto rodičů. Smluvní státy by měly poskytovat informace, vedení a podporu rodinám při prosazování práv jejich dětí a prosazovat inkluzi a participaci v rámci komunity. </w:t>
      </w:r>
    </w:p>
    <w:p w14:paraId="2C2E7234"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06A85B64" w14:textId="3DABCB18" w:rsidR="004762B3" w:rsidRDefault="004762B3" w:rsidP="00862445">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8</w:t>
      </w:r>
      <w:r w:rsidR="00E82683" w:rsidRPr="003A6B71">
        <w:rPr>
          <w:rFonts w:ascii="Times New Roman" w:hAnsi="Times New Roman" w:cs="Times New Roman"/>
          <w:sz w:val="20"/>
          <w:szCs w:val="20"/>
          <w:lang w:val="cs-CZ"/>
        </w:rPr>
        <w:t>9</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862445">
        <w:rPr>
          <w:rFonts w:ascii="Times New Roman" w:hAnsi="Times New Roman" w:cs="Times New Roman"/>
          <w:sz w:val="20"/>
          <w:szCs w:val="20"/>
          <w:lang w:val="cs-CZ"/>
        </w:rPr>
        <w:t>Nezávislé žití a začlenění do komunity je ze své podstaty spjato s inkluzivním vzděláváním (čl. 24) vyžaduje uznání práva lidí se zdravotním postižením žít nezávisle a užívat inkluzi a participaci v rámci komunity</w:t>
      </w:r>
      <w:r w:rsidRPr="003A6B71">
        <w:rPr>
          <w:rFonts w:ascii="Times New Roman" w:hAnsi="Times New Roman" w:cs="Times New Roman"/>
          <w:sz w:val="20"/>
          <w:szCs w:val="20"/>
          <w:lang w:val="cs-CZ"/>
        </w:rPr>
        <w:t>.</w:t>
      </w:r>
      <w:r w:rsidRPr="003A6B71">
        <w:rPr>
          <w:rStyle w:val="Znakapoznpodarou"/>
          <w:rFonts w:cs="Times New Roman"/>
          <w:sz w:val="20"/>
          <w:szCs w:val="20"/>
          <w:lang w:val="cs-CZ"/>
        </w:rPr>
        <w:footnoteReference w:id="14"/>
      </w:r>
      <w:r w:rsidRPr="003A6B71">
        <w:rPr>
          <w:rFonts w:ascii="Times New Roman" w:hAnsi="Times New Roman" w:cs="Times New Roman"/>
          <w:sz w:val="20"/>
          <w:szCs w:val="20"/>
          <w:lang w:val="cs-CZ"/>
        </w:rPr>
        <w:t xml:space="preserve"> </w:t>
      </w:r>
      <w:r w:rsidR="00862445">
        <w:rPr>
          <w:rFonts w:ascii="Times New Roman" w:hAnsi="Times New Roman" w:cs="Times New Roman"/>
          <w:sz w:val="20"/>
          <w:szCs w:val="20"/>
          <w:lang w:val="cs-CZ"/>
        </w:rPr>
        <w:t xml:space="preserve">Inkluze lidí se zdravotním postižením do hlavního </w:t>
      </w:r>
      <w:proofErr w:type="spellStart"/>
      <w:r w:rsidR="00862445">
        <w:rPr>
          <w:rFonts w:ascii="Times New Roman" w:hAnsi="Times New Roman" w:cs="Times New Roman"/>
          <w:sz w:val="20"/>
          <w:szCs w:val="20"/>
          <w:lang w:val="cs-CZ"/>
        </w:rPr>
        <w:t>vzdělávajícho</w:t>
      </w:r>
      <w:proofErr w:type="spellEnd"/>
      <w:r w:rsidR="00862445">
        <w:rPr>
          <w:rFonts w:ascii="Times New Roman" w:hAnsi="Times New Roman" w:cs="Times New Roman"/>
          <w:sz w:val="20"/>
          <w:szCs w:val="20"/>
          <w:lang w:val="cs-CZ"/>
        </w:rPr>
        <w:t xml:space="preserve"> systému generuje další inkluzi lidí se zdravotní postižením do komunity. Deinstitucionalizace rovněž zahrnuje</w:t>
      </w:r>
      <w:r w:rsidR="008D5567">
        <w:rPr>
          <w:rFonts w:ascii="Times New Roman" w:hAnsi="Times New Roman" w:cs="Times New Roman"/>
          <w:sz w:val="20"/>
          <w:szCs w:val="20"/>
          <w:lang w:val="cs-CZ"/>
        </w:rPr>
        <w:t xml:space="preserve"> zavedení inkluzivního vzdělávání</w:t>
      </w:r>
      <w:r w:rsidR="00862445">
        <w:rPr>
          <w:rFonts w:ascii="Times New Roman" w:hAnsi="Times New Roman" w:cs="Times New Roman"/>
          <w:sz w:val="20"/>
          <w:szCs w:val="20"/>
          <w:lang w:val="cs-CZ"/>
        </w:rPr>
        <w:t>. Smluvní státy by měly zaznamenat, jakou roli bude realizace práva na inkluzivní vzdělávání hrát při budování silných stránek, dovedností a kompetencí nezbytných pro všechny lidi se zdravotním postižením pro to, aby mohli užívat své komunity, mít z </w:t>
      </w:r>
      <w:r w:rsidR="008D5567">
        <w:rPr>
          <w:rFonts w:ascii="Times New Roman" w:hAnsi="Times New Roman" w:cs="Times New Roman"/>
          <w:sz w:val="20"/>
          <w:szCs w:val="20"/>
          <w:lang w:val="cs-CZ"/>
        </w:rPr>
        <w:t>ní</w:t>
      </w:r>
      <w:r w:rsidR="00862445">
        <w:rPr>
          <w:rFonts w:ascii="Times New Roman" w:hAnsi="Times New Roman" w:cs="Times New Roman"/>
          <w:sz w:val="20"/>
          <w:szCs w:val="20"/>
          <w:lang w:val="cs-CZ"/>
        </w:rPr>
        <w:t xml:space="preserve"> prospět a přispívat </w:t>
      </w:r>
      <w:r w:rsidR="008D5567">
        <w:rPr>
          <w:rFonts w:ascii="Times New Roman" w:hAnsi="Times New Roman" w:cs="Times New Roman"/>
          <w:sz w:val="20"/>
          <w:szCs w:val="20"/>
          <w:lang w:val="cs-CZ"/>
        </w:rPr>
        <w:t>jí</w:t>
      </w:r>
      <w:r w:rsidR="00862445">
        <w:rPr>
          <w:rFonts w:ascii="Times New Roman" w:hAnsi="Times New Roman" w:cs="Times New Roman"/>
          <w:sz w:val="20"/>
          <w:szCs w:val="20"/>
          <w:lang w:val="cs-CZ"/>
        </w:rPr>
        <w:t xml:space="preserve">. </w:t>
      </w:r>
    </w:p>
    <w:p w14:paraId="7B1A7BD1" w14:textId="77777777" w:rsidR="00862445" w:rsidRPr="003A6B71" w:rsidRDefault="00862445" w:rsidP="00862445">
      <w:pPr>
        <w:pStyle w:val="Listeafsnit1"/>
        <w:spacing w:after="120" w:line="240" w:lineRule="atLeast"/>
        <w:ind w:left="1134" w:right="1134"/>
        <w:jc w:val="both"/>
        <w:rPr>
          <w:rFonts w:ascii="Times New Roman" w:hAnsi="Times New Roman" w:cs="Times New Roman"/>
          <w:sz w:val="20"/>
          <w:szCs w:val="20"/>
          <w:lang w:val="cs-CZ"/>
        </w:rPr>
      </w:pPr>
    </w:p>
    <w:p w14:paraId="68E72374" w14:textId="5C423558" w:rsidR="00862445" w:rsidRDefault="00E8268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90</w:t>
      </w:r>
      <w:r w:rsidR="004762B3" w:rsidRPr="003A6B71">
        <w:rPr>
          <w:rFonts w:ascii="Times New Roman" w:hAnsi="Times New Roman" w:cs="Times New Roman"/>
          <w:sz w:val="20"/>
          <w:szCs w:val="20"/>
          <w:lang w:val="cs-CZ"/>
        </w:rPr>
        <w:t>.</w:t>
      </w:r>
      <w:r w:rsidR="004762B3" w:rsidRPr="003A6B71">
        <w:rPr>
          <w:rFonts w:ascii="Times New Roman" w:hAnsi="Times New Roman" w:cs="Times New Roman"/>
          <w:sz w:val="20"/>
          <w:szCs w:val="20"/>
          <w:lang w:val="cs-CZ"/>
        </w:rPr>
        <w:tab/>
      </w:r>
      <w:r w:rsidR="00862445">
        <w:rPr>
          <w:rFonts w:ascii="Times New Roman" w:hAnsi="Times New Roman" w:cs="Times New Roman"/>
          <w:sz w:val="20"/>
          <w:szCs w:val="20"/>
          <w:lang w:val="cs-CZ"/>
        </w:rPr>
        <w:t>Obecná zdravotnická zařízení a s</w:t>
      </w:r>
      <w:r w:rsidR="00733E94">
        <w:rPr>
          <w:rFonts w:ascii="Times New Roman" w:hAnsi="Times New Roman" w:cs="Times New Roman"/>
          <w:sz w:val="20"/>
          <w:szCs w:val="20"/>
          <w:lang w:val="cs-CZ"/>
        </w:rPr>
        <w:t>lužby (čl. 25) musí být dostupné, přístupné, přizpůsobitelné a přijatelné</w:t>
      </w:r>
      <w:r w:rsidR="00862445">
        <w:rPr>
          <w:rFonts w:ascii="Times New Roman" w:hAnsi="Times New Roman" w:cs="Times New Roman"/>
          <w:sz w:val="20"/>
          <w:szCs w:val="20"/>
          <w:lang w:val="cs-CZ"/>
        </w:rPr>
        <w:t xml:space="preserve"> pro lidi se zdravotním postižením v jejich komunitách, včetně </w:t>
      </w:r>
      <w:r w:rsidR="00733E94">
        <w:rPr>
          <w:rFonts w:ascii="Times New Roman" w:hAnsi="Times New Roman" w:cs="Times New Roman"/>
          <w:sz w:val="20"/>
          <w:szCs w:val="20"/>
          <w:lang w:val="cs-CZ"/>
        </w:rPr>
        <w:t>žádoucí</w:t>
      </w:r>
      <w:r w:rsidR="00686815">
        <w:rPr>
          <w:rFonts w:ascii="Times New Roman" w:hAnsi="Times New Roman" w:cs="Times New Roman"/>
          <w:sz w:val="20"/>
          <w:szCs w:val="20"/>
          <w:lang w:val="cs-CZ"/>
        </w:rPr>
        <w:t xml:space="preserve"> </w:t>
      </w:r>
      <w:r w:rsidR="00CC3F9E">
        <w:rPr>
          <w:rFonts w:ascii="Times New Roman" w:hAnsi="Times New Roman" w:cs="Times New Roman"/>
          <w:sz w:val="20"/>
          <w:szCs w:val="20"/>
          <w:lang w:val="cs-CZ"/>
        </w:rPr>
        <w:t>podpory, kterou potřebují někteří lidé se zdravotním postižením (s komplexními komunikačními potřebami, psychosociálním postižením, mentáln</w:t>
      </w:r>
      <w:r w:rsidR="00733E94">
        <w:rPr>
          <w:rFonts w:ascii="Times New Roman" w:hAnsi="Times New Roman" w:cs="Times New Roman"/>
          <w:sz w:val="20"/>
          <w:szCs w:val="20"/>
          <w:lang w:val="cs-CZ"/>
        </w:rPr>
        <w:t>ím postižením a/nebo neslyšící</w:t>
      </w:r>
      <w:r w:rsidR="00CC3F9E">
        <w:rPr>
          <w:rFonts w:ascii="Times New Roman" w:hAnsi="Times New Roman" w:cs="Times New Roman"/>
          <w:sz w:val="20"/>
          <w:szCs w:val="20"/>
          <w:lang w:val="cs-CZ"/>
        </w:rPr>
        <w:t xml:space="preserve"> lidí) během hospitalizace, operačních zákroků a lékařských konzultací. Zajištění dostupnosti zdravotních sester, fyzioterapeutů, psychiatrů a psychologů v nemocnicích stejně jako doma je součástí zdravotní péče a nemělo by být vnímáno jako naplnění závazků smluvních států vyplývajících z článku 19, nýbrž z článku 25. </w:t>
      </w:r>
    </w:p>
    <w:p w14:paraId="7AA9B578" w14:textId="77777777" w:rsidR="004762B3" w:rsidRPr="003A6B71" w:rsidRDefault="004762B3" w:rsidP="00DA4D4E">
      <w:pPr>
        <w:pStyle w:val="Listeafsnit1"/>
        <w:spacing w:after="120" w:line="240" w:lineRule="atLeast"/>
        <w:ind w:left="1134" w:right="1134"/>
        <w:rPr>
          <w:rFonts w:ascii="Times New Roman" w:hAnsi="Times New Roman" w:cs="Times New Roman"/>
          <w:sz w:val="20"/>
          <w:szCs w:val="20"/>
          <w:lang w:val="cs-CZ"/>
        </w:rPr>
      </w:pPr>
    </w:p>
    <w:p w14:paraId="40167DE6" w14:textId="18016C4B" w:rsidR="00CC3F9E" w:rsidRDefault="00E8268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91</w:t>
      </w:r>
      <w:r w:rsidR="004762B3" w:rsidRPr="003A6B71">
        <w:rPr>
          <w:rFonts w:ascii="Times New Roman" w:hAnsi="Times New Roman" w:cs="Times New Roman"/>
          <w:sz w:val="20"/>
          <w:szCs w:val="20"/>
          <w:lang w:val="cs-CZ"/>
        </w:rPr>
        <w:t>.</w:t>
      </w:r>
      <w:r w:rsidR="004762B3" w:rsidRPr="003A6B71">
        <w:rPr>
          <w:rFonts w:ascii="Times New Roman" w:hAnsi="Times New Roman" w:cs="Times New Roman"/>
          <w:sz w:val="20"/>
          <w:szCs w:val="20"/>
          <w:lang w:val="cs-CZ"/>
        </w:rPr>
        <w:tab/>
      </w:r>
      <w:r w:rsidR="00CC3F9E">
        <w:rPr>
          <w:rFonts w:ascii="Times New Roman" w:hAnsi="Times New Roman" w:cs="Times New Roman"/>
          <w:sz w:val="20"/>
          <w:szCs w:val="20"/>
          <w:lang w:val="cs-CZ"/>
        </w:rPr>
        <w:t xml:space="preserve">Existuje zde vzájemná provázanost mezi nezávislým žitím v komunitě, habilitací a rehabilitací (čl. 26). Pro některé lidi </w:t>
      </w:r>
      <w:r w:rsidR="00016B0D">
        <w:rPr>
          <w:rFonts w:ascii="Times New Roman" w:hAnsi="Times New Roman" w:cs="Times New Roman"/>
          <w:sz w:val="20"/>
          <w:szCs w:val="20"/>
          <w:lang w:val="cs-CZ"/>
        </w:rPr>
        <w:t xml:space="preserve">se zdravotním postižením není zapojení (participace) do rehabilitačních služeb možné, pokud jim není poskytnuta dostatečná individualizovaná </w:t>
      </w:r>
      <w:r w:rsidR="00016B0D">
        <w:rPr>
          <w:rFonts w:ascii="Times New Roman" w:hAnsi="Times New Roman" w:cs="Times New Roman"/>
          <w:sz w:val="20"/>
          <w:szCs w:val="20"/>
          <w:lang w:val="cs-CZ"/>
        </w:rPr>
        <w:lastRenderedPageBreak/>
        <w:t xml:space="preserve">podpora. Účelem rehabilitace je přitom současně umožnit lidem se zdravotním postižením se plně a účinně zapojit (participovat) do komunity. Habilitace a rehabilitace člověka se zdravotním postižením musí vždy respektovat jeho svobodný a informovaný souhlas. Habilitace a rehabilitace je relevantní především ve vztahu ke vzdělávání, zaměstnávání, zdraví a sociálním otázkám. </w:t>
      </w:r>
    </w:p>
    <w:p w14:paraId="1BC64AB8" w14:textId="77777777" w:rsidR="00CC3F9E" w:rsidRDefault="00CC3F9E" w:rsidP="00DA4D4E">
      <w:pPr>
        <w:pStyle w:val="Listeafsnit1"/>
        <w:spacing w:after="120" w:line="240" w:lineRule="atLeast"/>
        <w:ind w:left="1134" w:right="1134"/>
        <w:jc w:val="both"/>
        <w:rPr>
          <w:rStyle w:val="hvr"/>
          <w:rFonts w:ascii="Arial" w:hAnsi="Arial"/>
          <w:color w:val="404040"/>
          <w:sz w:val="20"/>
          <w:szCs w:val="20"/>
          <w:shd w:val="clear" w:color="auto" w:fill="F8F8F8"/>
        </w:rPr>
      </w:pPr>
    </w:p>
    <w:p w14:paraId="1CE4E95C" w14:textId="5089CA0D" w:rsidR="00016B0D"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w:t>
      </w:r>
      <w:r w:rsidR="00E82683" w:rsidRPr="003A6B71">
        <w:rPr>
          <w:rFonts w:ascii="Times New Roman" w:hAnsi="Times New Roman" w:cs="Times New Roman"/>
          <w:sz w:val="20"/>
          <w:szCs w:val="20"/>
          <w:lang w:val="cs-CZ"/>
        </w:rPr>
        <w:t>2</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016B0D">
        <w:rPr>
          <w:rFonts w:ascii="Times New Roman" w:hAnsi="Times New Roman" w:cs="Times New Roman"/>
          <w:sz w:val="20"/>
          <w:szCs w:val="20"/>
          <w:lang w:val="cs-CZ"/>
        </w:rPr>
        <w:t xml:space="preserve">Existence individualizovaných podpůrných služeb, včetně osobní asistence je často podmínkou pro </w:t>
      </w:r>
      <w:r w:rsidR="00733E94">
        <w:rPr>
          <w:rFonts w:ascii="Times New Roman" w:hAnsi="Times New Roman" w:cs="Times New Roman"/>
          <w:sz w:val="20"/>
          <w:szCs w:val="20"/>
          <w:lang w:val="cs-CZ"/>
        </w:rPr>
        <w:t>účinné užívání práva pracovat být zaměstnán</w:t>
      </w:r>
      <w:r w:rsidR="00016B0D">
        <w:rPr>
          <w:rFonts w:ascii="Times New Roman" w:hAnsi="Times New Roman" w:cs="Times New Roman"/>
          <w:sz w:val="20"/>
          <w:szCs w:val="20"/>
          <w:lang w:val="cs-CZ"/>
        </w:rPr>
        <w:t xml:space="preserve"> (čl. 27). Lidé se zdravotním postižením by se navíc měli stát zaměstnavateli, manažery nebo lektory v podpůrných službách určených specificky lidem se zdravotním postižením. Implementace článku 19 proto pomůže postupně upustit od chráněných dílen. </w:t>
      </w:r>
    </w:p>
    <w:p w14:paraId="7FF662DB"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38E33A5B" w14:textId="1D31393A" w:rsidR="00016B0D"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w:t>
      </w:r>
      <w:r w:rsidR="00E82683" w:rsidRPr="003A6B71">
        <w:rPr>
          <w:rFonts w:ascii="Times New Roman" w:hAnsi="Times New Roman" w:cs="Times New Roman"/>
          <w:sz w:val="20"/>
          <w:szCs w:val="20"/>
          <w:lang w:val="cs-CZ"/>
        </w:rPr>
        <w:t>3</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016B0D">
        <w:rPr>
          <w:rFonts w:ascii="Times New Roman" w:hAnsi="Times New Roman" w:cs="Times New Roman"/>
          <w:sz w:val="20"/>
          <w:szCs w:val="20"/>
          <w:lang w:val="cs-CZ"/>
        </w:rPr>
        <w:t>Aby smluvní státy zajistily lidem se zdravotním postižením přiměřenou životní úroveň (čl. 28), měly by poskytnout mj. přístup k podpůrným službám, které těmto lidem umožní žít nezávisle. Existuje zde proto na straně smluvní států závazek zajistit přístup k odpovídajícím a cenově dostupným službám, zařízením a další asist</w:t>
      </w:r>
      <w:r w:rsidR="00472E00">
        <w:rPr>
          <w:rFonts w:ascii="Times New Roman" w:hAnsi="Times New Roman" w:cs="Times New Roman"/>
          <w:sz w:val="20"/>
          <w:szCs w:val="20"/>
          <w:lang w:val="cs-CZ"/>
        </w:rPr>
        <w:t xml:space="preserve">enci, vztahujícím se k potřebám vyplývajícím </w:t>
      </w:r>
      <w:r w:rsidR="00B42444">
        <w:rPr>
          <w:rFonts w:ascii="Times New Roman" w:hAnsi="Times New Roman" w:cs="Times New Roman"/>
          <w:sz w:val="20"/>
          <w:szCs w:val="20"/>
          <w:lang w:val="cs-CZ"/>
        </w:rPr>
        <w:t xml:space="preserve">ze zdravotního postižení, a to zvláště pro ty lidi se zdravotním postižením, kteří žijí v chudobě. Je nezbytný přístup k programům veřejného a dotovaného bydlení. Je proto považováno za rozpor s Úmluvou, pokud se od lidí se zdravotním postižením </w:t>
      </w:r>
      <w:r w:rsidR="0097498D">
        <w:rPr>
          <w:rFonts w:ascii="Times New Roman" w:hAnsi="Times New Roman" w:cs="Times New Roman"/>
          <w:sz w:val="20"/>
          <w:szCs w:val="20"/>
          <w:lang w:val="cs-CZ"/>
        </w:rPr>
        <w:t>očekává, že náklady, které vyplývají z jejich zdravotního postižení, ponesou sami.</w:t>
      </w:r>
    </w:p>
    <w:p w14:paraId="42408501"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058BC692" w14:textId="6CF756E0" w:rsidR="00162D89"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w:t>
      </w:r>
      <w:r w:rsidR="00E82683" w:rsidRPr="003A6B71">
        <w:rPr>
          <w:rFonts w:ascii="Times New Roman" w:hAnsi="Times New Roman" w:cs="Times New Roman"/>
          <w:sz w:val="20"/>
          <w:szCs w:val="20"/>
          <w:lang w:val="cs-CZ"/>
        </w:rPr>
        <w:t>4</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162D89">
        <w:rPr>
          <w:rFonts w:ascii="Times New Roman" w:hAnsi="Times New Roman" w:cs="Times New Roman"/>
          <w:sz w:val="20"/>
          <w:szCs w:val="20"/>
          <w:lang w:val="cs-CZ"/>
        </w:rPr>
        <w:t xml:space="preserve">Všichni lidé se zdravotním postižením by měli užívat a vykonávat svá práva na účast v politickém a veřejném životě (čl. 29) osobně nebo prostřednictvím svých organizací, aby ovlivňovali a účastnili se na přijímání rozhodnutí, která mají dopad na rozvoj jejich komunity. Odpovídající podpora může lidem se zdravotním postižením </w:t>
      </w:r>
      <w:r w:rsidR="00733E94">
        <w:rPr>
          <w:rFonts w:ascii="Times New Roman" w:hAnsi="Times New Roman" w:cs="Times New Roman"/>
          <w:sz w:val="20"/>
          <w:szCs w:val="20"/>
          <w:lang w:val="cs-CZ"/>
        </w:rPr>
        <w:t xml:space="preserve">poskytnout </w:t>
      </w:r>
      <w:r w:rsidR="00162D89">
        <w:rPr>
          <w:rFonts w:ascii="Times New Roman" w:hAnsi="Times New Roman" w:cs="Times New Roman"/>
          <w:sz w:val="20"/>
          <w:szCs w:val="20"/>
          <w:lang w:val="cs-CZ"/>
        </w:rPr>
        <w:t>při výkonu jejich práva volit, účastnit se na politickém života a vést veřejné záležitosti cennou asistenci. Je důležité zajistit, že asistenti neb</w:t>
      </w:r>
      <w:r w:rsidR="00733E94">
        <w:rPr>
          <w:rFonts w:ascii="Times New Roman" w:hAnsi="Times New Roman" w:cs="Times New Roman"/>
          <w:sz w:val="20"/>
          <w:szCs w:val="20"/>
          <w:lang w:val="cs-CZ"/>
        </w:rPr>
        <w:t>o jiný podpůrný personál nebude</w:t>
      </w:r>
      <w:r w:rsidR="00162D89">
        <w:rPr>
          <w:rFonts w:ascii="Times New Roman" w:hAnsi="Times New Roman" w:cs="Times New Roman"/>
          <w:sz w:val="20"/>
          <w:szCs w:val="20"/>
          <w:lang w:val="cs-CZ"/>
        </w:rPr>
        <w:t xml:space="preserve"> omezovat nebo zneužívat volbu, kterou lidé se zdravotním postižením učiní při výkonu svých hlasovacích (volebních) práv.</w:t>
      </w:r>
    </w:p>
    <w:p w14:paraId="3E53AD50"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00C4AA17" w14:textId="75EA5043" w:rsidR="00162D89"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w:t>
      </w:r>
      <w:r w:rsidR="00E82683" w:rsidRPr="003A6B71">
        <w:rPr>
          <w:rFonts w:ascii="Times New Roman" w:hAnsi="Times New Roman" w:cs="Times New Roman"/>
          <w:sz w:val="20"/>
          <w:szCs w:val="20"/>
          <w:lang w:val="cs-CZ"/>
        </w:rPr>
        <w:t>5</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162D89">
        <w:rPr>
          <w:rFonts w:ascii="Times New Roman" w:hAnsi="Times New Roman" w:cs="Times New Roman"/>
          <w:sz w:val="20"/>
          <w:szCs w:val="20"/>
          <w:lang w:val="cs-CZ"/>
        </w:rPr>
        <w:t>Kulturní život, rekreační aktivity, volnočasové aktivity a sport (čl. 30) jsou důležitým aspektem života v komunitě, v němž může být sledováno a dosaženo inkluze např. zajištění toho, že události, aktivity a zařízení budou pro lidi se zdravotním postižením přístupné a inkluzivní. Osobní asistenti, průvodci, předčítači, profesionální tlumočníci do znakového a hmatového jazyka, společně s dalšími přispívají k inkluzivnímu životu v komunitě v souladu s vůlí a preferencemi lidí se zdravotním postižením. Je důležité, aby využívání podpory jakéhokoli druhu bylo považováno za součást nákladů, vyplývajících ze zdravotního postižení, pokud takové podpůrné služby pomáhají posilovat inkluzi v komunitě a nezávislé žití. Asistentům nezbytným pro zapojení do kul</w:t>
      </w:r>
      <w:r w:rsidR="00733E94">
        <w:rPr>
          <w:rFonts w:ascii="Times New Roman" w:hAnsi="Times New Roman" w:cs="Times New Roman"/>
          <w:sz w:val="20"/>
          <w:szCs w:val="20"/>
          <w:lang w:val="cs-CZ"/>
        </w:rPr>
        <w:t>turních a volnočasových aktivit</w:t>
      </w:r>
      <w:r w:rsidR="00162D89">
        <w:rPr>
          <w:rFonts w:ascii="Times New Roman" w:hAnsi="Times New Roman" w:cs="Times New Roman"/>
          <w:sz w:val="20"/>
          <w:szCs w:val="20"/>
          <w:lang w:val="cs-CZ"/>
        </w:rPr>
        <w:t xml:space="preserve"> by nemělo být účtováno vstupné. Rovněž by zde neměla být omezení, národní či mezinárodní, toho, kdy, kde a pro jaký druh aktivit využít asistenci. </w:t>
      </w:r>
    </w:p>
    <w:p w14:paraId="6CFD5BBC" w14:textId="77777777" w:rsidR="004762B3" w:rsidRPr="003A6B71" w:rsidRDefault="004762B3" w:rsidP="00DA4D4E">
      <w:pPr>
        <w:pStyle w:val="Listeafsnit1"/>
        <w:spacing w:after="120" w:line="240" w:lineRule="atLeast"/>
        <w:ind w:left="1134" w:right="1134"/>
        <w:jc w:val="both"/>
        <w:rPr>
          <w:rFonts w:ascii="Times New Roman" w:hAnsi="Times New Roman" w:cs="Times New Roman"/>
          <w:sz w:val="20"/>
          <w:szCs w:val="20"/>
          <w:lang w:val="cs-CZ"/>
        </w:rPr>
      </w:pPr>
    </w:p>
    <w:p w14:paraId="32C2B287" w14:textId="72E751B7" w:rsidR="00FE5875"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w:t>
      </w:r>
      <w:r w:rsidR="00E82683" w:rsidRPr="003A6B71">
        <w:rPr>
          <w:rFonts w:ascii="Times New Roman" w:hAnsi="Times New Roman" w:cs="Times New Roman"/>
          <w:sz w:val="20"/>
          <w:szCs w:val="20"/>
          <w:lang w:val="cs-CZ"/>
        </w:rPr>
        <w:t>6</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FE5875">
        <w:rPr>
          <w:rFonts w:ascii="Times New Roman" w:hAnsi="Times New Roman" w:cs="Times New Roman"/>
          <w:sz w:val="20"/>
          <w:szCs w:val="20"/>
          <w:lang w:val="cs-CZ"/>
        </w:rPr>
        <w:t xml:space="preserve">Data a informace musí být systematicky členěná podle postižení (čl. 32) napříč všemi sektory, včetně bydlení, životního uspořádání, schémat sociální ochrany, stejně jako přístupu k nezávislému životu a podpoře a službám. Informace by měly umožňovat řádnou analýzu toho, jak pokročila deinstitucionalizace a přechod k podpůrným službám v komunitě. Je důležité, aby indikátory odrážely zvláštní okolnosti v každém smluvním státě. </w:t>
      </w:r>
    </w:p>
    <w:p w14:paraId="30569D99" w14:textId="77777777" w:rsidR="00FE5875" w:rsidRDefault="00FE5875" w:rsidP="00DA4D4E">
      <w:pPr>
        <w:pStyle w:val="Listeafsnit1"/>
        <w:spacing w:after="120" w:line="240" w:lineRule="atLeast"/>
        <w:ind w:left="1134" w:right="1134"/>
        <w:jc w:val="both"/>
        <w:rPr>
          <w:rFonts w:ascii="Times New Roman" w:hAnsi="Times New Roman" w:cs="Times New Roman"/>
          <w:sz w:val="20"/>
          <w:szCs w:val="20"/>
          <w:lang w:val="cs-CZ"/>
        </w:rPr>
      </w:pPr>
    </w:p>
    <w:p w14:paraId="750EC943" w14:textId="3B689C74" w:rsidR="00FE5875" w:rsidRDefault="004762B3" w:rsidP="00DA4D4E">
      <w:pPr>
        <w:pStyle w:val="Listeafsnit1"/>
        <w:spacing w:after="120" w:line="240" w:lineRule="atLeast"/>
        <w:ind w:left="1134" w:right="1134"/>
        <w:jc w:val="both"/>
        <w:rPr>
          <w:rFonts w:ascii="Times New Roman" w:hAnsi="Times New Roman" w:cs="Times New Roman"/>
          <w:sz w:val="20"/>
          <w:szCs w:val="20"/>
          <w:lang w:val="cs-CZ"/>
        </w:rPr>
      </w:pPr>
      <w:r w:rsidRPr="003A6B71">
        <w:rPr>
          <w:rFonts w:ascii="Times New Roman" w:hAnsi="Times New Roman" w:cs="Times New Roman"/>
          <w:sz w:val="20"/>
          <w:szCs w:val="20"/>
          <w:lang w:val="cs-CZ"/>
        </w:rPr>
        <w:t>9</w:t>
      </w:r>
      <w:r w:rsidR="00E82683" w:rsidRPr="003A6B71">
        <w:rPr>
          <w:rFonts w:ascii="Times New Roman" w:hAnsi="Times New Roman" w:cs="Times New Roman"/>
          <w:sz w:val="20"/>
          <w:szCs w:val="20"/>
          <w:lang w:val="cs-CZ"/>
        </w:rPr>
        <w:t>7</w:t>
      </w:r>
      <w:r w:rsidRPr="003A6B71">
        <w:rPr>
          <w:rFonts w:ascii="Times New Roman" w:hAnsi="Times New Roman" w:cs="Times New Roman"/>
          <w:sz w:val="20"/>
          <w:szCs w:val="20"/>
          <w:lang w:val="cs-CZ"/>
        </w:rPr>
        <w:t>.</w:t>
      </w:r>
      <w:r w:rsidRPr="003A6B71">
        <w:rPr>
          <w:rFonts w:ascii="Times New Roman" w:hAnsi="Times New Roman" w:cs="Times New Roman"/>
          <w:sz w:val="20"/>
          <w:szCs w:val="20"/>
          <w:lang w:val="cs-CZ"/>
        </w:rPr>
        <w:tab/>
      </w:r>
      <w:r w:rsidR="00FE5875">
        <w:rPr>
          <w:rFonts w:ascii="Times New Roman" w:hAnsi="Times New Roman" w:cs="Times New Roman"/>
          <w:sz w:val="20"/>
          <w:szCs w:val="20"/>
          <w:lang w:val="cs-CZ"/>
        </w:rPr>
        <w:t>Mezinárodní spolupráce (čl. 32) musí být vedená způsobem, která zajistí, že zahraniční pomoc bude investovaná do podpůrných služeb v místních komunitách, které respektují vůli a preference lidí se zdravotním postižením a posilují jejich právo vybrat si kde, s kým a v jakém životním uspořádání budou žít, v souladu s čl. 19. Investování finančních zdrojů získaných v rámci mezinárodní spolupráce do rozvoje nových institucí nebo míst, v nichž jsou lidé drženi, nebo institucionálních modelů péče je nepřijatelné, jelikož vede k segregaci a izolaci lidí se zdravotním postižením.</w:t>
      </w:r>
    </w:p>
    <w:p w14:paraId="36A31FAF" w14:textId="36CFAE3F" w:rsidR="00D12D66" w:rsidRPr="001C4533" w:rsidRDefault="00F37DBE" w:rsidP="00F37DBE">
      <w:pPr>
        <w:pStyle w:val="HChG"/>
        <w:rPr>
          <w:rFonts w:eastAsia="SimSun"/>
          <w:lang w:val="cs-CZ"/>
        </w:rPr>
      </w:pPr>
      <w:r>
        <w:rPr>
          <w:rFonts w:eastAsia="SimSun"/>
          <w:lang w:val="en-US"/>
        </w:rPr>
        <w:lastRenderedPageBreak/>
        <w:tab/>
      </w:r>
      <w:r w:rsidRPr="00696CC0">
        <w:t>V</w:t>
      </w:r>
      <w:r>
        <w:rPr>
          <w:rFonts w:eastAsia="SimSun"/>
          <w:lang w:val="en-US"/>
        </w:rPr>
        <w:t>.</w:t>
      </w:r>
      <w:r>
        <w:rPr>
          <w:rFonts w:eastAsia="SimSun"/>
          <w:lang w:val="en-US"/>
        </w:rPr>
        <w:tab/>
      </w:r>
      <w:r w:rsidR="00FE5875" w:rsidRPr="001C4533">
        <w:rPr>
          <w:rFonts w:eastAsia="SimSun"/>
          <w:lang w:val="cs-CZ"/>
        </w:rPr>
        <w:t>Implementace na národní úrovni</w:t>
      </w:r>
    </w:p>
    <w:p w14:paraId="524A4CB4" w14:textId="47B1C3AB" w:rsidR="00FE5875" w:rsidRPr="001C4533" w:rsidRDefault="004762B3" w:rsidP="00DA4D4E">
      <w:pPr>
        <w:pStyle w:val="Listeafsnit1"/>
        <w:spacing w:after="120" w:line="240" w:lineRule="atLeast"/>
        <w:ind w:left="1134" w:right="1134"/>
        <w:jc w:val="both"/>
        <w:rPr>
          <w:rFonts w:ascii="Times New Roman" w:eastAsia="Malgun Gothic" w:hAnsi="Times New Roman" w:cs="Times New Roman"/>
          <w:sz w:val="20"/>
          <w:szCs w:val="20"/>
          <w:lang w:val="cs-CZ"/>
        </w:rPr>
      </w:pPr>
      <w:r w:rsidRPr="001C4533">
        <w:rPr>
          <w:rFonts w:ascii="Times New Roman" w:eastAsia="Malgun Gothic" w:hAnsi="Times New Roman" w:cs="Times New Roman"/>
          <w:sz w:val="20"/>
          <w:szCs w:val="20"/>
          <w:lang w:val="cs-CZ"/>
        </w:rPr>
        <w:t>9</w:t>
      </w:r>
      <w:r w:rsidR="00E82683" w:rsidRPr="001C4533">
        <w:rPr>
          <w:rFonts w:ascii="Times New Roman" w:eastAsia="Malgun Gothic" w:hAnsi="Times New Roman" w:cs="Times New Roman"/>
          <w:sz w:val="20"/>
          <w:szCs w:val="20"/>
          <w:lang w:val="cs-CZ"/>
        </w:rPr>
        <w:t>8</w:t>
      </w:r>
      <w:r w:rsidRPr="001C4533">
        <w:rPr>
          <w:rFonts w:ascii="Times New Roman" w:eastAsia="Malgun Gothic" w:hAnsi="Times New Roman" w:cs="Times New Roman"/>
          <w:sz w:val="20"/>
          <w:szCs w:val="20"/>
          <w:lang w:val="cs-CZ"/>
        </w:rPr>
        <w:t>.</w:t>
      </w:r>
      <w:r w:rsidRPr="001C4533">
        <w:rPr>
          <w:rFonts w:ascii="Times New Roman" w:eastAsia="Malgun Gothic" w:hAnsi="Times New Roman" w:cs="Times New Roman"/>
          <w:sz w:val="20"/>
          <w:szCs w:val="20"/>
          <w:lang w:val="cs-CZ"/>
        </w:rPr>
        <w:tab/>
      </w:r>
      <w:r w:rsidR="00FE5875" w:rsidRPr="001C4533">
        <w:rPr>
          <w:rFonts w:ascii="Times New Roman" w:eastAsia="Malgun Gothic" w:hAnsi="Times New Roman" w:cs="Times New Roman"/>
          <w:sz w:val="20"/>
          <w:szCs w:val="20"/>
          <w:lang w:val="cs-CZ"/>
        </w:rPr>
        <w:t xml:space="preserve">Výbor poznamenává, že smluvní státy mohou na národní úrovni při implementaci práva žít nezávisle a být začleněn do komunity čelit výzvám. V souladu s normativním obsahem a závazky, popsanými výše, by smluvní státy nicméně měly podniknout následující kroky, aby zajistily plnou implementaci článku 19 Úmluvy: </w:t>
      </w:r>
    </w:p>
    <w:p w14:paraId="67495C17" w14:textId="10455B10" w:rsidR="00FE5875" w:rsidRPr="001C4533" w:rsidRDefault="00FE5875"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(a)</w:t>
      </w:r>
      <w:r w:rsidR="004762B3" w:rsidRPr="001C4533">
        <w:rPr>
          <w:rFonts w:eastAsia="Malgun Gothic"/>
          <w:lang w:val="cs-CZ"/>
        </w:rPr>
        <w:tab/>
      </w:r>
      <w:r w:rsidRPr="001C4533">
        <w:rPr>
          <w:rFonts w:eastAsia="Malgun Gothic"/>
          <w:lang w:val="cs-CZ"/>
        </w:rPr>
        <w:t>Zrušit všechny zákony, které člověku se zdravotním postižením brání zvolit si kde a s kým a jak žít, včetně práva nebýt zbaven své osobní svobody na základě zdravotního postižení, a to bez ohledu na typ zdravotního postižení;</w:t>
      </w:r>
    </w:p>
    <w:p w14:paraId="15C57F49" w14:textId="2B9415F1" w:rsidR="00FE5875" w:rsidRPr="001C4533" w:rsidRDefault="00FE5875"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(b)</w:t>
      </w:r>
      <w:r w:rsidR="004762B3" w:rsidRPr="001C4533">
        <w:rPr>
          <w:rFonts w:eastAsia="Malgun Gothic"/>
          <w:lang w:val="cs-CZ"/>
        </w:rPr>
        <w:tab/>
      </w:r>
      <w:r w:rsidRPr="001C4533">
        <w:rPr>
          <w:rFonts w:eastAsia="Malgun Gothic"/>
          <w:lang w:val="cs-CZ"/>
        </w:rPr>
        <w:t>Přijmout a vynucovat zákony, standardy a další opatření s cílem učinit místní komunity a prostředí, stejně jako informace a komunikaci přístupnou všem lidem se zdravotním postižením;</w:t>
      </w:r>
    </w:p>
    <w:p w14:paraId="1CDC97F3" w14:textId="7E49B51C" w:rsidR="00FE5875" w:rsidRPr="001C4533" w:rsidRDefault="00FE5875" w:rsidP="00DA4D4E">
      <w:pPr>
        <w:spacing w:after="120"/>
        <w:ind w:left="1134" w:right="1134" w:firstLine="696"/>
        <w:jc w:val="both"/>
        <w:rPr>
          <w:lang w:val="cs-CZ"/>
        </w:rPr>
      </w:pPr>
      <w:r w:rsidRPr="001C4533">
        <w:rPr>
          <w:rFonts w:eastAsia="Malgun Gothic"/>
          <w:lang w:val="cs-CZ"/>
        </w:rPr>
        <w:t xml:space="preserve"> </w:t>
      </w:r>
      <w:r w:rsidR="004762B3" w:rsidRPr="001C4533">
        <w:rPr>
          <w:rFonts w:eastAsia="Malgun Gothic"/>
          <w:lang w:val="cs-CZ"/>
        </w:rPr>
        <w:t>(c)</w:t>
      </w:r>
      <w:r w:rsidR="004762B3" w:rsidRPr="001C4533">
        <w:rPr>
          <w:rFonts w:eastAsia="Malgun Gothic"/>
          <w:lang w:val="cs-CZ"/>
        </w:rPr>
        <w:tab/>
      </w:r>
      <w:r w:rsidR="004762B3" w:rsidRPr="001C4533">
        <w:rPr>
          <w:lang w:val="cs-CZ"/>
        </w:rPr>
        <w:t xml:space="preserve"> </w:t>
      </w:r>
      <w:r w:rsidRPr="001C4533">
        <w:rPr>
          <w:lang w:val="cs-CZ"/>
        </w:rPr>
        <w:t>Zajistit, že programy sociální ochrany budou odpovídat požadavkům rozličné škály lidí se zdravotním postižením na rovnoprávném základě s ostatními;</w:t>
      </w:r>
    </w:p>
    <w:p w14:paraId="5A8B32E6" w14:textId="6C187FD6" w:rsidR="001C4533" w:rsidRPr="001C4533" w:rsidRDefault="00FE5875"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(d)</w:t>
      </w:r>
      <w:r w:rsidR="004762B3" w:rsidRPr="001C4533">
        <w:rPr>
          <w:rFonts w:eastAsia="Malgun Gothic"/>
          <w:lang w:val="cs-CZ"/>
        </w:rPr>
        <w:tab/>
      </w:r>
      <w:proofErr w:type="spellStart"/>
      <w:r w:rsidR="001C4533" w:rsidRPr="001C4533">
        <w:rPr>
          <w:rFonts w:eastAsia="Malgun Gothic"/>
          <w:lang w:val="cs-CZ"/>
        </w:rPr>
        <w:t>Včelnit</w:t>
      </w:r>
      <w:proofErr w:type="spellEnd"/>
      <w:r w:rsidR="001C4533" w:rsidRPr="001C4533">
        <w:rPr>
          <w:rFonts w:eastAsia="Malgun Gothic"/>
          <w:lang w:val="cs-CZ"/>
        </w:rPr>
        <w:t xml:space="preserve"> princip univerzálního designu a to jak fyzického, tak i virtuálního prostoru do politik, zákonů, standardů a dal</w:t>
      </w:r>
      <w:r w:rsidR="001C4533">
        <w:rPr>
          <w:rFonts w:eastAsia="Malgun Gothic"/>
          <w:lang w:val="cs-CZ"/>
        </w:rPr>
        <w:t xml:space="preserve">ších opatření, včetně monitorování realizace/implementace těchto závazků. Revidovat své zákoníky regulující výstavbu tak, aby odpovídaly principům univerzálního designu a legislativním pokynům pro </w:t>
      </w:r>
      <w:proofErr w:type="spellStart"/>
      <w:r w:rsidR="001C4533">
        <w:rPr>
          <w:rFonts w:eastAsia="Malgun Gothic"/>
          <w:lang w:val="cs-CZ"/>
        </w:rPr>
        <w:t>výstabu</w:t>
      </w:r>
      <w:proofErr w:type="spellEnd"/>
      <w:r w:rsidR="001C4533">
        <w:rPr>
          <w:rFonts w:eastAsia="Malgun Gothic"/>
          <w:lang w:val="cs-CZ"/>
        </w:rPr>
        <w:t>, jak byly popsány v Obecném komentáři Výboru č. 2 (2014) Přístupnost;</w:t>
      </w:r>
    </w:p>
    <w:p w14:paraId="63A61820" w14:textId="043F5887" w:rsidR="001C4533" w:rsidRDefault="001C4533"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(e)</w:t>
      </w:r>
      <w:r w:rsidR="004762B3" w:rsidRPr="001C4533">
        <w:rPr>
          <w:rFonts w:eastAsia="Malgun Gothic"/>
          <w:lang w:val="cs-CZ"/>
        </w:rPr>
        <w:tab/>
      </w:r>
      <w:r>
        <w:rPr>
          <w:rFonts w:eastAsia="Malgun Gothic"/>
          <w:lang w:val="cs-CZ"/>
        </w:rPr>
        <w:t>Poskytnout všem lidem se zdravotním postižením hmotná i procesní práva žít nezávisle v rámci komunity;</w:t>
      </w:r>
    </w:p>
    <w:p w14:paraId="535FF188" w14:textId="75AB35EF" w:rsidR="001C4533" w:rsidRDefault="001C4533"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(f)</w:t>
      </w:r>
      <w:r w:rsidR="004762B3" w:rsidRPr="001C4533">
        <w:rPr>
          <w:rFonts w:eastAsia="Malgun Gothic"/>
          <w:lang w:val="cs-CZ"/>
        </w:rPr>
        <w:tab/>
        <w:t>I</w:t>
      </w:r>
      <w:r>
        <w:rPr>
          <w:rFonts w:eastAsia="Malgun Gothic"/>
          <w:lang w:val="cs-CZ"/>
        </w:rPr>
        <w:t xml:space="preserve">nformovat lidi se zdravotním postižení o jejich právu žít nezávisle a být začleněn do komunity způsoby, kterým budou moci porozumět, a poskytovat </w:t>
      </w:r>
      <w:proofErr w:type="spellStart"/>
      <w:r>
        <w:rPr>
          <w:rFonts w:eastAsia="Malgun Gothic"/>
          <w:lang w:val="cs-CZ"/>
        </w:rPr>
        <w:t>zeschopňovací</w:t>
      </w:r>
      <w:proofErr w:type="spellEnd"/>
      <w:r>
        <w:rPr>
          <w:rFonts w:eastAsia="Malgun Gothic"/>
          <w:lang w:val="cs-CZ"/>
        </w:rPr>
        <w:t xml:space="preserve"> výcviky, v nichž by se lidé se zdravotním postižením naučili, jak se domáhat svých práv;</w:t>
      </w:r>
    </w:p>
    <w:p w14:paraId="248509FD" w14:textId="77D6D16D" w:rsidR="001C4533" w:rsidRDefault="001C4533"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(g)</w:t>
      </w:r>
      <w:r w:rsidR="004762B3" w:rsidRPr="001C4533">
        <w:rPr>
          <w:rFonts w:eastAsia="Malgun Gothic"/>
          <w:lang w:val="cs-CZ"/>
        </w:rPr>
        <w:tab/>
      </w:r>
      <w:r>
        <w:rPr>
          <w:rFonts w:eastAsia="Malgun Gothic"/>
          <w:lang w:val="cs-CZ"/>
        </w:rPr>
        <w:t>Přijmout jasné a zacílené strategie pro deinstitucionalizaci s konkrétním časovým rámcem a odpovídajícím rozpočtem tak, aby byly odstraněny všechny formy izolace, segregace a institucionalizace lidí se zdravotním postižením. Zvláštní pozornost by měla být věnována lidem s psychosociálním a/nebo mentálním postižením a dětem se zdravotním postižením, kteří jsou v současnosti v institucích;</w:t>
      </w:r>
    </w:p>
    <w:p w14:paraId="144C2549" w14:textId="0692AED1" w:rsidR="001C4533" w:rsidRDefault="001C4533"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(h)</w:t>
      </w:r>
      <w:r w:rsidR="004762B3" w:rsidRPr="001C4533">
        <w:rPr>
          <w:rFonts w:eastAsia="Malgun Gothic"/>
          <w:lang w:val="cs-CZ"/>
        </w:rPr>
        <w:tab/>
      </w:r>
      <w:r>
        <w:rPr>
          <w:rFonts w:eastAsia="Malgun Gothic"/>
          <w:lang w:val="cs-CZ"/>
        </w:rPr>
        <w:t xml:space="preserve">Vytvořit povědomí, které odstraní negativní postoje a stereotypy o lidech se zdravotním postižením </w:t>
      </w:r>
      <w:r w:rsidR="006776B8">
        <w:rPr>
          <w:rFonts w:eastAsia="Malgun Gothic"/>
          <w:lang w:val="cs-CZ"/>
        </w:rPr>
        <w:t>a upevní transformaci komunity v úsilí [komunity] rozvíjet individualizované a přístupné služby určené veřejnosti;</w:t>
      </w:r>
    </w:p>
    <w:p w14:paraId="4D3E0B07" w14:textId="18A41859" w:rsidR="004762B3" w:rsidRPr="001C4533" w:rsidRDefault="006776B8" w:rsidP="006776B8">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(i)</w:t>
      </w:r>
      <w:r w:rsidR="004762B3" w:rsidRPr="001C4533">
        <w:rPr>
          <w:rFonts w:eastAsia="Malgun Gothic"/>
          <w:lang w:val="cs-CZ"/>
        </w:rPr>
        <w:tab/>
      </w:r>
      <w:r>
        <w:rPr>
          <w:rFonts w:eastAsia="Malgun Gothic"/>
          <w:lang w:val="cs-CZ"/>
        </w:rPr>
        <w:t xml:space="preserve">Zajistit účast lidí se zdravotním postižením, osobně a prostřednictvím jejich zastupujících organizaci, je při transformaci podpůrných služeb a komunit, jakož i při tvorbě a implementaci </w:t>
      </w:r>
      <w:proofErr w:type="spellStart"/>
      <w:r>
        <w:rPr>
          <w:rFonts w:eastAsia="Malgun Gothic"/>
          <w:lang w:val="cs-CZ"/>
        </w:rPr>
        <w:t>deinstitucionalizačních</w:t>
      </w:r>
      <w:proofErr w:type="spellEnd"/>
      <w:r>
        <w:rPr>
          <w:rFonts w:eastAsia="Malgun Gothic"/>
          <w:lang w:val="cs-CZ"/>
        </w:rPr>
        <w:t xml:space="preserve"> strategií stěžejní.</w:t>
      </w:r>
    </w:p>
    <w:p w14:paraId="783B73ED" w14:textId="18428742" w:rsidR="006776B8" w:rsidRDefault="004762B3" w:rsidP="00DA4D4E">
      <w:pPr>
        <w:spacing w:after="120"/>
        <w:ind w:left="1134" w:right="1134" w:firstLine="696"/>
        <w:jc w:val="both"/>
        <w:rPr>
          <w:rFonts w:eastAsia="Malgun Gothic"/>
          <w:lang w:val="cs-CZ"/>
        </w:rPr>
      </w:pPr>
      <w:r w:rsidRPr="001C4533">
        <w:rPr>
          <w:rFonts w:eastAsia="Malgun Gothic"/>
          <w:lang w:val="cs-CZ"/>
        </w:rPr>
        <w:t>(j)</w:t>
      </w:r>
      <w:r w:rsidRPr="001C4533">
        <w:rPr>
          <w:rFonts w:eastAsia="Malgun Gothic"/>
          <w:lang w:val="cs-CZ"/>
        </w:rPr>
        <w:tab/>
      </w:r>
      <w:r w:rsidR="006776B8">
        <w:rPr>
          <w:rFonts w:eastAsia="Malgun Gothic"/>
          <w:lang w:val="cs-CZ"/>
        </w:rPr>
        <w:t>Vytvořit srozumitelné politiky a legislativní pokyny a alokovat finanční zdroje na výstavbu cenově dostupných a přístupných bytových jednotek, vybudovat prostředí, veřejné prostory a dopravu v odpovídajícím časovém rámci pro implementaci a zakotvit sankce za porušení ze strany veřejných či soukromých subjektů, které budou účinné, odstrašující a přiměřené.</w:t>
      </w:r>
    </w:p>
    <w:p w14:paraId="387EA883" w14:textId="70DB18AD" w:rsidR="006776B8" w:rsidRDefault="006776B8" w:rsidP="00DA4D4E">
      <w:pPr>
        <w:spacing w:after="120"/>
        <w:ind w:left="1134" w:right="1134" w:firstLine="696"/>
        <w:jc w:val="both"/>
        <w:rPr>
          <w:rFonts w:eastAsia="Malgun Gothic"/>
          <w:lang w:val="cs-CZ"/>
        </w:rPr>
      </w:pPr>
      <w:r w:rsidRPr="001C4533">
        <w:rPr>
          <w:rFonts w:eastAsia="Malgun Gothic"/>
          <w:lang w:val="cs-CZ"/>
        </w:rPr>
        <w:t xml:space="preserve"> </w:t>
      </w:r>
      <w:r w:rsidR="004762B3" w:rsidRPr="001C4533">
        <w:rPr>
          <w:rFonts w:eastAsia="Malgun Gothic"/>
          <w:lang w:val="cs-CZ"/>
        </w:rPr>
        <w:t>(k)</w:t>
      </w:r>
      <w:r w:rsidR="004762B3" w:rsidRPr="001C4533">
        <w:rPr>
          <w:rFonts w:eastAsia="Malgun Gothic"/>
          <w:lang w:val="cs-CZ"/>
        </w:rPr>
        <w:tab/>
      </w:r>
      <w:r>
        <w:rPr>
          <w:rFonts w:eastAsia="Malgun Gothic"/>
          <w:lang w:val="cs-CZ"/>
        </w:rPr>
        <w:t xml:space="preserve">Alokovat zdroje do rozvoje odpovídajících a </w:t>
      </w:r>
      <w:proofErr w:type="spellStart"/>
      <w:r>
        <w:rPr>
          <w:rFonts w:eastAsia="Malgun Gothic"/>
          <w:lang w:val="cs-CZ"/>
        </w:rPr>
        <w:t>dostačných</w:t>
      </w:r>
      <w:proofErr w:type="spellEnd"/>
      <w:r>
        <w:rPr>
          <w:rFonts w:eastAsia="Malgun Gothic"/>
          <w:lang w:val="cs-CZ"/>
        </w:rPr>
        <w:t>, osobou řízených/“uživatelem“ vedených a osobně spravovaných podpůrných služeb pro všechny lidi se zdravotním postižením, jako je osobní asistence, průvodci, předčítači, profesionální tlumočníci do znakového nebo [hmatového] jazyka;</w:t>
      </w:r>
    </w:p>
    <w:p w14:paraId="41CB0569" w14:textId="15D1D2A4" w:rsidR="00581FB1" w:rsidRDefault="006776B8" w:rsidP="00DA4D4E">
      <w:pPr>
        <w:spacing w:after="120"/>
        <w:ind w:left="1134" w:right="1134" w:firstLine="696"/>
        <w:jc w:val="both"/>
        <w:rPr>
          <w:rFonts w:eastAsia="Malgun Gothic"/>
          <w:lang w:val="cs-CZ"/>
        </w:rPr>
      </w:pPr>
      <w:r w:rsidRPr="001C4533">
        <w:rPr>
          <w:rFonts w:eastAsia="Malgun Gothic"/>
          <w:lang w:val="cs-CZ"/>
        </w:rPr>
        <w:t xml:space="preserve"> </w:t>
      </w:r>
      <w:r w:rsidR="002E048F" w:rsidRPr="001C4533">
        <w:rPr>
          <w:rFonts w:eastAsia="Malgun Gothic"/>
          <w:lang w:val="cs-CZ"/>
        </w:rPr>
        <w:t>(l)</w:t>
      </w:r>
      <w:r w:rsidR="002E048F" w:rsidRPr="001C4533">
        <w:rPr>
          <w:rFonts w:eastAsia="Malgun Gothic"/>
          <w:lang w:val="cs-CZ"/>
        </w:rPr>
        <w:tab/>
      </w:r>
      <w:r w:rsidR="00581FB1">
        <w:rPr>
          <w:rFonts w:eastAsia="Malgun Gothic"/>
          <w:lang w:val="cs-CZ"/>
        </w:rPr>
        <w:t>Vytvořit výběrová řízení vztahující se k podpůrným službám pro lidi se zdravotním postižením žijící nezávisle v komunitě, která budou zohledňovat normativní obsah článku 19;</w:t>
      </w:r>
    </w:p>
    <w:p w14:paraId="6DF90E8C" w14:textId="46424F27" w:rsidR="00581FB1" w:rsidRDefault="00581FB1" w:rsidP="00DA4D4E">
      <w:pPr>
        <w:spacing w:after="120"/>
        <w:ind w:left="1134" w:right="1134" w:firstLine="696"/>
        <w:jc w:val="both"/>
        <w:rPr>
          <w:rFonts w:eastAsia="Malgun Gothic"/>
          <w:lang w:val="cs-CZ"/>
        </w:rPr>
      </w:pPr>
      <w:r>
        <w:rPr>
          <w:rFonts w:eastAsia="Malgun Gothic"/>
          <w:lang w:val="cs-CZ"/>
        </w:rPr>
        <w:t>(</w:t>
      </w:r>
      <w:r w:rsidR="0044665E" w:rsidRPr="001C4533">
        <w:rPr>
          <w:rFonts w:eastAsia="Malgun Gothic"/>
          <w:lang w:val="cs-CZ"/>
        </w:rPr>
        <w:t>m</w:t>
      </w:r>
      <w:r w:rsidR="004762B3" w:rsidRPr="001C4533">
        <w:rPr>
          <w:rFonts w:eastAsia="Malgun Gothic"/>
          <w:lang w:val="cs-CZ"/>
        </w:rPr>
        <w:t>)</w:t>
      </w:r>
      <w:r w:rsidR="004762B3" w:rsidRPr="001C4533">
        <w:rPr>
          <w:rFonts w:eastAsia="Malgun Gothic"/>
          <w:lang w:val="cs-CZ"/>
        </w:rPr>
        <w:tab/>
      </w:r>
      <w:r>
        <w:rPr>
          <w:rFonts w:eastAsia="Malgun Gothic"/>
          <w:lang w:val="cs-CZ"/>
        </w:rPr>
        <w:t xml:space="preserve">Nastavit mechanismy monitorování </w:t>
      </w:r>
      <w:proofErr w:type="spellStart"/>
      <w:r>
        <w:rPr>
          <w:rFonts w:eastAsia="Malgun Gothic"/>
          <w:lang w:val="cs-CZ"/>
        </w:rPr>
        <w:t>stávajcích</w:t>
      </w:r>
      <w:proofErr w:type="spellEnd"/>
      <w:r>
        <w:rPr>
          <w:rFonts w:eastAsia="Malgun Gothic"/>
          <w:lang w:val="cs-CZ"/>
        </w:rPr>
        <w:t xml:space="preserve"> institucí a pobytových služeb, </w:t>
      </w:r>
      <w:proofErr w:type="spellStart"/>
      <w:r>
        <w:rPr>
          <w:rFonts w:eastAsia="Malgun Gothic"/>
          <w:lang w:val="cs-CZ"/>
        </w:rPr>
        <w:t>deinstitucionalizačních</w:t>
      </w:r>
      <w:proofErr w:type="spellEnd"/>
      <w:r>
        <w:rPr>
          <w:rFonts w:eastAsia="Malgun Gothic"/>
          <w:lang w:val="cs-CZ"/>
        </w:rPr>
        <w:t xml:space="preserve"> strategií a implementace nezávislého života v komunitě, a to s plným vědomím role nezávislých monitorovacích rámců; a</w:t>
      </w:r>
    </w:p>
    <w:p w14:paraId="10AE0F24" w14:textId="42B906B5" w:rsidR="00581FB1" w:rsidRDefault="00581FB1" w:rsidP="00DA4D4E">
      <w:pPr>
        <w:spacing w:after="120"/>
        <w:ind w:left="1134" w:right="1134" w:firstLine="696"/>
        <w:jc w:val="both"/>
        <w:rPr>
          <w:rFonts w:eastAsia="Malgun Gothic"/>
          <w:lang w:val="cs-CZ"/>
        </w:rPr>
      </w:pPr>
      <w:r w:rsidRPr="001C4533">
        <w:rPr>
          <w:rFonts w:eastAsia="Malgun Gothic"/>
          <w:lang w:val="cs-CZ"/>
        </w:rPr>
        <w:lastRenderedPageBreak/>
        <w:t xml:space="preserve"> </w:t>
      </w:r>
      <w:r w:rsidR="004762B3" w:rsidRPr="001C4533">
        <w:rPr>
          <w:rFonts w:eastAsia="Malgun Gothic"/>
          <w:lang w:val="cs-CZ"/>
        </w:rPr>
        <w:t>(</w:t>
      </w:r>
      <w:r w:rsidR="0044665E" w:rsidRPr="001C4533">
        <w:rPr>
          <w:rFonts w:eastAsia="Malgun Gothic"/>
          <w:lang w:val="cs-CZ"/>
        </w:rPr>
        <w:t>n</w:t>
      </w:r>
      <w:r w:rsidR="004762B3" w:rsidRPr="001C4533">
        <w:rPr>
          <w:rFonts w:eastAsia="Malgun Gothic"/>
          <w:lang w:val="cs-CZ"/>
        </w:rPr>
        <w:t>)</w:t>
      </w:r>
      <w:r w:rsidR="004762B3" w:rsidRPr="001C4533">
        <w:rPr>
          <w:rFonts w:eastAsia="Malgun Gothic"/>
          <w:lang w:val="cs-CZ"/>
        </w:rPr>
        <w:tab/>
      </w:r>
      <w:r>
        <w:rPr>
          <w:rFonts w:eastAsia="Malgun Gothic"/>
          <w:lang w:val="cs-CZ"/>
        </w:rPr>
        <w:t>Monitoring a implementace předvídané článkem 19 by měly být realizovány v plné konzultaci a s plným zapojením lidí se zdravotním postižením prostřednictvím jejich zastupujících organizací.</w:t>
      </w:r>
    </w:p>
    <w:p w14:paraId="29EC53F8" w14:textId="77777777" w:rsidR="004762B3" w:rsidRPr="007F64D8" w:rsidRDefault="004762B3" w:rsidP="004762B3">
      <w:pPr>
        <w:spacing w:after="120"/>
        <w:ind w:left="720" w:firstLine="696"/>
        <w:jc w:val="both"/>
        <w:rPr>
          <w:lang w:val="en-US"/>
        </w:rPr>
      </w:pPr>
    </w:p>
    <w:p w14:paraId="6A5E0A7D" w14:textId="77777777" w:rsidR="001C6663" w:rsidRPr="00D12D66" w:rsidRDefault="00D12D66" w:rsidP="00D12D66">
      <w:pPr>
        <w:spacing w:before="240"/>
        <w:ind w:left="1134" w:right="1134"/>
        <w:jc w:val="center"/>
        <w:rPr>
          <w:u w:val="single"/>
        </w:rPr>
      </w:pPr>
      <w:r w:rsidRPr="00D12D66">
        <w:rPr>
          <w:u w:val="single"/>
        </w:rPr>
        <w:tab/>
      </w:r>
      <w:r w:rsidRPr="00D12D66">
        <w:rPr>
          <w:u w:val="single"/>
        </w:rPr>
        <w:tab/>
      </w:r>
      <w:r w:rsidRPr="00D12D66">
        <w:rPr>
          <w:u w:val="single"/>
        </w:rPr>
        <w:tab/>
      </w:r>
    </w:p>
    <w:sectPr w:rsidR="001C6663" w:rsidRPr="00D12D66" w:rsidSect="00F86622">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475BB" w14:textId="77777777" w:rsidR="009E04D4" w:rsidRDefault="009E04D4"/>
  </w:endnote>
  <w:endnote w:type="continuationSeparator" w:id="0">
    <w:p w14:paraId="62637133" w14:textId="77777777" w:rsidR="009E04D4" w:rsidRDefault="009E04D4"/>
  </w:endnote>
  <w:endnote w:type="continuationNotice" w:id="1">
    <w:p w14:paraId="7AA3CE8F" w14:textId="77777777" w:rsidR="009E04D4" w:rsidRDefault="009E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EB81" w14:textId="0980B219" w:rsidR="00FE5875" w:rsidRPr="00F86622" w:rsidRDefault="00FE5875" w:rsidP="00F86622">
    <w:pPr>
      <w:pStyle w:val="Zpat"/>
      <w:tabs>
        <w:tab w:val="right" w:pos="9638"/>
      </w:tabs>
      <w:rPr>
        <w:sz w:val="18"/>
      </w:rPr>
    </w:pPr>
    <w:r w:rsidRPr="00F86622">
      <w:rPr>
        <w:b/>
        <w:sz w:val="18"/>
      </w:rPr>
      <w:fldChar w:fldCharType="begin"/>
    </w:r>
    <w:r w:rsidRPr="00F86622">
      <w:rPr>
        <w:b/>
        <w:sz w:val="18"/>
      </w:rPr>
      <w:instrText xml:space="preserve"> PAGE  \* MERGEFORMAT </w:instrText>
    </w:r>
    <w:r w:rsidRPr="00F86622">
      <w:rPr>
        <w:b/>
        <w:sz w:val="18"/>
      </w:rPr>
      <w:fldChar w:fldCharType="separate"/>
    </w:r>
    <w:r w:rsidR="000A7503">
      <w:rPr>
        <w:b/>
        <w:noProof/>
        <w:sz w:val="18"/>
      </w:rPr>
      <w:t>20</w:t>
    </w:r>
    <w:r w:rsidRPr="00F8662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781B" w14:textId="2AC4F15F" w:rsidR="00FE5875" w:rsidRPr="00F86622" w:rsidRDefault="00FE5875" w:rsidP="00F86622">
    <w:pPr>
      <w:pStyle w:val="Zpat"/>
      <w:tabs>
        <w:tab w:val="right" w:pos="9638"/>
      </w:tabs>
      <w:rPr>
        <w:b/>
        <w:sz w:val="18"/>
      </w:rPr>
    </w:pPr>
    <w:r>
      <w:tab/>
    </w:r>
    <w:r w:rsidRPr="00F86622">
      <w:rPr>
        <w:b/>
        <w:sz w:val="18"/>
      </w:rPr>
      <w:fldChar w:fldCharType="begin"/>
    </w:r>
    <w:r w:rsidRPr="00F86622">
      <w:rPr>
        <w:b/>
        <w:sz w:val="18"/>
      </w:rPr>
      <w:instrText xml:space="preserve"> PAGE  \* MERGEFORMAT </w:instrText>
    </w:r>
    <w:r w:rsidRPr="00F86622">
      <w:rPr>
        <w:b/>
        <w:sz w:val="18"/>
      </w:rPr>
      <w:fldChar w:fldCharType="separate"/>
    </w:r>
    <w:r w:rsidR="000A7503">
      <w:rPr>
        <w:b/>
        <w:noProof/>
        <w:sz w:val="18"/>
      </w:rPr>
      <w:t>19</w:t>
    </w:r>
    <w:r w:rsidRPr="00F8662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CA9A4" w14:textId="77777777" w:rsidR="009E04D4" w:rsidRPr="000B175B" w:rsidRDefault="009E04D4" w:rsidP="000B175B">
      <w:pPr>
        <w:tabs>
          <w:tab w:val="right" w:pos="2155"/>
        </w:tabs>
        <w:spacing w:after="80"/>
        <w:ind w:left="680"/>
        <w:rPr>
          <w:u w:val="single"/>
        </w:rPr>
      </w:pPr>
      <w:r>
        <w:rPr>
          <w:u w:val="single"/>
        </w:rPr>
        <w:tab/>
      </w:r>
    </w:p>
  </w:footnote>
  <w:footnote w:type="continuationSeparator" w:id="0">
    <w:p w14:paraId="37AE7CB6" w14:textId="77777777" w:rsidR="009E04D4" w:rsidRPr="00FC68B7" w:rsidRDefault="009E04D4" w:rsidP="00FC68B7">
      <w:pPr>
        <w:tabs>
          <w:tab w:val="left" w:pos="2155"/>
        </w:tabs>
        <w:spacing w:after="80"/>
        <w:ind w:left="680"/>
        <w:rPr>
          <w:u w:val="single"/>
        </w:rPr>
      </w:pPr>
      <w:r>
        <w:rPr>
          <w:u w:val="single"/>
        </w:rPr>
        <w:tab/>
      </w:r>
    </w:p>
  </w:footnote>
  <w:footnote w:type="continuationNotice" w:id="1">
    <w:p w14:paraId="7A602DE1" w14:textId="77777777" w:rsidR="009E04D4" w:rsidRDefault="009E04D4"/>
  </w:footnote>
  <w:footnote w:id="2">
    <w:p w14:paraId="3D520488" w14:textId="2923D2A9" w:rsidR="00FE5875" w:rsidRPr="00925DBA" w:rsidRDefault="00FE5875" w:rsidP="005C1AE0">
      <w:pPr>
        <w:pStyle w:val="Textpoznpodarou"/>
        <w:ind w:left="567" w:firstLine="142"/>
        <w:jc w:val="both"/>
        <w:rPr>
          <w:szCs w:val="18"/>
        </w:rPr>
      </w:pPr>
      <w:r w:rsidRPr="00925DBA">
        <w:rPr>
          <w:rStyle w:val="Znakapoznpodarou"/>
          <w:szCs w:val="18"/>
        </w:rPr>
        <w:footnoteRef/>
      </w:r>
      <w:r w:rsidRPr="00925DBA">
        <w:rPr>
          <w:szCs w:val="18"/>
        </w:rPr>
        <w:t xml:space="preserve"> </w:t>
      </w:r>
      <w:r>
        <w:rPr>
          <w:szCs w:val="18"/>
        </w:rPr>
        <w:tab/>
      </w:r>
      <w:r>
        <w:rPr>
          <w:szCs w:val="18"/>
        </w:rPr>
        <w:tab/>
      </w:r>
      <w:proofErr w:type="spellStart"/>
      <w:r w:rsidR="00581FB1">
        <w:rPr>
          <w:szCs w:val="18"/>
        </w:rPr>
        <w:t>Výbor</w:t>
      </w:r>
      <w:proofErr w:type="spellEnd"/>
      <w:r w:rsidR="00581FB1">
        <w:rPr>
          <w:szCs w:val="18"/>
        </w:rPr>
        <w:t xml:space="preserve"> OSN pro </w:t>
      </w:r>
      <w:proofErr w:type="spellStart"/>
      <w:r w:rsidR="00581FB1">
        <w:rPr>
          <w:szCs w:val="18"/>
        </w:rPr>
        <w:t>hospodářská</w:t>
      </w:r>
      <w:proofErr w:type="spellEnd"/>
      <w:r w:rsidR="00581FB1">
        <w:rPr>
          <w:szCs w:val="18"/>
        </w:rPr>
        <w:t xml:space="preserve">, </w:t>
      </w:r>
      <w:proofErr w:type="spellStart"/>
      <w:r w:rsidR="00581FB1">
        <w:rPr>
          <w:szCs w:val="18"/>
        </w:rPr>
        <w:t>sociální</w:t>
      </w:r>
      <w:proofErr w:type="spellEnd"/>
      <w:r w:rsidR="00581FB1">
        <w:rPr>
          <w:szCs w:val="18"/>
        </w:rPr>
        <w:t xml:space="preserve"> a </w:t>
      </w:r>
      <w:proofErr w:type="spellStart"/>
      <w:r w:rsidR="00581FB1">
        <w:rPr>
          <w:szCs w:val="18"/>
        </w:rPr>
        <w:t>kulturní</w:t>
      </w:r>
      <w:proofErr w:type="spellEnd"/>
      <w:r w:rsidR="00581FB1">
        <w:rPr>
          <w:szCs w:val="18"/>
        </w:rPr>
        <w:t xml:space="preserve"> </w:t>
      </w:r>
      <w:proofErr w:type="spellStart"/>
      <w:r w:rsidR="00581FB1">
        <w:rPr>
          <w:szCs w:val="18"/>
        </w:rPr>
        <w:t>práva</w:t>
      </w:r>
      <w:proofErr w:type="spellEnd"/>
      <w:r w:rsidR="00581FB1">
        <w:rPr>
          <w:szCs w:val="18"/>
        </w:rPr>
        <w:t xml:space="preserve"> </w:t>
      </w:r>
      <w:r w:rsidRPr="00925DBA">
        <w:rPr>
          <w:szCs w:val="18"/>
        </w:rPr>
        <w:t xml:space="preserve">(CESCR), </w:t>
      </w:r>
      <w:proofErr w:type="spellStart"/>
      <w:r w:rsidR="00581FB1">
        <w:rPr>
          <w:szCs w:val="18"/>
        </w:rPr>
        <w:t>Obecný</w:t>
      </w:r>
      <w:proofErr w:type="spellEnd"/>
      <w:r w:rsidR="00581FB1">
        <w:rPr>
          <w:szCs w:val="18"/>
        </w:rPr>
        <w:t xml:space="preserve"> </w:t>
      </w:r>
      <w:proofErr w:type="spellStart"/>
      <w:r w:rsidR="00581FB1">
        <w:rPr>
          <w:szCs w:val="18"/>
        </w:rPr>
        <w:t>komentář</w:t>
      </w:r>
      <w:proofErr w:type="spellEnd"/>
      <w:r w:rsidR="00581FB1">
        <w:rPr>
          <w:szCs w:val="18"/>
        </w:rPr>
        <w:t xml:space="preserve"> č</w:t>
      </w:r>
      <w:r w:rsidRPr="00925DBA">
        <w:rPr>
          <w:szCs w:val="18"/>
        </w:rPr>
        <w:t xml:space="preserve">. 3: </w:t>
      </w:r>
      <w:proofErr w:type="spellStart"/>
      <w:r w:rsidR="00581FB1">
        <w:rPr>
          <w:szCs w:val="18"/>
        </w:rPr>
        <w:t>Povaha</w:t>
      </w:r>
      <w:proofErr w:type="spellEnd"/>
      <w:r w:rsidR="00581FB1">
        <w:rPr>
          <w:szCs w:val="18"/>
        </w:rPr>
        <w:t xml:space="preserve"> </w:t>
      </w:r>
      <w:proofErr w:type="spellStart"/>
      <w:r w:rsidR="00581FB1">
        <w:rPr>
          <w:szCs w:val="18"/>
        </w:rPr>
        <w:t>závazků</w:t>
      </w:r>
      <w:proofErr w:type="spellEnd"/>
      <w:r w:rsidR="00581FB1">
        <w:rPr>
          <w:szCs w:val="18"/>
        </w:rPr>
        <w:t xml:space="preserve"> </w:t>
      </w:r>
      <w:proofErr w:type="spellStart"/>
      <w:r w:rsidR="00581FB1">
        <w:rPr>
          <w:szCs w:val="18"/>
        </w:rPr>
        <w:t>smluvních</w:t>
      </w:r>
      <w:proofErr w:type="spellEnd"/>
      <w:r w:rsidR="00581FB1">
        <w:rPr>
          <w:szCs w:val="18"/>
        </w:rPr>
        <w:t xml:space="preserve"> </w:t>
      </w:r>
      <w:proofErr w:type="spellStart"/>
      <w:r w:rsidR="00581FB1">
        <w:rPr>
          <w:szCs w:val="18"/>
        </w:rPr>
        <w:t>států</w:t>
      </w:r>
      <w:proofErr w:type="spellEnd"/>
      <w:r w:rsidR="00581FB1">
        <w:rPr>
          <w:szCs w:val="18"/>
        </w:rPr>
        <w:t xml:space="preserve"> (</w:t>
      </w:r>
      <w:proofErr w:type="spellStart"/>
      <w:r w:rsidR="00581FB1">
        <w:rPr>
          <w:szCs w:val="18"/>
        </w:rPr>
        <w:t>čl</w:t>
      </w:r>
      <w:proofErr w:type="spellEnd"/>
      <w:r w:rsidRPr="00925DBA">
        <w:rPr>
          <w:szCs w:val="18"/>
        </w:rPr>
        <w:t xml:space="preserve">. </w:t>
      </w:r>
      <w:r w:rsidR="00581FB1">
        <w:rPr>
          <w:szCs w:val="18"/>
        </w:rPr>
        <w:t xml:space="preserve">2, </w:t>
      </w:r>
      <w:proofErr w:type="spellStart"/>
      <w:r w:rsidR="00581FB1">
        <w:rPr>
          <w:szCs w:val="18"/>
        </w:rPr>
        <w:t>odst</w:t>
      </w:r>
      <w:proofErr w:type="spellEnd"/>
      <w:r w:rsidRPr="00925DBA">
        <w:rPr>
          <w:szCs w:val="18"/>
        </w:rPr>
        <w:t xml:space="preserve">. 1, </w:t>
      </w:r>
      <w:proofErr w:type="spellStart"/>
      <w:r w:rsidR="00581FB1">
        <w:rPr>
          <w:szCs w:val="18"/>
        </w:rPr>
        <w:t>Paktu</w:t>
      </w:r>
      <w:proofErr w:type="spellEnd"/>
      <w:r w:rsidR="00581FB1">
        <w:rPr>
          <w:szCs w:val="18"/>
        </w:rPr>
        <w:t xml:space="preserve">), 14. </w:t>
      </w:r>
      <w:proofErr w:type="spellStart"/>
      <w:r w:rsidR="00581FB1">
        <w:rPr>
          <w:szCs w:val="18"/>
        </w:rPr>
        <w:t>Prosince</w:t>
      </w:r>
      <w:proofErr w:type="spellEnd"/>
      <w:r w:rsidR="00581FB1">
        <w:rPr>
          <w:szCs w:val="18"/>
        </w:rPr>
        <w:t xml:space="preserve"> </w:t>
      </w:r>
      <w:r w:rsidRPr="00925DBA">
        <w:rPr>
          <w:szCs w:val="18"/>
        </w:rPr>
        <w:t xml:space="preserve">1990, E/1991/23, </w:t>
      </w:r>
      <w:proofErr w:type="spellStart"/>
      <w:r w:rsidR="00581FB1">
        <w:rPr>
          <w:szCs w:val="18"/>
        </w:rPr>
        <w:t>odst</w:t>
      </w:r>
      <w:proofErr w:type="spellEnd"/>
      <w:r w:rsidRPr="00925DBA">
        <w:rPr>
          <w:szCs w:val="18"/>
        </w:rPr>
        <w:t xml:space="preserve">. 1-2. </w:t>
      </w:r>
    </w:p>
  </w:footnote>
  <w:footnote w:id="3">
    <w:p w14:paraId="0E84B219" w14:textId="463ECC94" w:rsidR="00FE5875" w:rsidRPr="00925DBA" w:rsidRDefault="00FE5875" w:rsidP="005C1AE0">
      <w:pPr>
        <w:pStyle w:val="Textpoznpodarou"/>
        <w:ind w:left="567" w:firstLine="0"/>
        <w:jc w:val="both"/>
        <w:rPr>
          <w:szCs w:val="18"/>
        </w:rPr>
      </w:pPr>
      <w:r w:rsidRPr="00925DBA">
        <w:rPr>
          <w:rStyle w:val="Znakapoznpodarou"/>
          <w:szCs w:val="18"/>
        </w:rPr>
        <w:footnoteRef/>
      </w:r>
      <w:r w:rsidRPr="00925DBA">
        <w:rPr>
          <w:szCs w:val="18"/>
        </w:rPr>
        <w:t xml:space="preserve"> </w:t>
      </w:r>
      <w:r w:rsidRPr="00925DBA">
        <w:rPr>
          <w:szCs w:val="18"/>
        </w:rPr>
        <w:tab/>
      </w:r>
      <w:r>
        <w:rPr>
          <w:szCs w:val="18"/>
        </w:rPr>
        <w:tab/>
      </w:r>
      <w:proofErr w:type="spellStart"/>
      <w:r w:rsidR="00581FB1">
        <w:rPr>
          <w:szCs w:val="18"/>
        </w:rPr>
        <w:t>Všeobecná</w:t>
      </w:r>
      <w:proofErr w:type="spellEnd"/>
      <w:r w:rsidR="00581FB1">
        <w:rPr>
          <w:szCs w:val="18"/>
        </w:rPr>
        <w:t xml:space="preserve"> </w:t>
      </w:r>
      <w:proofErr w:type="spellStart"/>
      <w:r w:rsidR="00581FB1">
        <w:rPr>
          <w:szCs w:val="18"/>
        </w:rPr>
        <w:t>deklarace</w:t>
      </w:r>
      <w:proofErr w:type="spellEnd"/>
      <w:r w:rsidR="00581FB1">
        <w:rPr>
          <w:szCs w:val="18"/>
        </w:rPr>
        <w:t xml:space="preserve"> </w:t>
      </w:r>
      <w:proofErr w:type="spellStart"/>
      <w:r w:rsidR="00581FB1">
        <w:rPr>
          <w:szCs w:val="18"/>
        </w:rPr>
        <w:t>lidských</w:t>
      </w:r>
      <w:proofErr w:type="spellEnd"/>
      <w:r w:rsidR="00581FB1">
        <w:rPr>
          <w:szCs w:val="18"/>
        </w:rPr>
        <w:t xml:space="preserve"> </w:t>
      </w:r>
      <w:proofErr w:type="spellStart"/>
      <w:r w:rsidR="00581FB1">
        <w:rPr>
          <w:szCs w:val="18"/>
        </w:rPr>
        <w:t>práv</w:t>
      </w:r>
      <w:proofErr w:type="spellEnd"/>
      <w:r w:rsidR="00581FB1">
        <w:rPr>
          <w:szCs w:val="18"/>
        </w:rPr>
        <w:t xml:space="preserve">, </w:t>
      </w:r>
      <w:proofErr w:type="spellStart"/>
      <w:r w:rsidR="00581FB1">
        <w:rPr>
          <w:szCs w:val="18"/>
        </w:rPr>
        <w:t>článek</w:t>
      </w:r>
      <w:proofErr w:type="spellEnd"/>
      <w:r w:rsidR="00581FB1">
        <w:rPr>
          <w:szCs w:val="18"/>
        </w:rPr>
        <w:t xml:space="preserve"> 22; </w:t>
      </w:r>
      <w:proofErr w:type="spellStart"/>
      <w:r w:rsidR="00581FB1">
        <w:rPr>
          <w:szCs w:val="18"/>
        </w:rPr>
        <w:t>Výbor</w:t>
      </w:r>
      <w:proofErr w:type="spellEnd"/>
      <w:r w:rsidR="00581FB1">
        <w:rPr>
          <w:szCs w:val="18"/>
        </w:rPr>
        <w:t xml:space="preserve"> OSN pro </w:t>
      </w:r>
      <w:proofErr w:type="spellStart"/>
      <w:r w:rsidR="00581FB1">
        <w:rPr>
          <w:szCs w:val="18"/>
        </w:rPr>
        <w:t>lidská</w:t>
      </w:r>
      <w:proofErr w:type="spellEnd"/>
      <w:r w:rsidR="00581FB1">
        <w:rPr>
          <w:szCs w:val="18"/>
        </w:rPr>
        <w:t xml:space="preserve"> </w:t>
      </w:r>
      <w:proofErr w:type="spellStart"/>
      <w:r w:rsidR="00581FB1">
        <w:rPr>
          <w:szCs w:val="18"/>
        </w:rPr>
        <w:t>práva</w:t>
      </w:r>
      <w:proofErr w:type="spellEnd"/>
      <w:r w:rsidR="00581FB1">
        <w:rPr>
          <w:szCs w:val="18"/>
        </w:rPr>
        <w:t xml:space="preserve">, </w:t>
      </w:r>
      <w:proofErr w:type="spellStart"/>
      <w:r w:rsidR="00581FB1">
        <w:rPr>
          <w:szCs w:val="18"/>
        </w:rPr>
        <w:t>Obecný</w:t>
      </w:r>
      <w:proofErr w:type="spellEnd"/>
      <w:r w:rsidR="00581FB1">
        <w:rPr>
          <w:szCs w:val="18"/>
        </w:rPr>
        <w:t xml:space="preserve"> </w:t>
      </w:r>
      <w:proofErr w:type="spellStart"/>
      <w:r w:rsidR="00581FB1">
        <w:rPr>
          <w:szCs w:val="18"/>
        </w:rPr>
        <w:t>komentář</w:t>
      </w:r>
      <w:proofErr w:type="spellEnd"/>
      <w:r w:rsidR="00581FB1">
        <w:rPr>
          <w:szCs w:val="18"/>
        </w:rPr>
        <w:t xml:space="preserve"> č. 27, </w:t>
      </w:r>
      <w:proofErr w:type="spellStart"/>
      <w:r w:rsidR="00581FB1">
        <w:rPr>
          <w:szCs w:val="18"/>
        </w:rPr>
        <w:t>odst</w:t>
      </w:r>
      <w:proofErr w:type="spellEnd"/>
      <w:r w:rsidR="00581FB1">
        <w:rPr>
          <w:szCs w:val="18"/>
        </w:rPr>
        <w:t xml:space="preserve">. 1; </w:t>
      </w:r>
      <w:proofErr w:type="spellStart"/>
      <w:r w:rsidR="00581FB1">
        <w:rPr>
          <w:szCs w:val="18"/>
        </w:rPr>
        <w:t>Výbor</w:t>
      </w:r>
      <w:proofErr w:type="spellEnd"/>
      <w:r w:rsidR="00581FB1">
        <w:rPr>
          <w:szCs w:val="18"/>
        </w:rPr>
        <w:t xml:space="preserve"> OSN pro </w:t>
      </w:r>
      <w:proofErr w:type="spellStart"/>
      <w:r w:rsidR="00581FB1">
        <w:rPr>
          <w:szCs w:val="18"/>
        </w:rPr>
        <w:t>hospodářská</w:t>
      </w:r>
      <w:proofErr w:type="spellEnd"/>
      <w:r w:rsidR="00581FB1">
        <w:rPr>
          <w:szCs w:val="18"/>
        </w:rPr>
        <w:t xml:space="preserve">, </w:t>
      </w:r>
      <w:proofErr w:type="spellStart"/>
      <w:r w:rsidR="00581FB1">
        <w:rPr>
          <w:szCs w:val="18"/>
        </w:rPr>
        <w:t>sociální</w:t>
      </w:r>
      <w:proofErr w:type="spellEnd"/>
      <w:r w:rsidR="00581FB1">
        <w:rPr>
          <w:szCs w:val="18"/>
        </w:rPr>
        <w:t xml:space="preserve"> a </w:t>
      </w:r>
      <w:proofErr w:type="spellStart"/>
      <w:r w:rsidR="00581FB1">
        <w:rPr>
          <w:szCs w:val="18"/>
        </w:rPr>
        <w:t>kulturní</w:t>
      </w:r>
      <w:proofErr w:type="spellEnd"/>
      <w:r w:rsidR="00581FB1">
        <w:rPr>
          <w:szCs w:val="18"/>
        </w:rPr>
        <w:t xml:space="preserve"> </w:t>
      </w:r>
      <w:proofErr w:type="spellStart"/>
      <w:r w:rsidR="00581FB1">
        <w:rPr>
          <w:szCs w:val="18"/>
        </w:rPr>
        <w:t>práva</w:t>
      </w:r>
      <w:proofErr w:type="spellEnd"/>
      <w:r w:rsidR="00581FB1">
        <w:rPr>
          <w:szCs w:val="18"/>
        </w:rPr>
        <w:t xml:space="preserve">, </w:t>
      </w:r>
      <w:proofErr w:type="spellStart"/>
      <w:r w:rsidR="00581FB1">
        <w:rPr>
          <w:szCs w:val="18"/>
        </w:rPr>
        <w:t>Obecný</w:t>
      </w:r>
      <w:proofErr w:type="spellEnd"/>
      <w:r w:rsidR="00581FB1">
        <w:rPr>
          <w:szCs w:val="18"/>
        </w:rPr>
        <w:t xml:space="preserve"> </w:t>
      </w:r>
      <w:proofErr w:type="spellStart"/>
      <w:r w:rsidR="00581FB1">
        <w:rPr>
          <w:szCs w:val="18"/>
        </w:rPr>
        <w:t>komentář</w:t>
      </w:r>
      <w:proofErr w:type="spellEnd"/>
      <w:r w:rsidR="00581FB1">
        <w:rPr>
          <w:szCs w:val="18"/>
        </w:rPr>
        <w:t xml:space="preserve"> č. 4, </w:t>
      </w:r>
      <w:proofErr w:type="spellStart"/>
      <w:r w:rsidR="00581FB1">
        <w:rPr>
          <w:szCs w:val="18"/>
        </w:rPr>
        <w:t>odst</w:t>
      </w:r>
      <w:proofErr w:type="spellEnd"/>
      <w:r w:rsidR="00581FB1">
        <w:rPr>
          <w:szCs w:val="18"/>
        </w:rPr>
        <w:t xml:space="preserve">. 7. </w:t>
      </w:r>
    </w:p>
  </w:footnote>
  <w:footnote w:id="4">
    <w:p w14:paraId="13B110A6" w14:textId="44BECBC0" w:rsidR="00FE5875" w:rsidRPr="00925DBA" w:rsidRDefault="00FE5875" w:rsidP="005C1AE0">
      <w:pPr>
        <w:pStyle w:val="Textpoznpodarou"/>
        <w:ind w:left="567" w:firstLine="0"/>
        <w:jc w:val="both"/>
        <w:rPr>
          <w:szCs w:val="18"/>
        </w:rPr>
      </w:pPr>
      <w:r w:rsidRPr="00925DBA">
        <w:rPr>
          <w:rStyle w:val="Znakapoznpodarou"/>
          <w:szCs w:val="18"/>
        </w:rPr>
        <w:footnoteRef/>
      </w:r>
      <w:r w:rsidRPr="00925DBA">
        <w:rPr>
          <w:szCs w:val="18"/>
        </w:rPr>
        <w:t xml:space="preserve"> </w:t>
      </w:r>
      <w:proofErr w:type="spellStart"/>
      <w:r w:rsidR="00581FB1">
        <w:rPr>
          <w:szCs w:val="18"/>
        </w:rPr>
        <w:t>Výbor</w:t>
      </w:r>
      <w:proofErr w:type="spellEnd"/>
      <w:r w:rsidR="00581FB1">
        <w:rPr>
          <w:szCs w:val="18"/>
        </w:rPr>
        <w:t xml:space="preserve"> OSN pro </w:t>
      </w:r>
      <w:proofErr w:type="spellStart"/>
      <w:r w:rsidR="00581FB1">
        <w:rPr>
          <w:szCs w:val="18"/>
        </w:rPr>
        <w:t>práva</w:t>
      </w:r>
      <w:proofErr w:type="spellEnd"/>
      <w:r w:rsidR="00581FB1">
        <w:rPr>
          <w:szCs w:val="18"/>
        </w:rPr>
        <w:t xml:space="preserve"> </w:t>
      </w:r>
      <w:proofErr w:type="spellStart"/>
      <w:r w:rsidR="00581FB1">
        <w:rPr>
          <w:szCs w:val="18"/>
        </w:rPr>
        <w:t>dítěte</w:t>
      </w:r>
      <w:proofErr w:type="spellEnd"/>
      <w:r w:rsidR="00581FB1">
        <w:rPr>
          <w:szCs w:val="18"/>
        </w:rPr>
        <w:t xml:space="preserve">, </w:t>
      </w:r>
      <w:proofErr w:type="spellStart"/>
      <w:r w:rsidR="00581FB1">
        <w:rPr>
          <w:szCs w:val="18"/>
        </w:rPr>
        <w:t>Obecný</w:t>
      </w:r>
      <w:proofErr w:type="spellEnd"/>
      <w:r w:rsidR="00581FB1">
        <w:rPr>
          <w:szCs w:val="18"/>
        </w:rPr>
        <w:t xml:space="preserve"> </w:t>
      </w:r>
      <w:proofErr w:type="spellStart"/>
      <w:r w:rsidR="00581FB1">
        <w:rPr>
          <w:szCs w:val="18"/>
        </w:rPr>
        <w:t>komentář</w:t>
      </w:r>
      <w:proofErr w:type="spellEnd"/>
      <w:r w:rsidR="00581FB1">
        <w:rPr>
          <w:szCs w:val="18"/>
        </w:rPr>
        <w:t xml:space="preserve"> č. 9</w:t>
      </w:r>
      <w:r w:rsidRPr="00925DBA">
        <w:rPr>
          <w:szCs w:val="18"/>
        </w:rPr>
        <w:t xml:space="preserve"> (2006) </w:t>
      </w:r>
      <w:proofErr w:type="spellStart"/>
      <w:r w:rsidR="007B4D2E">
        <w:rPr>
          <w:szCs w:val="18"/>
        </w:rPr>
        <w:t>Práva</w:t>
      </w:r>
      <w:proofErr w:type="spellEnd"/>
      <w:r w:rsidR="007B4D2E">
        <w:rPr>
          <w:szCs w:val="18"/>
        </w:rPr>
        <w:t xml:space="preserve"> </w:t>
      </w:r>
      <w:proofErr w:type="spellStart"/>
      <w:r w:rsidR="007B4D2E">
        <w:rPr>
          <w:szCs w:val="18"/>
        </w:rPr>
        <w:t>dětí</w:t>
      </w:r>
      <w:proofErr w:type="spellEnd"/>
      <w:r w:rsidR="007B4D2E">
        <w:rPr>
          <w:szCs w:val="18"/>
        </w:rPr>
        <w:t xml:space="preserve"> se </w:t>
      </w:r>
      <w:proofErr w:type="spellStart"/>
      <w:r w:rsidR="007B4D2E">
        <w:rPr>
          <w:szCs w:val="18"/>
        </w:rPr>
        <w:t>zdravotním</w:t>
      </w:r>
      <w:proofErr w:type="spellEnd"/>
      <w:r w:rsidR="007B4D2E">
        <w:rPr>
          <w:szCs w:val="18"/>
        </w:rPr>
        <w:t xml:space="preserve"> </w:t>
      </w:r>
      <w:proofErr w:type="spellStart"/>
      <w:r w:rsidR="007B4D2E">
        <w:rPr>
          <w:szCs w:val="18"/>
        </w:rPr>
        <w:t>postižením</w:t>
      </w:r>
      <w:proofErr w:type="spellEnd"/>
      <w:r w:rsidR="007B4D2E">
        <w:rPr>
          <w:szCs w:val="18"/>
        </w:rPr>
        <w:t xml:space="preserve">, CRC/C/GC/9, 27. </w:t>
      </w:r>
      <w:proofErr w:type="spellStart"/>
      <w:r w:rsidR="007B4D2E">
        <w:rPr>
          <w:szCs w:val="18"/>
        </w:rPr>
        <w:t>února</w:t>
      </w:r>
      <w:proofErr w:type="spellEnd"/>
      <w:r w:rsidR="007B4D2E">
        <w:rPr>
          <w:szCs w:val="18"/>
        </w:rPr>
        <w:t xml:space="preserve"> </w:t>
      </w:r>
      <w:r w:rsidRPr="00925DBA">
        <w:rPr>
          <w:szCs w:val="18"/>
        </w:rPr>
        <w:t xml:space="preserve">2007., </w:t>
      </w:r>
      <w:proofErr w:type="spellStart"/>
      <w:r w:rsidR="007B4D2E">
        <w:rPr>
          <w:szCs w:val="18"/>
        </w:rPr>
        <w:t>odst</w:t>
      </w:r>
      <w:proofErr w:type="spellEnd"/>
      <w:r w:rsidR="007B4D2E">
        <w:rPr>
          <w:szCs w:val="18"/>
        </w:rPr>
        <w:t>.</w:t>
      </w:r>
      <w:r w:rsidRPr="00925DBA">
        <w:rPr>
          <w:szCs w:val="18"/>
        </w:rPr>
        <w:t xml:space="preserve"> 47</w:t>
      </w:r>
    </w:p>
  </w:footnote>
  <w:footnote w:id="5">
    <w:p w14:paraId="0AD86030" w14:textId="3FF11793" w:rsidR="00FE5875" w:rsidRPr="00925DBA" w:rsidRDefault="00FE5875" w:rsidP="005C1AE0">
      <w:pPr>
        <w:pStyle w:val="Textpoznpodarou"/>
        <w:ind w:left="567" w:firstLine="0"/>
        <w:jc w:val="both"/>
        <w:rPr>
          <w:szCs w:val="18"/>
        </w:rPr>
      </w:pPr>
      <w:r w:rsidRPr="00925DBA">
        <w:rPr>
          <w:rStyle w:val="Znakapoznpodarou"/>
          <w:szCs w:val="18"/>
        </w:rPr>
        <w:footnoteRef/>
      </w:r>
      <w:r w:rsidRPr="00925DBA">
        <w:rPr>
          <w:szCs w:val="18"/>
        </w:rPr>
        <w:t xml:space="preserve"> </w:t>
      </w:r>
      <w:r w:rsidRPr="00925DBA">
        <w:rPr>
          <w:szCs w:val="18"/>
        </w:rPr>
        <w:tab/>
      </w:r>
      <w:proofErr w:type="spellStart"/>
      <w:r w:rsidR="007B4D2E">
        <w:rPr>
          <w:szCs w:val="18"/>
        </w:rPr>
        <w:t>Výbor</w:t>
      </w:r>
      <w:proofErr w:type="spellEnd"/>
      <w:r w:rsidR="007B4D2E">
        <w:rPr>
          <w:szCs w:val="18"/>
        </w:rPr>
        <w:t xml:space="preserve"> OSN pro </w:t>
      </w:r>
      <w:proofErr w:type="spellStart"/>
      <w:r w:rsidR="007B4D2E">
        <w:rPr>
          <w:szCs w:val="18"/>
        </w:rPr>
        <w:t>hospodářská</w:t>
      </w:r>
      <w:proofErr w:type="spellEnd"/>
      <w:r w:rsidR="007B4D2E">
        <w:rPr>
          <w:szCs w:val="18"/>
        </w:rPr>
        <w:t xml:space="preserve">, </w:t>
      </w:r>
      <w:proofErr w:type="spellStart"/>
      <w:r w:rsidR="007B4D2E">
        <w:rPr>
          <w:szCs w:val="18"/>
        </w:rPr>
        <w:t>sociální</w:t>
      </w:r>
      <w:proofErr w:type="spellEnd"/>
      <w:r w:rsidR="007B4D2E">
        <w:rPr>
          <w:szCs w:val="18"/>
        </w:rPr>
        <w:t xml:space="preserve"> a </w:t>
      </w:r>
      <w:proofErr w:type="spellStart"/>
      <w:r w:rsidR="007B4D2E">
        <w:rPr>
          <w:szCs w:val="18"/>
        </w:rPr>
        <w:t>kulturní</w:t>
      </w:r>
      <w:proofErr w:type="spellEnd"/>
      <w:r w:rsidR="007B4D2E">
        <w:rPr>
          <w:szCs w:val="18"/>
        </w:rPr>
        <w:t xml:space="preserve"> </w:t>
      </w:r>
      <w:proofErr w:type="spellStart"/>
      <w:r w:rsidR="007B4D2E">
        <w:rPr>
          <w:szCs w:val="18"/>
        </w:rPr>
        <w:t>práva</w:t>
      </w:r>
      <w:proofErr w:type="spellEnd"/>
      <w:r w:rsidRPr="00925DBA">
        <w:rPr>
          <w:szCs w:val="18"/>
        </w:rPr>
        <w:t xml:space="preserve">, </w:t>
      </w:r>
      <w:proofErr w:type="spellStart"/>
      <w:r w:rsidR="007B4D2E">
        <w:rPr>
          <w:szCs w:val="18"/>
        </w:rPr>
        <w:t>Obecný</w:t>
      </w:r>
      <w:proofErr w:type="spellEnd"/>
      <w:r w:rsidR="007B4D2E">
        <w:rPr>
          <w:szCs w:val="18"/>
        </w:rPr>
        <w:t xml:space="preserve"> </w:t>
      </w:r>
      <w:proofErr w:type="spellStart"/>
      <w:r w:rsidR="007B4D2E">
        <w:rPr>
          <w:szCs w:val="18"/>
        </w:rPr>
        <w:t>komentář</w:t>
      </w:r>
      <w:proofErr w:type="spellEnd"/>
      <w:r w:rsidR="007B4D2E">
        <w:rPr>
          <w:szCs w:val="18"/>
        </w:rPr>
        <w:t xml:space="preserve"> č. </w:t>
      </w:r>
      <w:r w:rsidRPr="00925DBA">
        <w:rPr>
          <w:szCs w:val="18"/>
        </w:rPr>
        <w:t xml:space="preserve">5, </w:t>
      </w:r>
      <w:proofErr w:type="spellStart"/>
      <w:r w:rsidR="007B4D2E">
        <w:rPr>
          <w:szCs w:val="18"/>
        </w:rPr>
        <w:t>odst</w:t>
      </w:r>
      <w:proofErr w:type="spellEnd"/>
      <w:r w:rsidRPr="00925DBA">
        <w:rPr>
          <w:szCs w:val="18"/>
        </w:rPr>
        <w:t xml:space="preserve">. 15 </w:t>
      </w:r>
      <w:r w:rsidR="007B4D2E">
        <w:rPr>
          <w:szCs w:val="18"/>
        </w:rPr>
        <w:t xml:space="preserve">a </w:t>
      </w:r>
      <w:proofErr w:type="spellStart"/>
      <w:r w:rsidR="007B4D2E">
        <w:rPr>
          <w:szCs w:val="18"/>
        </w:rPr>
        <w:t>odst</w:t>
      </w:r>
      <w:proofErr w:type="spellEnd"/>
      <w:r w:rsidRPr="00925DBA">
        <w:rPr>
          <w:szCs w:val="18"/>
        </w:rPr>
        <w:t>. 48-49.</w:t>
      </w:r>
    </w:p>
  </w:footnote>
  <w:footnote w:id="6">
    <w:p w14:paraId="29EEC78A" w14:textId="002522C5" w:rsidR="00FE5875" w:rsidRPr="00DF27B0" w:rsidRDefault="00FE5875" w:rsidP="00DF27B0">
      <w:pPr>
        <w:pStyle w:val="Textpoznpodarou"/>
        <w:tabs>
          <w:tab w:val="clear" w:pos="1021"/>
          <w:tab w:val="right" w:pos="709"/>
        </w:tabs>
        <w:ind w:left="709" w:firstLine="0"/>
        <w:jc w:val="both"/>
      </w:pPr>
      <w:r>
        <w:rPr>
          <w:rStyle w:val="Znakapoznpodarou"/>
        </w:rPr>
        <w:footnoteRef/>
      </w:r>
      <w:r>
        <w:t xml:space="preserve"> </w:t>
      </w:r>
      <w:proofErr w:type="spellStart"/>
      <w:r w:rsidR="004B6452">
        <w:t>Viz</w:t>
      </w:r>
      <w:proofErr w:type="spellEnd"/>
      <w:r w:rsidR="004B6452">
        <w:t xml:space="preserve"> </w:t>
      </w:r>
      <w:proofErr w:type="spellStart"/>
      <w:r w:rsidR="004B6452">
        <w:t>Výbor</w:t>
      </w:r>
      <w:proofErr w:type="spellEnd"/>
      <w:r w:rsidR="004B6452">
        <w:t xml:space="preserve"> OSN pro </w:t>
      </w:r>
      <w:proofErr w:type="spellStart"/>
      <w:r w:rsidR="004B6452">
        <w:t>práva</w:t>
      </w:r>
      <w:proofErr w:type="spellEnd"/>
      <w:r w:rsidR="004B6452">
        <w:t xml:space="preserve"> </w:t>
      </w:r>
      <w:proofErr w:type="spellStart"/>
      <w:r w:rsidR="004B6452">
        <w:t>osob</w:t>
      </w:r>
      <w:proofErr w:type="spellEnd"/>
      <w:r w:rsidR="004B6452">
        <w:t xml:space="preserve"> se </w:t>
      </w:r>
      <w:proofErr w:type="spellStart"/>
      <w:r w:rsidR="004B6452">
        <w:t>zdravotním</w:t>
      </w:r>
      <w:proofErr w:type="spellEnd"/>
      <w:r w:rsidR="004B6452">
        <w:t xml:space="preserve"> </w:t>
      </w:r>
      <w:proofErr w:type="spellStart"/>
      <w:r w:rsidR="004B6452">
        <w:t>postižením</w:t>
      </w:r>
      <w:proofErr w:type="spellEnd"/>
      <w:r w:rsidR="004B6452">
        <w:t xml:space="preserve">, </w:t>
      </w:r>
      <w:proofErr w:type="spellStart"/>
      <w:r w:rsidR="004B6452">
        <w:t>Pokyny</w:t>
      </w:r>
      <w:proofErr w:type="spellEnd"/>
      <w:r w:rsidR="004B6452">
        <w:t xml:space="preserve"> k </w:t>
      </w:r>
      <w:proofErr w:type="spellStart"/>
      <w:r w:rsidR="004B6452">
        <w:t>článku</w:t>
      </w:r>
      <w:proofErr w:type="spellEnd"/>
      <w:r w:rsidR="004B6452">
        <w:t xml:space="preserve"> 14 </w:t>
      </w:r>
      <w:proofErr w:type="spellStart"/>
      <w:r w:rsidR="004B6452">
        <w:t>Úmluvy</w:t>
      </w:r>
      <w:proofErr w:type="spellEnd"/>
      <w:r w:rsidR="004B6452">
        <w:t xml:space="preserve"> o </w:t>
      </w:r>
      <w:proofErr w:type="spellStart"/>
      <w:r w:rsidR="004B6452">
        <w:t>právech</w:t>
      </w:r>
      <w:proofErr w:type="spellEnd"/>
      <w:r w:rsidR="004B6452">
        <w:t xml:space="preserve"> </w:t>
      </w:r>
      <w:proofErr w:type="spellStart"/>
      <w:r w:rsidR="004B6452">
        <w:t>osob</w:t>
      </w:r>
      <w:proofErr w:type="spellEnd"/>
      <w:r w:rsidR="004B6452">
        <w:t xml:space="preserve"> se </w:t>
      </w:r>
      <w:proofErr w:type="spellStart"/>
      <w:r w:rsidR="004B6452">
        <w:t>zdravotním</w:t>
      </w:r>
      <w:proofErr w:type="spellEnd"/>
      <w:r w:rsidR="004B6452">
        <w:t xml:space="preserve"> </w:t>
      </w:r>
      <w:proofErr w:type="spellStart"/>
      <w:r w:rsidR="004B6452">
        <w:t>postižením</w:t>
      </w:r>
      <w:proofErr w:type="spellEnd"/>
      <w:r w:rsidR="004B6452">
        <w:t xml:space="preserve">: parvo </w:t>
      </w:r>
      <w:proofErr w:type="spellStart"/>
      <w:r w:rsidR="004B6452">
        <w:t>na</w:t>
      </w:r>
      <w:proofErr w:type="spellEnd"/>
      <w:r w:rsidR="004B6452">
        <w:t xml:space="preserve"> </w:t>
      </w:r>
      <w:proofErr w:type="spellStart"/>
      <w:r w:rsidR="004B6452">
        <w:t>osobní</w:t>
      </w:r>
      <w:proofErr w:type="spellEnd"/>
      <w:r w:rsidR="004B6452">
        <w:t xml:space="preserve"> </w:t>
      </w:r>
      <w:proofErr w:type="spellStart"/>
      <w:r w:rsidR="004B6452">
        <w:t>svobodu</w:t>
      </w:r>
      <w:proofErr w:type="spellEnd"/>
      <w:r w:rsidR="004B6452">
        <w:t xml:space="preserve"> a </w:t>
      </w:r>
      <w:proofErr w:type="spellStart"/>
      <w:r w:rsidR="004B6452">
        <w:t>bezpečnost</w:t>
      </w:r>
      <w:proofErr w:type="spellEnd"/>
      <w:r w:rsidR="004B6452">
        <w:t xml:space="preserve"> </w:t>
      </w:r>
      <w:proofErr w:type="spellStart"/>
      <w:r w:rsidR="004B6452">
        <w:t>lidí</w:t>
      </w:r>
      <w:proofErr w:type="spellEnd"/>
      <w:r w:rsidR="004B6452">
        <w:t xml:space="preserve"> se </w:t>
      </w:r>
      <w:proofErr w:type="spellStart"/>
      <w:r w:rsidR="004B6452">
        <w:t>zdravotním</w:t>
      </w:r>
      <w:proofErr w:type="spellEnd"/>
      <w:r w:rsidR="004B6452">
        <w:t xml:space="preserve"> </w:t>
      </w:r>
      <w:proofErr w:type="spellStart"/>
      <w:r w:rsidR="004B6452">
        <w:t>postižením</w:t>
      </w:r>
      <w:proofErr w:type="spellEnd"/>
      <w:r w:rsidR="004B6452">
        <w:t xml:space="preserve">, </w:t>
      </w:r>
      <w:proofErr w:type="spellStart"/>
      <w:r w:rsidR="004B6452">
        <w:t>přijaté</w:t>
      </w:r>
      <w:proofErr w:type="spellEnd"/>
      <w:r w:rsidR="004B6452">
        <w:t xml:space="preserve"> </w:t>
      </w:r>
      <w:proofErr w:type="spellStart"/>
      <w:r w:rsidR="004B6452">
        <w:t>během</w:t>
      </w:r>
      <w:proofErr w:type="spellEnd"/>
      <w:r w:rsidR="004B6452">
        <w:t xml:space="preserve"> 14. </w:t>
      </w:r>
      <w:proofErr w:type="spellStart"/>
      <w:r w:rsidR="004B6452">
        <w:t>zasedání</w:t>
      </w:r>
      <w:proofErr w:type="spellEnd"/>
      <w:r w:rsidR="004B6452">
        <w:t xml:space="preserve"> </w:t>
      </w:r>
      <w:proofErr w:type="spellStart"/>
      <w:r w:rsidR="004B6452">
        <w:t>Výboru</w:t>
      </w:r>
      <w:proofErr w:type="spellEnd"/>
      <w:r w:rsidR="004B6452">
        <w:t xml:space="preserve">, </w:t>
      </w:r>
      <w:proofErr w:type="spellStart"/>
      <w:r w:rsidR="004B6452">
        <w:t>konajícím</w:t>
      </w:r>
      <w:proofErr w:type="spellEnd"/>
      <w:r w:rsidR="004B6452">
        <w:t xml:space="preserve"> se v </w:t>
      </w:r>
      <w:proofErr w:type="spellStart"/>
      <w:r w:rsidR="004B6452">
        <w:t>září</w:t>
      </w:r>
      <w:proofErr w:type="spellEnd"/>
      <w:r w:rsidR="004B6452">
        <w:t xml:space="preserve"> 2015</w:t>
      </w:r>
      <w:r>
        <w:t>.</w:t>
      </w:r>
    </w:p>
  </w:footnote>
  <w:footnote w:id="7">
    <w:p w14:paraId="4869B227" w14:textId="70F64469" w:rsidR="00FE5875" w:rsidRPr="00277A65" w:rsidRDefault="00FE5875" w:rsidP="00277A65">
      <w:pPr>
        <w:pStyle w:val="Textpoznpodarou"/>
        <w:tabs>
          <w:tab w:val="clear" w:pos="1021"/>
          <w:tab w:val="right" w:pos="709"/>
        </w:tabs>
        <w:ind w:left="709" w:firstLine="0"/>
      </w:pPr>
      <w:r>
        <w:rPr>
          <w:rStyle w:val="Znakapoznpodarou"/>
        </w:rPr>
        <w:footnoteRef/>
      </w:r>
      <w:r>
        <w:t xml:space="preserve"> </w:t>
      </w:r>
      <w:proofErr w:type="spellStart"/>
      <w:r w:rsidR="007B4D2E">
        <w:t>Viz</w:t>
      </w:r>
      <w:proofErr w:type="spellEnd"/>
      <w:r w:rsidR="007B4D2E">
        <w:t xml:space="preserve"> </w:t>
      </w:r>
      <w:proofErr w:type="spellStart"/>
      <w:r w:rsidR="007B4D2E">
        <w:t>článek</w:t>
      </w:r>
      <w:proofErr w:type="spellEnd"/>
      <w:r>
        <w:t xml:space="preserve"> 2 (1) </w:t>
      </w:r>
      <w:proofErr w:type="spellStart"/>
      <w:r w:rsidR="007B4D2E">
        <w:t>Mezinárodního</w:t>
      </w:r>
      <w:proofErr w:type="spellEnd"/>
      <w:r w:rsidR="007B4D2E">
        <w:t xml:space="preserve"> </w:t>
      </w:r>
      <w:proofErr w:type="spellStart"/>
      <w:r w:rsidR="007B4D2E">
        <w:t>paktu</w:t>
      </w:r>
      <w:proofErr w:type="spellEnd"/>
      <w:r w:rsidR="007B4D2E">
        <w:t xml:space="preserve"> o </w:t>
      </w:r>
      <w:proofErr w:type="spellStart"/>
      <w:r w:rsidR="007B4D2E">
        <w:t>hospodářských</w:t>
      </w:r>
      <w:proofErr w:type="spellEnd"/>
      <w:r w:rsidR="007B4D2E">
        <w:t xml:space="preserve">, </w:t>
      </w:r>
      <w:proofErr w:type="spellStart"/>
      <w:r w:rsidR="007B4D2E">
        <w:t>sociálních</w:t>
      </w:r>
      <w:proofErr w:type="spellEnd"/>
      <w:r w:rsidR="007B4D2E">
        <w:t xml:space="preserve"> a </w:t>
      </w:r>
      <w:proofErr w:type="spellStart"/>
      <w:r w:rsidR="007B4D2E">
        <w:t>kulturních</w:t>
      </w:r>
      <w:proofErr w:type="spellEnd"/>
      <w:r w:rsidR="007B4D2E">
        <w:t xml:space="preserve"> </w:t>
      </w:r>
      <w:proofErr w:type="spellStart"/>
      <w:r w:rsidR="007B4D2E">
        <w:t>právech</w:t>
      </w:r>
      <w:proofErr w:type="spellEnd"/>
      <w:r w:rsidR="007B4D2E">
        <w:t xml:space="preserve">, a </w:t>
      </w:r>
      <w:proofErr w:type="spellStart"/>
      <w:r w:rsidR="007B4D2E">
        <w:t>článku</w:t>
      </w:r>
      <w:proofErr w:type="spellEnd"/>
      <w:r w:rsidR="007B4D2E">
        <w:t xml:space="preserve"> </w:t>
      </w:r>
      <w:r>
        <w:t xml:space="preserve">4 (2) </w:t>
      </w:r>
      <w:proofErr w:type="spellStart"/>
      <w:r w:rsidR="007B4D2E">
        <w:t>Úmluvy</w:t>
      </w:r>
      <w:proofErr w:type="spellEnd"/>
      <w:r w:rsidR="007B4D2E">
        <w:t xml:space="preserve"> o </w:t>
      </w:r>
      <w:proofErr w:type="spellStart"/>
      <w:r w:rsidR="007B4D2E">
        <w:t>právech</w:t>
      </w:r>
      <w:proofErr w:type="spellEnd"/>
      <w:r w:rsidR="007B4D2E">
        <w:t xml:space="preserve"> </w:t>
      </w:r>
      <w:proofErr w:type="spellStart"/>
      <w:r w:rsidR="007B4D2E">
        <w:t>osob</w:t>
      </w:r>
      <w:proofErr w:type="spellEnd"/>
      <w:r w:rsidR="007B4D2E">
        <w:t xml:space="preserve"> se </w:t>
      </w:r>
      <w:proofErr w:type="spellStart"/>
      <w:r w:rsidR="007B4D2E">
        <w:t>zdravotním</w:t>
      </w:r>
      <w:proofErr w:type="spellEnd"/>
      <w:r w:rsidR="007B4D2E">
        <w:t xml:space="preserve"> </w:t>
      </w:r>
      <w:proofErr w:type="spellStart"/>
      <w:r w:rsidR="007B4D2E">
        <w:t>postižením</w:t>
      </w:r>
      <w:proofErr w:type="spellEnd"/>
      <w:r>
        <w:t>.</w:t>
      </w:r>
    </w:p>
  </w:footnote>
  <w:footnote w:id="8">
    <w:p w14:paraId="19E464C7" w14:textId="5F8D7388" w:rsidR="00FE5875" w:rsidRPr="00925DBA" w:rsidRDefault="00FE5875" w:rsidP="005C1AE0">
      <w:pPr>
        <w:pStyle w:val="Textpoznpodarou"/>
        <w:ind w:left="709" w:firstLine="0"/>
        <w:jc w:val="both"/>
        <w:rPr>
          <w:szCs w:val="18"/>
        </w:rPr>
      </w:pPr>
      <w:r w:rsidRPr="00925DBA">
        <w:rPr>
          <w:rStyle w:val="Znakapoznpodarou"/>
          <w:szCs w:val="18"/>
        </w:rPr>
        <w:footnoteRef/>
      </w:r>
      <w:r w:rsidRPr="00925DBA">
        <w:rPr>
          <w:szCs w:val="18"/>
        </w:rPr>
        <w:t xml:space="preserve"> </w:t>
      </w:r>
      <w:proofErr w:type="spellStart"/>
      <w:r w:rsidR="007B4D2E">
        <w:rPr>
          <w:szCs w:val="18"/>
        </w:rPr>
        <w:t>Výbor</w:t>
      </w:r>
      <w:proofErr w:type="spellEnd"/>
      <w:r w:rsidR="007B4D2E">
        <w:rPr>
          <w:szCs w:val="18"/>
        </w:rPr>
        <w:t xml:space="preserve"> OSN pro </w:t>
      </w:r>
      <w:proofErr w:type="spellStart"/>
      <w:r w:rsidR="007B4D2E">
        <w:rPr>
          <w:szCs w:val="18"/>
        </w:rPr>
        <w:t>hospodářská</w:t>
      </w:r>
      <w:proofErr w:type="spellEnd"/>
      <w:r w:rsidR="007B4D2E">
        <w:rPr>
          <w:szCs w:val="18"/>
        </w:rPr>
        <w:t xml:space="preserve">, </w:t>
      </w:r>
      <w:proofErr w:type="spellStart"/>
      <w:r w:rsidR="007B4D2E">
        <w:rPr>
          <w:szCs w:val="18"/>
        </w:rPr>
        <w:t>sociální</w:t>
      </w:r>
      <w:proofErr w:type="spellEnd"/>
      <w:r w:rsidR="007B4D2E">
        <w:rPr>
          <w:szCs w:val="18"/>
        </w:rPr>
        <w:t xml:space="preserve"> a </w:t>
      </w:r>
      <w:proofErr w:type="spellStart"/>
      <w:r w:rsidR="007B4D2E">
        <w:rPr>
          <w:szCs w:val="18"/>
        </w:rPr>
        <w:t>kulturní</w:t>
      </w:r>
      <w:proofErr w:type="spellEnd"/>
      <w:r w:rsidR="007B4D2E">
        <w:rPr>
          <w:szCs w:val="18"/>
        </w:rPr>
        <w:t xml:space="preserve"> </w:t>
      </w:r>
      <w:proofErr w:type="spellStart"/>
      <w:r w:rsidR="007B4D2E">
        <w:rPr>
          <w:szCs w:val="18"/>
        </w:rPr>
        <w:t>práva</w:t>
      </w:r>
      <w:proofErr w:type="spellEnd"/>
      <w:r w:rsidRPr="00925DBA">
        <w:rPr>
          <w:szCs w:val="18"/>
        </w:rPr>
        <w:t xml:space="preserve">, </w:t>
      </w:r>
      <w:proofErr w:type="spellStart"/>
      <w:r w:rsidR="007B4D2E">
        <w:rPr>
          <w:szCs w:val="18"/>
        </w:rPr>
        <w:t>Obecný</w:t>
      </w:r>
      <w:proofErr w:type="spellEnd"/>
      <w:r w:rsidR="007B4D2E">
        <w:rPr>
          <w:szCs w:val="18"/>
        </w:rPr>
        <w:t xml:space="preserve"> </w:t>
      </w:r>
      <w:proofErr w:type="spellStart"/>
      <w:r w:rsidR="007B4D2E">
        <w:rPr>
          <w:szCs w:val="18"/>
        </w:rPr>
        <w:t>komentář</w:t>
      </w:r>
      <w:proofErr w:type="spellEnd"/>
      <w:r w:rsidR="007B4D2E">
        <w:rPr>
          <w:szCs w:val="18"/>
        </w:rPr>
        <w:t xml:space="preserve"> č. 3, </w:t>
      </w:r>
      <w:proofErr w:type="spellStart"/>
      <w:r w:rsidR="007B4D2E">
        <w:rPr>
          <w:szCs w:val="18"/>
        </w:rPr>
        <w:t>odst</w:t>
      </w:r>
      <w:proofErr w:type="spellEnd"/>
      <w:r w:rsidRPr="00925DBA">
        <w:rPr>
          <w:szCs w:val="18"/>
        </w:rPr>
        <w:t>. 2.</w:t>
      </w:r>
    </w:p>
  </w:footnote>
  <w:footnote w:id="9">
    <w:p w14:paraId="69FADB44" w14:textId="357EF149" w:rsidR="00FE5875" w:rsidRPr="00925DBA" w:rsidRDefault="00FE5875" w:rsidP="005C1AE0">
      <w:pPr>
        <w:pStyle w:val="Textpoznpodarou"/>
        <w:tabs>
          <w:tab w:val="clear" w:pos="1021"/>
          <w:tab w:val="right" w:pos="1020"/>
        </w:tabs>
        <w:ind w:left="709" w:firstLine="0"/>
        <w:jc w:val="both"/>
        <w:rPr>
          <w:szCs w:val="18"/>
        </w:rPr>
      </w:pPr>
      <w:r w:rsidRPr="00925DBA">
        <w:rPr>
          <w:rStyle w:val="Znakapoznpodarou"/>
          <w:szCs w:val="18"/>
        </w:rPr>
        <w:footnoteRef/>
      </w:r>
      <w:r w:rsidRPr="00925DBA">
        <w:rPr>
          <w:szCs w:val="18"/>
        </w:rPr>
        <w:tab/>
        <w:t xml:space="preserve"> </w:t>
      </w:r>
      <w:proofErr w:type="spellStart"/>
      <w:r w:rsidR="007B4D2E">
        <w:rPr>
          <w:szCs w:val="18"/>
        </w:rPr>
        <w:t>Dopis</w:t>
      </w:r>
      <w:proofErr w:type="spellEnd"/>
      <w:r w:rsidR="007B4D2E">
        <w:rPr>
          <w:szCs w:val="18"/>
        </w:rPr>
        <w:t xml:space="preserve"> </w:t>
      </w:r>
      <w:proofErr w:type="spellStart"/>
      <w:r w:rsidR="007B4D2E">
        <w:rPr>
          <w:szCs w:val="18"/>
        </w:rPr>
        <w:t>předsedy</w:t>
      </w:r>
      <w:proofErr w:type="spellEnd"/>
      <w:r w:rsidR="007B4D2E">
        <w:rPr>
          <w:szCs w:val="18"/>
        </w:rPr>
        <w:t xml:space="preserve"> </w:t>
      </w:r>
      <w:proofErr w:type="spellStart"/>
      <w:r w:rsidR="007B4D2E">
        <w:rPr>
          <w:szCs w:val="18"/>
        </w:rPr>
        <w:t>Výboru</w:t>
      </w:r>
      <w:proofErr w:type="spellEnd"/>
      <w:r w:rsidR="007B4D2E">
        <w:rPr>
          <w:szCs w:val="18"/>
        </w:rPr>
        <w:t xml:space="preserve"> </w:t>
      </w:r>
      <w:proofErr w:type="spellStart"/>
      <w:r w:rsidR="007B4D2E">
        <w:rPr>
          <w:szCs w:val="18"/>
        </w:rPr>
        <w:t>smluvním</w:t>
      </w:r>
      <w:proofErr w:type="spellEnd"/>
      <w:r w:rsidR="007B4D2E">
        <w:rPr>
          <w:szCs w:val="18"/>
        </w:rPr>
        <w:t xml:space="preserve"> </w:t>
      </w:r>
      <w:proofErr w:type="spellStart"/>
      <w:r w:rsidR="007B4D2E">
        <w:rPr>
          <w:szCs w:val="18"/>
        </w:rPr>
        <w:t>státům</w:t>
      </w:r>
      <w:proofErr w:type="spellEnd"/>
      <w:r w:rsidR="007B4D2E">
        <w:rPr>
          <w:szCs w:val="18"/>
        </w:rPr>
        <w:t xml:space="preserve"> o </w:t>
      </w:r>
      <w:proofErr w:type="spellStart"/>
      <w:r w:rsidR="007B4D2E">
        <w:rPr>
          <w:szCs w:val="18"/>
        </w:rPr>
        <w:t>úsporných</w:t>
      </w:r>
      <w:proofErr w:type="spellEnd"/>
      <w:r w:rsidR="007B4D2E">
        <w:rPr>
          <w:szCs w:val="18"/>
        </w:rPr>
        <w:t xml:space="preserve"> </w:t>
      </w:r>
      <w:proofErr w:type="spellStart"/>
      <w:r w:rsidR="007B4D2E">
        <w:rPr>
          <w:szCs w:val="18"/>
        </w:rPr>
        <w:t>opatřeních</w:t>
      </w:r>
      <w:proofErr w:type="spellEnd"/>
      <w:r w:rsidR="007B4D2E">
        <w:rPr>
          <w:szCs w:val="18"/>
        </w:rPr>
        <w:t xml:space="preserve">, </w:t>
      </w:r>
      <w:proofErr w:type="spellStart"/>
      <w:r w:rsidR="007B4D2E">
        <w:rPr>
          <w:szCs w:val="18"/>
        </w:rPr>
        <w:t>květen</w:t>
      </w:r>
      <w:proofErr w:type="spellEnd"/>
      <w:r w:rsidR="007B4D2E">
        <w:rPr>
          <w:szCs w:val="18"/>
        </w:rPr>
        <w:t xml:space="preserve"> 2012. </w:t>
      </w:r>
    </w:p>
  </w:footnote>
  <w:footnote w:id="10">
    <w:p w14:paraId="57BAA9A7" w14:textId="77777777" w:rsidR="00FE5875" w:rsidRPr="00925DBA" w:rsidRDefault="00FE5875" w:rsidP="00B85A57">
      <w:pPr>
        <w:pStyle w:val="Textpoznpodarou"/>
        <w:ind w:left="709" w:firstLine="0"/>
        <w:jc w:val="both"/>
        <w:rPr>
          <w:szCs w:val="18"/>
        </w:rPr>
      </w:pPr>
      <w:r w:rsidRPr="00925DBA">
        <w:rPr>
          <w:rStyle w:val="Znakapoznpodarou"/>
          <w:szCs w:val="18"/>
        </w:rPr>
        <w:footnoteRef/>
      </w:r>
      <w:r w:rsidRPr="00925DBA">
        <w:rPr>
          <w:szCs w:val="18"/>
        </w:rPr>
        <w:t>http://tbinternet.ohchr.org/_layouts/treatybodyexternal/Download.aspx?symbolno=CRPD/C/GC/2&amp;Lang=en</w:t>
      </w:r>
    </w:p>
  </w:footnote>
  <w:footnote w:id="11">
    <w:p w14:paraId="2F0B3F5D" w14:textId="70A896E3" w:rsidR="00FE5875" w:rsidRPr="00925DBA" w:rsidRDefault="00FE5875" w:rsidP="005C1AE0">
      <w:pPr>
        <w:pStyle w:val="Textpoznpodarou"/>
        <w:ind w:left="709" w:firstLine="0"/>
        <w:jc w:val="both"/>
        <w:rPr>
          <w:szCs w:val="18"/>
        </w:rPr>
      </w:pPr>
      <w:r w:rsidRPr="00925DBA">
        <w:rPr>
          <w:rStyle w:val="Znakapoznpodarou"/>
          <w:szCs w:val="18"/>
        </w:rPr>
        <w:footnoteRef/>
      </w:r>
      <w:r w:rsidRPr="00925DBA">
        <w:rPr>
          <w:szCs w:val="18"/>
        </w:rPr>
        <w:t xml:space="preserve"> </w:t>
      </w:r>
      <w:proofErr w:type="spellStart"/>
      <w:r w:rsidR="007B4D2E">
        <w:rPr>
          <w:szCs w:val="18"/>
        </w:rPr>
        <w:t>Viz</w:t>
      </w:r>
      <w:proofErr w:type="spellEnd"/>
      <w:r w:rsidR="007B4D2E">
        <w:rPr>
          <w:szCs w:val="18"/>
        </w:rPr>
        <w:t xml:space="preserve"> </w:t>
      </w:r>
      <w:proofErr w:type="spellStart"/>
      <w:r w:rsidR="007B4D2E">
        <w:rPr>
          <w:szCs w:val="18"/>
        </w:rPr>
        <w:t>Výbor</w:t>
      </w:r>
      <w:proofErr w:type="spellEnd"/>
      <w:r w:rsidR="007B4D2E">
        <w:rPr>
          <w:szCs w:val="18"/>
        </w:rPr>
        <w:t xml:space="preserve"> OSN pro </w:t>
      </w:r>
      <w:proofErr w:type="spellStart"/>
      <w:r w:rsidR="007B4D2E">
        <w:rPr>
          <w:szCs w:val="18"/>
        </w:rPr>
        <w:t>práva</w:t>
      </w:r>
      <w:proofErr w:type="spellEnd"/>
      <w:r w:rsidR="007B4D2E">
        <w:rPr>
          <w:szCs w:val="18"/>
        </w:rPr>
        <w:t xml:space="preserve"> </w:t>
      </w:r>
      <w:proofErr w:type="spellStart"/>
      <w:r w:rsidR="007B4D2E">
        <w:rPr>
          <w:szCs w:val="18"/>
        </w:rPr>
        <w:t>osob</w:t>
      </w:r>
      <w:proofErr w:type="spellEnd"/>
      <w:r w:rsidR="007B4D2E">
        <w:rPr>
          <w:szCs w:val="18"/>
        </w:rPr>
        <w:t xml:space="preserve"> se </w:t>
      </w:r>
      <w:proofErr w:type="spellStart"/>
      <w:r w:rsidR="007B4D2E">
        <w:rPr>
          <w:szCs w:val="18"/>
        </w:rPr>
        <w:t>zdravotním</w:t>
      </w:r>
      <w:proofErr w:type="spellEnd"/>
      <w:r w:rsidR="007B4D2E">
        <w:rPr>
          <w:szCs w:val="18"/>
        </w:rPr>
        <w:t xml:space="preserve"> </w:t>
      </w:r>
      <w:proofErr w:type="spellStart"/>
      <w:r w:rsidR="007B4D2E">
        <w:rPr>
          <w:szCs w:val="18"/>
        </w:rPr>
        <w:t>postižením</w:t>
      </w:r>
      <w:proofErr w:type="spellEnd"/>
      <w:r w:rsidR="007B4D2E">
        <w:rPr>
          <w:szCs w:val="18"/>
        </w:rPr>
        <w:t xml:space="preserve">, </w:t>
      </w:r>
      <w:proofErr w:type="spellStart"/>
      <w:r w:rsidR="007B4D2E">
        <w:rPr>
          <w:szCs w:val="18"/>
        </w:rPr>
        <w:t>Obecný</w:t>
      </w:r>
      <w:proofErr w:type="spellEnd"/>
      <w:r w:rsidR="007B4D2E">
        <w:rPr>
          <w:szCs w:val="18"/>
        </w:rPr>
        <w:t xml:space="preserve"> </w:t>
      </w:r>
      <w:proofErr w:type="spellStart"/>
      <w:r w:rsidR="007B4D2E">
        <w:rPr>
          <w:szCs w:val="18"/>
        </w:rPr>
        <w:t>komentář</w:t>
      </w:r>
      <w:proofErr w:type="spellEnd"/>
      <w:r w:rsidR="007B4D2E">
        <w:rPr>
          <w:szCs w:val="18"/>
        </w:rPr>
        <w:t xml:space="preserve"> č. 3 (2016) </w:t>
      </w:r>
      <w:proofErr w:type="spellStart"/>
      <w:r w:rsidR="007B4D2E">
        <w:rPr>
          <w:szCs w:val="18"/>
        </w:rPr>
        <w:t>Ženy</w:t>
      </w:r>
      <w:proofErr w:type="spellEnd"/>
      <w:r w:rsidR="007B4D2E">
        <w:rPr>
          <w:szCs w:val="18"/>
        </w:rPr>
        <w:t xml:space="preserve"> a </w:t>
      </w:r>
      <w:proofErr w:type="spellStart"/>
      <w:r w:rsidR="007B4D2E">
        <w:rPr>
          <w:szCs w:val="18"/>
        </w:rPr>
        <w:t>dívky</w:t>
      </w:r>
      <w:proofErr w:type="spellEnd"/>
      <w:r w:rsidR="007B4D2E">
        <w:rPr>
          <w:szCs w:val="18"/>
        </w:rPr>
        <w:t xml:space="preserve"> se </w:t>
      </w:r>
      <w:proofErr w:type="spellStart"/>
      <w:r w:rsidR="007B4D2E">
        <w:rPr>
          <w:szCs w:val="18"/>
        </w:rPr>
        <w:t>zdravtotním</w:t>
      </w:r>
      <w:proofErr w:type="spellEnd"/>
      <w:r w:rsidR="007B4D2E">
        <w:rPr>
          <w:szCs w:val="18"/>
        </w:rPr>
        <w:t xml:space="preserve"> </w:t>
      </w:r>
      <w:proofErr w:type="spellStart"/>
      <w:r w:rsidR="007B4D2E">
        <w:rPr>
          <w:szCs w:val="18"/>
        </w:rPr>
        <w:t>postižením</w:t>
      </w:r>
      <w:proofErr w:type="spellEnd"/>
      <w:r w:rsidR="007B4D2E">
        <w:rPr>
          <w:szCs w:val="18"/>
        </w:rPr>
        <w:t xml:space="preserve">. </w:t>
      </w:r>
    </w:p>
  </w:footnote>
  <w:footnote w:id="12">
    <w:p w14:paraId="5D8AA880" w14:textId="365A33DF" w:rsidR="00FE5875" w:rsidRPr="00925DBA" w:rsidRDefault="00FE5875" w:rsidP="005C1AE0">
      <w:pPr>
        <w:pStyle w:val="Textpoznpodarou"/>
        <w:ind w:left="709" w:firstLine="0"/>
        <w:jc w:val="both"/>
        <w:rPr>
          <w:szCs w:val="18"/>
        </w:rPr>
      </w:pPr>
      <w:r w:rsidRPr="00925DBA">
        <w:rPr>
          <w:rStyle w:val="Znakapoznpodarou"/>
          <w:szCs w:val="18"/>
        </w:rPr>
        <w:footnoteRef/>
      </w:r>
      <w:r w:rsidRPr="00925DBA">
        <w:rPr>
          <w:szCs w:val="18"/>
        </w:rPr>
        <w:t xml:space="preserve"> Ibid. </w:t>
      </w:r>
      <w:proofErr w:type="spellStart"/>
      <w:r w:rsidR="007B4D2E">
        <w:rPr>
          <w:szCs w:val="18"/>
        </w:rPr>
        <w:t>odst</w:t>
      </w:r>
      <w:proofErr w:type="spellEnd"/>
      <w:r>
        <w:rPr>
          <w:szCs w:val="18"/>
        </w:rPr>
        <w:t>.</w:t>
      </w:r>
      <w:r w:rsidR="007B4D2E">
        <w:rPr>
          <w:szCs w:val="18"/>
        </w:rPr>
        <w:t xml:space="preserve"> 8; 18, 29 a </w:t>
      </w:r>
      <w:r w:rsidRPr="00925DBA">
        <w:rPr>
          <w:szCs w:val="18"/>
        </w:rPr>
        <w:t xml:space="preserve">55. </w:t>
      </w:r>
    </w:p>
  </w:footnote>
  <w:footnote w:id="13">
    <w:p w14:paraId="291FE99D" w14:textId="429BFC41" w:rsidR="00FE5875" w:rsidRPr="005A634E" w:rsidRDefault="00FE5875" w:rsidP="005A634E">
      <w:pPr>
        <w:pStyle w:val="Textpoznpodarou"/>
        <w:ind w:left="709" w:firstLine="0"/>
      </w:pPr>
      <w:r>
        <w:rPr>
          <w:rStyle w:val="Znakapoznpodarou"/>
        </w:rPr>
        <w:footnoteRef/>
      </w:r>
      <w:r w:rsidR="007B4D2E">
        <w:t xml:space="preserve"> </w:t>
      </w:r>
      <w:proofErr w:type="spellStart"/>
      <w:r w:rsidR="007B4D2E">
        <w:t>Výbor</w:t>
      </w:r>
      <w:proofErr w:type="spellEnd"/>
      <w:r w:rsidR="007B4D2E">
        <w:t xml:space="preserve"> OSN pro</w:t>
      </w:r>
      <w:r w:rsidR="00742F2A">
        <w:t xml:space="preserve"> </w:t>
      </w:r>
      <w:proofErr w:type="spellStart"/>
      <w:r w:rsidR="00742F2A">
        <w:t>odstranění</w:t>
      </w:r>
      <w:proofErr w:type="spellEnd"/>
      <w:r w:rsidR="00742F2A">
        <w:t xml:space="preserve"> </w:t>
      </w:r>
      <w:proofErr w:type="spellStart"/>
      <w:r w:rsidR="00742F2A">
        <w:t>diskriminace</w:t>
      </w:r>
      <w:proofErr w:type="spellEnd"/>
      <w:r w:rsidR="00742F2A">
        <w:t xml:space="preserve"> </w:t>
      </w:r>
      <w:proofErr w:type="spellStart"/>
      <w:r w:rsidR="00742F2A">
        <w:t>žen</w:t>
      </w:r>
      <w:proofErr w:type="spellEnd"/>
      <w:r w:rsidR="00742F2A">
        <w:t xml:space="preserve">. </w:t>
      </w:r>
      <w:proofErr w:type="spellStart"/>
      <w:r w:rsidR="00742F2A">
        <w:t>Obecné</w:t>
      </w:r>
      <w:proofErr w:type="spellEnd"/>
      <w:r w:rsidR="00742F2A">
        <w:t xml:space="preserve"> </w:t>
      </w:r>
      <w:proofErr w:type="spellStart"/>
      <w:r w:rsidR="00742F2A">
        <w:t>doporučení</w:t>
      </w:r>
      <w:proofErr w:type="spellEnd"/>
      <w:r w:rsidR="00742F2A">
        <w:t xml:space="preserve"> č. 21 (13. </w:t>
      </w:r>
      <w:proofErr w:type="spellStart"/>
      <w:r w:rsidR="00742F2A">
        <w:t>zasedání</w:t>
      </w:r>
      <w:proofErr w:type="spellEnd"/>
      <w:r w:rsidR="00742F2A">
        <w:t>, 1994)</w:t>
      </w:r>
      <w:r w:rsidR="007B4D2E">
        <w:t xml:space="preserve"> </w:t>
      </w:r>
      <w:proofErr w:type="spellStart"/>
      <w:r w:rsidR="00742F2A">
        <w:t>Rovnost</w:t>
      </w:r>
      <w:proofErr w:type="spellEnd"/>
      <w:r w:rsidR="00742F2A">
        <w:t xml:space="preserve"> v </w:t>
      </w:r>
      <w:proofErr w:type="spellStart"/>
      <w:r w:rsidR="00742F2A">
        <w:t>manželství</w:t>
      </w:r>
      <w:proofErr w:type="spellEnd"/>
      <w:r w:rsidR="00742F2A">
        <w:t xml:space="preserve"> a </w:t>
      </w:r>
      <w:proofErr w:type="spellStart"/>
      <w:r w:rsidR="00742F2A">
        <w:t>rodinných</w:t>
      </w:r>
      <w:proofErr w:type="spellEnd"/>
      <w:r w:rsidR="00742F2A">
        <w:t xml:space="preserve"> </w:t>
      </w:r>
      <w:proofErr w:type="spellStart"/>
      <w:r w:rsidR="00742F2A">
        <w:t>vztazích</w:t>
      </w:r>
      <w:proofErr w:type="spellEnd"/>
      <w:r w:rsidR="00742F2A">
        <w:t xml:space="preserve">. </w:t>
      </w:r>
    </w:p>
  </w:footnote>
  <w:footnote w:id="14">
    <w:p w14:paraId="2B6F2EE9" w14:textId="298095BA" w:rsidR="00FE5875" w:rsidRPr="00925DBA" w:rsidRDefault="00FE5875" w:rsidP="00117D5C">
      <w:pPr>
        <w:pStyle w:val="Textpoznpodarou"/>
        <w:ind w:left="709" w:firstLine="142"/>
        <w:jc w:val="both"/>
      </w:pPr>
      <w:r w:rsidRPr="00925DBA">
        <w:rPr>
          <w:rStyle w:val="Znakapoznpodarou"/>
          <w:szCs w:val="18"/>
        </w:rPr>
        <w:footnoteRef/>
      </w:r>
      <w:r w:rsidRPr="00925DBA">
        <w:rPr>
          <w:szCs w:val="18"/>
        </w:rPr>
        <w:t xml:space="preserve"> </w:t>
      </w:r>
      <w:proofErr w:type="spellStart"/>
      <w:r w:rsidR="00742F2A">
        <w:rPr>
          <w:szCs w:val="18"/>
        </w:rPr>
        <w:t>Výbor</w:t>
      </w:r>
      <w:proofErr w:type="spellEnd"/>
      <w:r w:rsidR="00742F2A">
        <w:rPr>
          <w:szCs w:val="18"/>
        </w:rPr>
        <w:t xml:space="preserve"> OSN pro </w:t>
      </w:r>
      <w:proofErr w:type="spellStart"/>
      <w:r w:rsidR="00742F2A">
        <w:rPr>
          <w:szCs w:val="18"/>
        </w:rPr>
        <w:t>práva</w:t>
      </w:r>
      <w:proofErr w:type="spellEnd"/>
      <w:r w:rsidR="00742F2A">
        <w:rPr>
          <w:szCs w:val="18"/>
        </w:rPr>
        <w:t xml:space="preserve"> </w:t>
      </w:r>
      <w:proofErr w:type="spellStart"/>
      <w:r w:rsidR="00742F2A">
        <w:rPr>
          <w:szCs w:val="18"/>
        </w:rPr>
        <w:t>osob</w:t>
      </w:r>
      <w:proofErr w:type="spellEnd"/>
      <w:r w:rsidR="00742F2A">
        <w:rPr>
          <w:szCs w:val="18"/>
        </w:rPr>
        <w:t xml:space="preserve"> se </w:t>
      </w:r>
      <w:proofErr w:type="spellStart"/>
      <w:r w:rsidR="00742F2A">
        <w:rPr>
          <w:szCs w:val="18"/>
        </w:rPr>
        <w:t>zdravotním</w:t>
      </w:r>
      <w:proofErr w:type="spellEnd"/>
      <w:r w:rsidR="00742F2A">
        <w:rPr>
          <w:szCs w:val="18"/>
        </w:rPr>
        <w:t xml:space="preserve"> </w:t>
      </w:r>
      <w:proofErr w:type="spellStart"/>
      <w:r w:rsidR="00742F2A">
        <w:rPr>
          <w:szCs w:val="18"/>
        </w:rPr>
        <w:t>postižením</w:t>
      </w:r>
      <w:proofErr w:type="spellEnd"/>
      <w:r w:rsidR="00742F2A">
        <w:rPr>
          <w:szCs w:val="18"/>
        </w:rPr>
        <w:t xml:space="preserve">, </w:t>
      </w:r>
      <w:proofErr w:type="spellStart"/>
      <w:r w:rsidR="00742F2A">
        <w:rPr>
          <w:szCs w:val="18"/>
        </w:rPr>
        <w:t>Obecný</w:t>
      </w:r>
      <w:proofErr w:type="spellEnd"/>
      <w:r w:rsidR="00742F2A">
        <w:rPr>
          <w:szCs w:val="18"/>
        </w:rPr>
        <w:t xml:space="preserve"> </w:t>
      </w:r>
      <w:proofErr w:type="spellStart"/>
      <w:r w:rsidR="00742F2A">
        <w:rPr>
          <w:szCs w:val="18"/>
        </w:rPr>
        <w:t>komentář</w:t>
      </w:r>
      <w:proofErr w:type="spellEnd"/>
      <w:r w:rsidR="00742F2A">
        <w:rPr>
          <w:szCs w:val="18"/>
        </w:rPr>
        <w:t xml:space="preserve"> č. 4 (2016) </w:t>
      </w:r>
      <w:proofErr w:type="spellStart"/>
      <w:r w:rsidR="00742F2A">
        <w:rPr>
          <w:szCs w:val="18"/>
        </w:rPr>
        <w:t>Právo</w:t>
      </w:r>
      <w:proofErr w:type="spellEnd"/>
      <w:r w:rsidR="00742F2A">
        <w:rPr>
          <w:szCs w:val="18"/>
        </w:rPr>
        <w:t xml:space="preserve"> </w:t>
      </w:r>
      <w:proofErr w:type="spellStart"/>
      <w:r w:rsidR="00742F2A">
        <w:rPr>
          <w:szCs w:val="18"/>
        </w:rPr>
        <w:t>na</w:t>
      </w:r>
      <w:proofErr w:type="spellEnd"/>
      <w:r w:rsidR="00742F2A">
        <w:rPr>
          <w:szCs w:val="18"/>
        </w:rPr>
        <w:t xml:space="preserve"> </w:t>
      </w:r>
      <w:proofErr w:type="spellStart"/>
      <w:r w:rsidR="00742F2A">
        <w:rPr>
          <w:szCs w:val="18"/>
        </w:rPr>
        <w:t>inkluzivní</w:t>
      </w:r>
      <w:proofErr w:type="spellEnd"/>
      <w:r w:rsidR="00742F2A">
        <w:rPr>
          <w:szCs w:val="18"/>
        </w:rPr>
        <w:t xml:space="preserve"> </w:t>
      </w:r>
      <w:proofErr w:type="spellStart"/>
      <w:r w:rsidR="00742F2A">
        <w:rPr>
          <w:szCs w:val="18"/>
        </w:rPr>
        <w:t>vzdělávání</w:t>
      </w:r>
      <w:proofErr w:type="spellEnd"/>
      <w:r w:rsidR="00742F2A">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13AA5" w14:textId="21DF38D6" w:rsidR="00FE5875" w:rsidRPr="00F86622" w:rsidRDefault="00FA2938">
    <w:pPr>
      <w:pStyle w:val="Zhlav"/>
    </w:pPr>
    <w:r>
      <w:fldChar w:fldCharType="begin"/>
    </w:r>
    <w:r>
      <w:instrText xml:space="preserve"> TITLE  \* MERGEFORMAT </w:instrText>
    </w:r>
    <w:r>
      <w:fldChar w:fldCharType="separate"/>
    </w:r>
    <w:r w:rsidR="00FE5875">
      <w:t>CRPD/C/18/R.1 in English (Word)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FE94" w14:textId="70E0029A" w:rsidR="00FE5875" w:rsidRPr="00F86622" w:rsidRDefault="00FA2938" w:rsidP="00F86622">
    <w:pPr>
      <w:pStyle w:val="Zhlav"/>
      <w:jc w:val="right"/>
    </w:pPr>
    <w:r>
      <w:fldChar w:fldCharType="begin"/>
    </w:r>
    <w:r>
      <w:instrText xml:space="preserve"> TITLE  \* MERGEFORMAT </w:instrText>
    </w:r>
    <w:r>
      <w:fldChar w:fldCharType="separate"/>
    </w:r>
    <w:r w:rsidR="00B22074">
      <w:t xml:space="preserve">CRPD/C/18/R.1 </w:t>
    </w:r>
    <w:proofErr w:type="spellStart"/>
    <w:r w:rsidR="00B22074">
      <w:t>česky</w:t>
    </w:r>
    <w:proofErr w:type="spellEnd"/>
    <w:r w:rsidR="00B22074">
      <w:t xml:space="preserve"> </w:t>
    </w:r>
    <w:r w:rsidR="00FE5875">
      <w:t>(Word)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8CF"/>
    <w:multiLevelType w:val="hybridMultilevel"/>
    <w:tmpl w:val="8C0C2990"/>
    <w:lvl w:ilvl="0" w:tplc="96BA09BE">
      <w:start w:val="1"/>
      <w:numFmt w:val="lowerLetter"/>
      <w:lvlText w:val="(%1)"/>
      <w:lvlJc w:val="left"/>
      <w:pPr>
        <w:ind w:left="1920" w:hanging="360"/>
      </w:pPr>
      <w:rPr>
        <w:rFonts w:hint="default"/>
      </w:rPr>
    </w:lvl>
    <w:lvl w:ilvl="1" w:tplc="96BA09BE">
      <w:start w:val="1"/>
      <w:numFmt w:val="lowerLetter"/>
      <w:lvlText w:val="(%2)"/>
      <w:lvlJc w:val="left"/>
      <w:pPr>
        <w:ind w:left="2640" w:hanging="360"/>
      </w:pPr>
      <w:rPr>
        <w:rFonts w:hint="default"/>
      </w:r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835742"/>
    <w:multiLevelType w:val="hybridMultilevel"/>
    <w:tmpl w:val="319A6B22"/>
    <w:lvl w:ilvl="0" w:tplc="7020E95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50368B6"/>
    <w:multiLevelType w:val="hybridMultilevel"/>
    <w:tmpl w:val="CFDCA246"/>
    <w:lvl w:ilvl="0" w:tplc="96BA09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66A3643"/>
    <w:multiLevelType w:val="hybridMultilevel"/>
    <w:tmpl w:val="E0DA84B6"/>
    <w:lvl w:ilvl="0" w:tplc="727A4552">
      <w:start w:val="1"/>
      <w:numFmt w:val="upp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nsid w:val="09593F6F"/>
    <w:multiLevelType w:val="hybridMultilevel"/>
    <w:tmpl w:val="893410EE"/>
    <w:lvl w:ilvl="0" w:tplc="96BA09BE">
      <w:start w:val="1"/>
      <w:numFmt w:val="lowerLetter"/>
      <w:lvlText w:val="(%1)"/>
      <w:lvlJc w:val="left"/>
      <w:pPr>
        <w:ind w:left="1854" w:hanging="360"/>
      </w:pPr>
      <w:rPr>
        <w:rFonts w:hint="default"/>
      </w:rPr>
    </w:lvl>
    <w:lvl w:ilvl="1" w:tplc="96BA09B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6D64B3"/>
    <w:multiLevelType w:val="hybridMultilevel"/>
    <w:tmpl w:val="2B56FE5A"/>
    <w:lvl w:ilvl="0" w:tplc="69CEA17E">
      <w:start w:val="1"/>
      <w:numFmt w:val="decimal"/>
      <w:lvlText w:val="%1."/>
      <w:lvlJc w:val="left"/>
      <w:pPr>
        <w:ind w:left="1353" w:hanging="360"/>
      </w:pPr>
      <w:rPr>
        <w:b w:val="0"/>
      </w:rPr>
    </w:lvl>
    <w:lvl w:ilvl="1" w:tplc="4FB2ED22">
      <w:start w:val="1"/>
      <w:numFmt w:val="lowerLetter"/>
      <w:lvlText w:val="(%2)"/>
      <w:lvlJc w:val="left"/>
      <w:pPr>
        <w:ind w:left="2289" w:hanging="576"/>
      </w:pPr>
      <w:rPr>
        <w:rFonts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nsid w:val="41A10B20"/>
    <w:multiLevelType w:val="hybridMultilevel"/>
    <w:tmpl w:val="152A6A52"/>
    <w:lvl w:ilvl="0" w:tplc="96BA09B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4217334F"/>
    <w:multiLevelType w:val="hybridMultilevel"/>
    <w:tmpl w:val="FF2839E8"/>
    <w:lvl w:ilvl="0" w:tplc="B0A40472">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nsid w:val="46CC48C2"/>
    <w:multiLevelType w:val="hybridMultilevel"/>
    <w:tmpl w:val="AB045124"/>
    <w:lvl w:ilvl="0" w:tplc="BD003B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7B70A8"/>
    <w:multiLevelType w:val="hybridMultilevel"/>
    <w:tmpl w:val="44E0AEB2"/>
    <w:lvl w:ilvl="0" w:tplc="96BA09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62FB7C1F"/>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013C13"/>
    <w:multiLevelType w:val="hybridMultilevel"/>
    <w:tmpl w:val="BAF0146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B543532"/>
    <w:multiLevelType w:val="hybridMultilevel"/>
    <w:tmpl w:val="3BEA071C"/>
    <w:lvl w:ilvl="0" w:tplc="F0523388">
      <w:start w:val="1"/>
      <w:numFmt w:val="lowerLetter"/>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1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4"/>
  </w:num>
  <w:num w:numId="10">
    <w:abstractNumId w:val="11"/>
  </w:num>
  <w:num w:numId="11">
    <w:abstractNumId w:val="8"/>
  </w:num>
  <w:num w:numId="12">
    <w:abstractNumId w:val="12"/>
  </w:num>
  <w:num w:numId="13">
    <w:abstractNumId w:val="3"/>
  </w:num>
  <w:num w:numId="14">
    <w:abstractNumId w:val="16"/>
  </w:num>
  <w:num w:numId="15">
    <w:abstractNumId w:val="9"/>
  </w:num>
  <w:num w:numId="16">
    <w:abstractNumId w:val="5"/>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0"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98947FD-7191-4FEF-9841-FA7354163FAC}"/>
    <w:docVar w:name="dgnword-eventsink" w:val="337080232"/>
    <w:docVar w:name="dgnword-lastRevisionsView" w:val="0"/>
  </w:docVars>
  <w:rsids>
    <w:rsidRoot w:val="00F86622"/>
    <w:rsid w:val="00016B0D"/>
    <w:rsid w:val="0002575F"/>
    <w:rsid w:val="00027000"/>
    <w:rsid w:val="00032F0A"/>
    <w:rsid w:val="00032FF2"/>
    <w:rsid w:val="00036CED"/>
    <w:rsid w:val="00047A8D"/>
    <w:rsid w:val="00050F6B"/>
    <w:rsid w:val="00062C93"/>
    <w:rsid w:val="00063C07"/>
    <w:rsid w:val="000649F5"/>
    <w:rsid w:val="00072C8C"/>
    <w:rsid w:val="000733B5"/>
    <w:rsid w:val="0007469E"/>
    <w:rsid w:val="00077485"/>
    <w:rsid w:val="00080401"/>
    <w:rsid w:val="0008505F"/>
    <w:rsid w:val="000873F1"/>
    <w:rsid w:val="000931C0"/>
    <w:rsid w:val="00094E1B"/>
    <w:rsid w:val="0009633A"/>
    <w:rsid w:val="000A3156"/>
    <w:rsid w:val="000A5D3B"/>
    <w:rsid w:val="000A628A"/>
    <w:rsid w:val="000A7503"/>
    <w:rsid w:val="000B175B"/>
    <w:rsid w:val="000B2433"/>
    <w:rsid w:val="000B3A0F"/>
    <w:rsid w:val="000B4D7C"/>
    <w:rsid w:val="000B4EF7"/>
    <w:rsid w:val="000B7F33"/>
    <w:rsid w:val="000C1462"/>
    <w:rsid w:val="000C2329"/>
    <w:rsid w:val="000C2D2E"/>
    <w:rsid w:val="000C743A"/>
    <w:rsid w:val="000D4D5D"/>
    <w:rsid w:val="000E0415"/>
    <w:rsid w:val="000E74F6"/>
    <w:rsid w:val="000F6E35"/>
    <w:rsid w:val="000F788A"/>
    <w:rsid w:val="001103AA"/>
    <w:rsid w:val="00116FB4"/>
    <w:rsid w:val="00117D5C"/>
    <w:rsid w:val="001205A0"/>
    <w:rsid w:val="00122F08"/>
    <w:rsid w:val="0012401D"/>
    <w:rsid w:val="00130352"/>
    <w:rsid w:val="00155467"/>
    <w:rsid w:val="00157EEE"/>
    <w:rsid w:val="00162D89"/>
    <w:rsid w:val="00163CB4"/>
    <w:rsid w:val="00176C3A"/>
    <w:rsid w:val="00177E6A"/>
    <w:rsid w:val="00180D95"/>
    <w:rsid w:val="00183432"/>
    <w:rsid w:val="00183A27"/>
    <w:rsid w:val="0018711F"/>
    <w:rsid w:val="001958F9"/>
    <w:rsid w:val="00197DBD"/>
    <w:rsid w:val="001A25F1"/>
    <w:rsid w:val="001A5B74"/>
    <w:rsid w:val="001B4B04"/>
    <w:rsid w:val="001B717F"/>
    <w:rsid w:val="001C2D87"/>
    <w:rsid w:val="001C4533"/>
    <w:rsid w:val="001C6663"/>
    <w:rsid w:val="001C6D84"/>
    <w:rsid w:val="001C7895"/>
    <w:rsid w:val="001D26DF"/>
    <w:rsid w:val="001D367D"/>
    <w:rsid w:val="001D69C8"/>
    <w:rsid w:val="001E5AA0"/>
    <w:rsid w:val="001F0854"/>
    <w:rsid w:val="001F1323"/>
    <w:rsid w:val="001F17D1"/>
    <w:rsid w:val="00202DA8"/>
    <w:rsid w:val="00205504"/>
    <w:rsid w:val="00210233"/>
    <w:rsid w:val="00211E0B"/>
    <w:rsid w:val="002126E9"/>
    <w:rsid w:val="00212AFF"/>
    <w:rsid w:val="0022081D"/>
    <w:rsid w:val="00237A28"/>
    <w:rsid w:val="002449F6"/>
    <w:rsid w:val="00245A67"/>
    <w:rsid w:val="00252088"/>
    <w:rsid w:val="00255BB9"/>
    <w:rsid w:val="0025756B"/>
    <w:rsid w:val="00263771"/>
    <w:rsid w:val="0026516C"/>
    <w:rsid w:val="00265D72"/>
    <w:rsid w:val="00266E17"/>
    <w:rsid w:val="002676D6"/>
    <w:rsid w:val="0027312A"/>
    <w:rsid w:val="002755CD"/>
    <w:rsid w:val="00277A65"/>
    <w:rsid w:val="002A289A"/>
    <w:rsid w:val="002A34A1"/>
    <w:rsid w:val="002B1865"/>
    <w:rsid w:val="002B27EA"/>
    <w:rsid w:val="002B2BEA"/>
    <w:rsid w:val="002B2F9F"/>
    <w:rsid w:val="002B6C2F"/>
    <w:rsid w:val="002C405E"/>
    <w:rsid w:val="002C4AC4"/>
    <w:rsid w:val="002C660A"/>
    <w:rsid w:val="002D03CA"/>
    <w:rsid w:val="002D0FFB"/>
    <w:rsid w:val="002D4BA1"/>
    <w:rsid w:val="002D6A18"/>
    <w:rsid w:val="002D7A56"/>
    <w:rsid w:val="002E048F"/>
    <w:rsid w:val="002E1578"/>
    <w:rsid w:val="002E51AB"/>
    <w:rsid w:val="002E568D"/>
    <w:rsid w:val="002F175C"/>
    <w:rsid w:val="002F4447"/>
    <w:rsid w:val="002F59D4"/>
    <w:rsid w:val="002F5E79"/>
    <w:rsid w:val="00314785"/>
    <w:rsid w:val="003229D8"/>
    <w:rsid w:val="00323AE6"/>
    <w:rsid w:val="003270C8"/>
    <w:rsid w:val="0033110F"/>
    <w:rsid w:val="00332486"/>
    <w:rsid w:val="003379CC"/>
    <w:rsid w:val="00346880"/>
    <w:rsid w:val="00347FB9"/>
    <w:rsid w:val="00350414"/>
    <w:rsid w:val="00352709"/>
    <w:rsid w:val="00356C3C"/>
    <w:rsid w:val="00362DEB"/>
    <w:rsid w:val="00366796"/>
    <w:rsid w:val="00371178"/>
    <w:rsid w:val="00376B92"/>
    <w:rsid w:val="00380C68"/>
    <w:rsid w:val="003816A9"/>
    <w:rsid w:val="003A4460"/>
    <w:rsid w:val="003A4810"/>
    <w:rsid w:val="003A6810"/>
    <w:rsid w:val="003A6B71"/>
    <w:rsid w:val="003B1CC8"/>
    <w:rsid w:val="003C215A"/>
    <w:rsid w:val="003C2CC4"/>
    <w:rsid w:val="003D4B23"/>
    <w:rsid w:val="003F02B9"/>
    <w:rsid w:val="004004DF"/>
    <w:rsid w:val="00400C06"/>
    <w:rsid w:val="00405DDC"/>
    <w:rsid w:val="00410C89"/>
    <w:rsid w:val="00414FBB"/>
    <w:rsid w:val="00427D8A"/>
    <w:rsid w:val="00430F2A"/>
    <w:rsid w:val="004323FF"/>
    <w:rsid w:val="004325CB"/>
    <w:rsid w:val="00440668"/>
    <w:rsid w:val="0044665E"/>
    <w:rsid w:val="0045495B"/>
    <w:rsid w:val="00472039"/>
    <w:rsid w:val="00472E00"/>
    <w:rsid w:val="004762B3"/>
    <w:rsid w:val="004844A7"/>
    <w:rsid w:val="00486CB9"/>
    <w:rsid w:val="004A30E1"/>
    <w:rsid w:val="004B6452"/>
    <w:rsid w:val="004D064A"/>
    <w:rsid w:val="004D25E4"/>
    <w:rsid w:val="004E1277"/>
    <w:rsid w:val="004E5936"/>
    <w:rsid w:val="004F3AF3"/>
    <w:rsid w:val="004F4FE3"/>
    <w:rsid w:val="004F74EC"/>
    <w:rsid w:val="00517B36"/>
    <w:rsid w:val="005304B4"/>
    <w:rsid w:val="005328E4"/>
    <w:rsid w:val="005342FB"/>
    <w:rsid w:val="005420F2"/>
    <w:rsid w:val="00555ACE"/>
    <w:rsid w:val="00560019"/>
    <w:rsid w:val="0056111E"/>
    <w:rsid w:val="00562D64"/>
    <w:rsid w:val="00571B27"/>
    <w:rsid w:val="0058163A"/>
    <w:rsid w:val="00581FB1"/>
    <w:rsid w:val="00582576"/>
    <w:rsid w:val="00586D85"/>
    <w:rsid w:val="005A3836"/>
    <w:rsid w:val="005A634E"/>
    <w:rsid w:val="005B3DB3"/>
    <w:rsid w:val="005C1AE0"/>
    <w:rsid w:val="005C3667"/>
    <w:rsid w:val="005C3832"/>
    <w:rsid w:val="005C46D0"/>
    <w:rsid w:val="005C5B95"/>
    <w:rsid w:val="005C6A79"/>
    <w:rsid w:val="005C7F35"/>
    <w:rsid w:val="005D24CB"/>
    <w:rsid w:val="005D28AC"/>
    <w:rsid w:val="005D586B"/>
    <w:rsid w:val="005F322A"/>
    <w:rsid w:val="005F4BC1"/>
    <w:rsid w:val="005F5390"/>
    <w:rsid w:val="006001EE"/>
    <w:rsid w:val="00605EB7"/>
    <w:rsid w:val="00611FC4"/>
    <w:rsid w:val="00617140"/>
    <w:rsid w:val="006176FB"/>
    <w:rsid w:val="00622584"/>
    <w:rsid w:val="00623BEC"/>
    <w:rsid w:val="00625C4B"/>
    <w:rsid w:val="006325A1"/>
    <w:rsid w:val="00640B26"/>
    <w:rsid w:val="00640CFE"/>
    <w:rsid w:val="00645C41"/>
    <w:rsid w:val="00646687"/>
    <w:rsid w:val="00654AF2"/>
    <w:rsid w:val="00656182"/>
    <w:rsid w:val="00667387"/>
    <w:rsid w:val="006776B8"/>
    <w:rsid w:val="00684D66"/>
    <w:rsid w:val="00686815"/>
    <w:rsid w:val="00696087"/>
    <w:rsid w:val="00696CC0"/>
    <w:rsid w:val="00697358"/>
    <w:rsid w:val="006C0C66"/>
    <w:rsid w:val="006C5F51"/>
    <w:rsid w:val="006D151D"/>
    <w:rsid w:val="006E4571"/>
    <w:rsid w:val="006E564B"/>
    <w:rsid w:val="006E5CE3"/>
    <w:rsid w:val="006E7E3F"/>
    <w:rsid w:val="006F276E"/>
    <w:rsid w:val="006F6081"/>
    <w:rsid w:val="006F7FC3"/>
    <w:rsid w:val="00715497"/>
    <w:rsid w:val="00716B30"/>
    <w:rsid w:val="0072632A"/>
    <w:rsid w:val="00733E94"/>
    <w:rsid w:val="0073432B"/>
    <w:rsid w:val="00740E99"/>
    <w:rsid w:val="007411B9"/>
    <w:rsid w:val="00742F2A"/>
    <w:rsid w:val="00752DF5"/>
    <w:rsid w:val="00752EB7"/>
    <w:rsid w:val="0077053D"/>
    <w:rsid w:val="00771043"/>
    <w:rsid w:val="00775C23"/>
    <w:rsid w:val="00781B67"/>
    <w:rsid w:val="00782A17"/>
    <w:rsid w:val="007A3F9B"/>
    <w:rsid w:val="007A6292"/>
    <w:rsid w:val="007B4D2E"/>
    <w:rsid w:val="007B5D9D"/>
    <w:rsid w:val="007B6BA5"/>
    <w:rsid w:val="007C3390"/>
    <w:rsid w:val="007C3D6A"/>
    <w:rsid w:val="007C4F4B"/>
    <w:rsid w:val="007D0D21"/>
    <w:rsid w:val="007D2A69"/>
    <w:rsid w:val="007E48B1"/>
    <w:rsid w:val="007F6611"/>
    <w:rsid w:val="00804F8B"/>
    <w:rsid w:val="00811AB7"/>
    <w:rsid w:val="00814202"/>
    <w:rsid w:val="008171CF"/>
    <w:rsid w:val="008238AC"/>
    <w:rsid w:val="008242D7"/>
    <w:rsid w:val="00831D7C"/>
    <w:rsid w:val="0083433A"/>
    <w:rsid w:val="00834C71"/>
    <w:rsid w:val="00837C8A"/>
    <w:rsid w:val="0085226B"/>
    <w:rsid w:val="008534C9"/>
    <w:rsid w:val="008540D2"/>
    <w:rsid w:val="00854157"/>
    <w:rsid w:val="008614C2"/>
    <w:rsid w:val="00862445"/>
    <w:rsid w:val="00864446"/>
    <w:rsid w:val="00867614"/>
    <w:rsid w:val="00875C60"/>
    <w:rsid w:val="00893F61"/>
    <w:rsid w:val="008979B1"/>
    <w:rsid w:val="008A1C5B"/>
    <w:rsid w:val="008A1C5E"/>
    <w:rsid w:val="008A6B25"/>
    <w:rsid w:val="008A6C4F"/>
    <w:rsid w:val="008B2335"/>
    <w:rsid w:val="008B6E2F"/>
    <w:rsid w:val="008C176F"/>
    <w:rsid w:val="008C4480"/>
    <w:rsid w:val="008C5217"/>
    <w:rsid w:val="008C6E31"/>
    <w:rsid w:val="008D033B"/>
    <w:rsid w:val="008D5567"/>
    <w:rsid w:val="008D636E"/>
    <w:rsid w:val="008E7183"/>
    <w:rsid w:val="009167DF"/>
    <w:rsid w:val="00921C63"/>
    <w:rsid w:val="009223CA"/>
    <w:rsid w:val="00933FCE"/>
    <w:rsid w:val="009357E0"/>
    <w:rsid w:val="00940F93"/>
    <w:rsid w:val="009463DD"/>
    <w:rsid w:val="00947F7C"/>
    <w:rsid w:val="00952C7F"/>
    <w:rsid w:val="00953445"/>
    <w:rsid w:val="00956F99"/>
    <w:rsid w:val="009622F0"/>
    <w:rsid w:val="00974621"/>
    <w:rsid w:val="0097498D"/>
    <w:rsid w:val="0098457F"/>
    <w:rsid w:val="00984799"/>
    <w:rsid w:val="009B0F0E"/>
    <w:rsid w:val="009C14AA"/>
    <w:rsid w:val="009D4244"/>
    <w:rsid w:val="009D44FB"/>
    <w:rsid w:val="009E04D4"/>
    <w:rsid w:val="009F7711"/>
    <w:rsid w:val="009F7C5D"/>
    <w:rsid w:val="00A01489"/>
    <w:rsid w:val="00A066F2"/>
    <w:rsid w:val="00A108A0"/>
    <w:rsid w:val="00A12659"/>
    <w:rsid w:val="00A32063"/>
    <w:rsid w:val="00A34F7B"/>
    <w:rsid w:val="00A36326"/>
    <w:rsid w:val="00A472AF"/>
    <w:rsid w:val="00A612EE"/>
    <w:rsid w:val="00A6206E"/>
    <w:rsid w:val="00A67556"/>
    <w:rsid w:val="00A7014A"/>
    <w:rsid w:val="00A72827"/>
    <w:rsid w:val="00A72F22"/>
    <w:rsid w:val="00A748A6"/>
    <w:rsid w:val="00A776B4"/>
    <w:rsid w:val="00A852D5"/>
    <w:rsid w:val="00A94361"/>
    <w:rsid w:val="00A94FE3"/>
    <w:rsid w:val="00A951DB"/>
    <w:rsid w:val="00AC602F"/>
    <w:rsid w:val="00AD152E"/>
    <w:rsid w:val="00AD79B8"/>
    <w:rsid w:val="00AE1044"/>
    <w:rsid w:val="00AE3C8D"/>
    <w:rsid w:val="00AE4D41"/>
    <w:rsid w:val="00AF126C"/>
    <w:rsid w:val="00B0134C"/>
    <w:rsid w:val="00B06775"/>
    <w:rsid w:val="00B100C2"/>
    <w:rsid w:val="00B1593D"/>
    <w:rsid w:val="00B17DF2"/>
    <w:rsid w:val="00B22074"/>
    <w:rsid w:val="00B222BF"/>
    <w:rsid w:val="00B30179"/>
    <w:rsid w:val="00B40B63"/>
    <w:rsid w:val="00B4207A"/>
    <w:rsid w:val="00B42444"/>
    <w:rsid w:val="00B4714C"/>
    <w:rsid w:val="00B52209"/>
    <w:rsid w:val="00B56E9C"/>
    <w:rsid w:val="00B57DD1"/>
    <w:rsid w:val="00B632CA"/>
    <w:rsid w:val="00B64B1F"/>
    <w:rsid w:val="00B6553F"/>
    <w:rsid w:val="00B75BA4"/>
    <w:rsid w:val="00B8046C"/>
    <w:rsid w:val="00B81D72"/>
    <w:rsid w:val="00B81E12"/>
    <w:rsid w:val="00B85A57"/>
    <w:rsid w:val="00B87467"/>
    <w:rsid w:val="00B8773A"/>
    <w:rsid w:val="00B90C8C"/>
    <w:rsid w:val="00BA2ABA"/>
    <w:rsid w:val="00BA3CC6"/>
    <w:rsid w:val="00BA3EEB"/>
    <w:rsid w:val="00BA43F1"/>
    <w:rsid w:val="00BB6D74"/>
    <w:rsid w:val="00BC6990"/>
    <w:rsid w:val="00BC74E9"/>
    <w:rsid w:val="00BD5DC8"/>
    <w:rsid w:val="00BE1465"/>
    <w:rsid w:val="00BE37B8"/>
    <w:rsid w:val="00BE6F34"/>
    <w:rsid w:val="00BF2980"/>
    <w:rsid w:val="00BF68A8"/>
    <w:rsid w:val="00C01325"/>
    <w:rsid w:val="00C1453F"/>
    <w:rsid w:val="00C16C06"/>
    <w:rsid w:val="00C2043A"/>
    <w:rsid w:val="00C213A4"/>
    <w:rsid w:val="00C3206E"/>
    <w:rsid w:val="00C35322"/>
    <w:rsid w:val="00C369DB"/>
    <w:rsid w:val="00C442C7"/>
    <w:rsid w:val="00C46031"/>
    <w:rsid w:val="00C46204"/>
    <w:rsid w:val="00C463DD"/>
    <w:rsid w:val="00C4724C"/>
    <w:rsid w:val="00C50C50"/>
    <w:rsid w:val="00C55A9E"/>
    <w:rsid w:val="00C629A0"/>
    <w:rsid w:val="00C745C3"/>
    <w:rsid w:val="00C75FB9"/>
    <w:rsid w:val="00CA08F2"/>
    <w:rsid w:val="00CB2156"/>
    <w:rsid w:val="00CB406F"/>
    <w:rsid w:val="00CB4AD8"/>
    <w:rsid w:val="00CC00AC"/>
    <w:rsid w:val="00CC02FB"/>
    <w:rsid w:val="00CC09FE"/>
    <w:rsid w:val="00CC1EE5"/>
    <w:rsid w:val="00CC2932"/>
    <w:rsid w:val="00CC3F9E"/>
    <w:rsid w:val="00CC7FE0"/>
    <w:rsid w:val="00CE4A8F"/>
    <w:rsid w:val="00CE5CDC"/>
    <w:rsid w:val="00CF1D3D"/>
    <w:rsid w:val="00D06989"/>
    <w:rsid w:val="00D07143"/>
    <w:rsid w:val="00D12D66"/>
    <w:rsid w:val="00D14446"/>
    <w:rsid w:val="00D14B53"/>
    <w:rsid w:val="00D14D27"/>
    <w:rsid w:val="00D14ED7"/>
    <w:rsid w:val="00D16133"/>
    <w:rsid w:val="00D2031B"/>
    <w:rsid w:val="00D218CB"/>
    <w:rsid w:val="00D223EA"/>
    <w:rsid w:val="00D23053"/>
    <w:rsid w:val="00D25FE2"/>
    <w:rsid w:val="00D26379"/>
    <w:rsid w:val="00D2708C"/>
    <w:rsid w:val="00D36C07"/>
    <w:rsid w:val="00D43252"/>
    <w:rsid w:val="00D51E7F"/>
    <w:rsid w:val="00D63D52"/>
    <w:rsid w:val="00D75708"/>
    <w:rsid w:val="00D87469"/>
    <w:rsid w:val="00D978C6"/>
    <w:rsid w:val="00DA3C1C"/>
    <w:rsid w:val="00DA4D4E"/>
    <w:rsid w:val="00DB04EB"/>
    <w:rsid w:val="00DB35AF"/>
    <w:rsid w:val="00DB4335"/>
    <w:rsid w:val="00DC2317"/>
    <w:rsid w:val="00DD2770"/>
    <w:rsid w:val="00DF27B0"/>
    <w:rsid w:val="00DF43FC"/>
    <w:rsid w:val="00DF6AD4"/>
    <w:rsid w:val="00DF7335"/>
    <w:rsid w:val="00DF7B7C"/>
    <w:rsid w:val="00E00099"/>
    <w:rsid w:val="00E01D9A"/>
    <w:rsid w:val="00E1597B"/>
    <w:rsid w:val="00E23F8A"/>
    <w:rsid w:val="00E3238A"/>
    <w:rsid w:val="00E33271"/>
    <w:rsid w:val="00E41105"/>
    <w:rsid w:val="00E45872"/>
    <w:rsid w:val="00E51AEF"/>
    <w:rsid w:val="00E55908"/>
    <w:rsid w:val="00E71BC8"/>
    <w:rsid w:val="00E7260F"/>
    <w:rsid w:val="00E731CB"/>
    <w:rsid w:val="00E75831"/>
    <w:rsid w:val="00E82683"/>
    <w:rsid w:val="00E8682A"/>
    <w:rsid w:val="00E875B7"/>
    <w:rsid w:val="00E96630"/>
    <w:rsid w:val="00E96E05"/>
    <w:rsid w:val="00EB4088"/>
    <w:rsid w:val="00EB7729"/>
    <w:rsid w:val="00EC5C1D"/>
    <w:rsid w:val="00ED32A3"/>
    <w:rsid w:val="00ED427E"/>
    <w:rsid w:val="00ED77A7"/>
    <w:rsid w:val="00ED7A2A"/>
    <w:rsid w:val="00EE4D26"/>
    <w:rsid w:val="00EE6D17"/>
    <w:rsid w:val="00EF1CF2"/>
    <w:rsid w:val="00EF1D7F"/>
    <w:rsid w:val="00F05FB0"/>
    <w:rsid w:val="00F1612D"/>
    <w:rsid w:val="00F25023"/>
    <w:rsid w:val="00F27143"/>
    <w:rsid w:val="00F34583"/>
    <w:rsid w:val="00F35452"/>
    <w:rsid w:val="00F37DBE"/>
    <w:rsid w:val="00F42B98"/>
    <w:rsid w:val="00F504DF"/>
    <w:rsid w:val="00F522E1"/>
    <w:rsid w:val="00F7310D"/>
    <w:rsid w:val="00F81534"/>
    <w:rsid w:val="00F81588"/>
    <w:rsid w:val="00F86622"/>
    <w:rsid w:val="00F91C6C"/>
    <w:rsid w:val="00F9549A"/>
    <w:rsid w:val="00FA271C"/>
    <w:rsid w:val="00FA2938"/>
    <w:rsid w:val="00FA5BC5"/>
    <w:rsid w:val="00FB35B7"/>
    <w:rsid w:val="00FC010D"/>
    <w:rsid w:val="00FC527C"/>
    <w:rsid w:val="00FC68B7"/>
    <w:rsid w:val="00FC7D12"/>
    <w:rsid w:val="00FD6337"/>
    <w:rsid w:val="00FE0DDD"/>
    <w:rsid w:val="00FE3017"/>
    <w:rsid w:val="00FE3CBB"/>
    <w:rsid w:val="00FE5875"/>
    <w:rsid w:val="00FF2C3D"/>
    <w:rsid w:val="00FF3158"/>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046C"/>
    <w:pPr>
      <w:suppressAutoHyphens/>
      <w:spacing w:line="240" w:lineRule="atLeast"/>
    </w:pPr>
    <w:rPr>
      <w:lang w:eastAsia="en-US"/>
    </w:rPr>
  </w:style>
  <w:style w:type="paragraph" w:styleId="Nadpis1">
    <w:name w:val="heading 1"/>
    <w:aliases w:val="Table_G"/>
    <w:basedOn w:val="SingleTxtG"/>
    <w:next w:val="SingleTxtG"/>
    <w:qFormat/>
    <w:rsid w:val="00C213A4"/>
    <w:pPr>
      <w:spacing w:after="0" w:line="240" w:lineRule="auto"/>
      <w:ind w:right="0"/>
      <w:jc w:val="left"/>
      <w:outlineLvl w:val="0"/>
    </w:pPr>
  </w:style>
  <w:style w:type="paragraph" w:styleId="Nadpis2">
    <w:name w:val="heading 2"/>
    <w:basedOn w:val="Normln"/>
    <w:next w:val="Normln"/>
    <w:semiHidden/>
    <w:qFormat/>
    <w:rsid w:val="00C213A4"/>
    <w:pPr>
      <w:spacing w:line="240" w:lineRule="auto"/>
      <w:outlineLvl w:val="1"/>
    </w:pPr>
  </w:style>
  <w:style w:type="paragraph" w:styleId="Nadpis3">
    <w:name w:val="heading 3"/>
    <w:basedOn w:val="Normln"/>
    <w:next w:val="Normln"/>
    <w:semiHidden/>
    <w:qFormat/>
    <w:rsid w:val="00C213A4"/>
    <w:pPr>
      <w:spacing w:line="240" w:lineRule="auto"/>
      <w:outlineLvl w:val="2"/>
    </w:pPr>
  </w:style>
  <w:style w:type="paragraph" w:styleId="Nadpis4">
    <w:name w:val="heading 4"/>
    <w:basedOn w:val="Normln"/>
    <w:next w:val="Normln"/>
    <w:semiHidden/>
    <w:qFormat/>
    <w:rsid w:val="00C213A4"/>
    <w:pPr>
      <w:spacing w:line="240" w:lineRule="auto"/>
      <w:outlineLvl w:val="3"/>
    </w:pPr>
  </w:style>
  <w:style w:type="paragraph" w:styleId="Nadpis5">
    <w:name w:val="heading 5"/>
    <w:basedOn w:val="Normln"/>
    <w:next w:val="Normln"/>
    <w:semiHidden/>
    <w:qFormat/>
    <w:rsid w:val="00C213A4"/>
    <w:pPr>
      <w:spacing w:line="240" w:lineRule="auto"/>
      <w:outlineLvl w:val="4"/>
    </w:pPr>
  </w:style>
  <w:style w:type="paragraph" w:styleId="Nadpis6">
    <w:name w:val="heading 6"/>
    <w:basedOn w:val="Normln"/>
    <w:next w:val="Normln"/>
    <w:semiHidden/>
    <w:qFormat/>
    <w:rsid w:val="00C213A4"/>
    <w:pPr>
      <w:spacing w:line="240" w:lineRule="auto"/>
      <w:outlineLvl w:val="5"/>
    </w:pPr>
  </w:style>
  <w:style w:type="paragraph" w:styleId="Nadpis7">
    <w:name w:val="heading 7"/>
    <w:basedOn w:val="Normln"/>
    <w:next w:val="Normln"/>
    <w:semiHidden/>
    <w:qFormat/>
    <w:rsid w:val="00C213A4"/>
    <w:pPr>
      <w:spacing w:line="240" w:lineRule="auto"/>
      <w:outlineLvl w:val="6"/>
    </w:pPr>
  </w:style>
  <w:style w:type="paragraph" w:styleId="Nadpis8">
    <w:name w:val="heading 8"/>
    <w:basedOn w:val="Normln"/>
    <w:next w:val="Normln"/>
    <w:semiHidden/>
    <w:qFormat/>
    <w:rsid w:val="00C213A4"/>
    <w:pPr>
      <w:spacing w:line="240" w:lineRule="auto"/>
      <w:outlineLvl w:val="7"/>
    </w:pPr>
  </w:style>
  <w:style w:type="paragraph" w:styleId="Nadpis9">
    <w:name w:val="heading 9"/>
    <w:basedOn w:val="Normln"/>
    <w:next w:val="Normln"/>
    <w:semiHidden/>
    <w:qFormat/>
    <w:rsid w:val="00C213A4"/>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qFormat/>
    <w:rsid w:val="00C213A4"/>
    <w:pPr>
      <w:spacing w:after="120"/>
      <w:ind w:left="1134" w:right="1134"/>
      <w:jc w:val="both"/>
    </w:pPr>
  </w:style>
  <w:style w:type="paragraph" w:customStyle="1" w:styleId="HMG">
    <w:name w:val="_ H __M_G"/>
    <w:basedOn w:val="Normln"/>
    <w:next w:val="Normln"/>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qFormat/>
    <w:rsid w:val="00C213A4"/>
    <w:pPr>
      <w:keepNext/>
      <w:keepLines/>
      <w:tabs>
        <w:tab w:val="right" w:pos="851"/>
      </w:tabs>
      <w:spacing w:before="360" w:after="240" w:line="300" w:lineRule="exact"/>
      <w:ind w:left="1134" w:right="1134" w:hanging="1134"/>
    </w:pPr>
    <w:rPr>
      <w:b/>
      <w:sz w:val="28"/>
    </w:rPr>
  </w:style>
  <w:style w:type="character" w:styleId="Znakapoznpodarou">
    <w:name w:val="footnote reference"/>
    <w:aliases w:val="4_G,4_G Char,4_G Char Char Char Char Char,Footnotes refss Char Char Char Char Char,ftref Char Char Char Char Char,BVI fnr Char Char Char Char Char,BVI fnr Car Car Char Char Char Char Char,BVI fnr Car Char Char Char Char Char"/>
    <w:link w:val="4GCharCharCharChar"/>
    <w:qFormat/>
    <w:rsid w:val="00C213A4"/>
    <w:rPr>
      <w:rFonts w:ascii="Times New Roman" w:hAnsi="Times New Roman"/>
      <w:sz w:val="18"/>
      <w:vertAlign w:val="superscript"/>
    </w:rPr>
  </w:style>
  <w:style w:type="character" w:styleId="Odkaznavysvtlivky">
    <w:name w:val="endnote reference"/>
    <w:aliases w:val="1_G"/>
    <w:qFormat/>
    <w:rsid w:val="00C213A4"/>
    <w:rPr>
      <w:rFonts w:ascii="Times New Roman" w:hAnsi="Times New Roman"/>
      <w:sz w:val="18"/>
      <w:vertAlign w:val="superscript"/>
    </w:rPr>
  </w:style>
  <w:style w:type="paragraph" w:styleId="Zhlav">
    <w:name w:val="header"/>
    <w:aliases w:val="6_G"/>
    <w:basedOn w:val="Normln"/>
    <w:qFormat/>
    <w:rsid w:val="00C213A4"/>
    <w:pPr>
      <w:pBdr>
        <w:bottom w:val="single" w:sz="4" w:space="4" w:color="auto"/>
      </w:pBdr>
      <w:spacing w:line="240" w:lineRule="auto"/>
    </w:pPr>
    <w:rPr>
      <w:b/>
      <w:sz w:val="18"/>
    </w:rPr>
  </w:style>
  <w:style w:type="table" w:styleId="Mkatabulky">
    <w:name w:val="Table Grid"/>
    <w:basedOn w:val="Normlntabulka"/>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textovodkaz">
    <w:name w:val="Hyperlink"/>
    <w:semiHidden/>
    <w:rsid w:val="00C213A4"/>
    <w:rPr>
      <w:color w:val="auto"/>
      <w:u w:val="none"/>
    </w:rPr>
  </w:style>
  <w:style w:type="character" w:styleId="Sledovanodkaz">
    <w:name w:val="FollowedHyperlink"/>
    <w:semiHidden/>
    <w:rsid w:val="00C213A4"/>
    <w:rPr>
      <w:color w:val="auto"/>
      <w:u w:val="none"/>
    </w:rPr>
  </w:style>
  <w:style w:type="paragraph" w:customStyle="1" w:styleId="SMG">
    <w:name w:val="__S_M_G"/>
    <w:basedOn w:val="Normln"/>
    <w:next w:val="Normln"/>
    <w:rsid w:val="00C213A4"/>
    <w:pPr>
      <w:keepNext/>
      <w:keepLines/>
      <w:spacing w:before="240" w:after="240" w:line="420" w:lineRule="exact"/>
      <w:ind w:left="1134" w:right="1134"/>
    </w:pPr>
    <w:rPr>
      <w:b/>
      <w:sz w:val="40"/>
    </w:rPr>
  </w:style>
  <w:style w:type="paragraph" w:customStyle="1" w:styleId="SLG">
    <w:name w:val="__S_L_G"/>
    <w:basedOn w:val="Normln"/>
    <w:next w:val="Normln"/>
    <w:rsid w:val="00C213A4"/>
    <w:pPr>
      <w:keepNext/>
      <w:keepLines/>
      <w:spacing w:before="240" w:after="240" w:line="580" w:lineRule="exact"/>
      <w:ind w:left="1134" w:right="1134"/>
    </w:pPr>
    <w:rPr>
      <w:b/>
      <w:sz w:val="56"/>
    </w:rPr>
  </w:style>
  <w:style w:type="paragraph" w:customStyle="1" w:styleId="SSG">
    <w:name w:val="__S_S_G"/>
    <w:basedOn w:val="Normln"/>
    <w:next w:val="Normln"/>
    <w:rsid w:val="00C213A4"/>
    <w:pPr>
      <w:keepNext/>
      <w:keepLines/>
      <w:spacing w:before="240" w:after="240" w:line="300" w:lineRule="exact"/>
      <w:ind w:left="1134" w:right="1134"/>
    </w:pPr>
    <w:rPr>
      <w:b/>
      <w:sz w:val="28"/>
    </w:rPr>
  </w:style>
  <w:style w:type="paragraph" w:styleId="Textpoznpodarou">
    <w:name w:val="footnote text"/>
    <w:aliases w:val="5_G,Char,Footnote Text Char Char Char Char,Footnote Text Char Char,Char Char Char Char,Footnote reference,FA Fu,Footnote Text Char Char Char Char Char,Footnote Text Char Char Char, Char, Char Char Char Char,fn,FN,Texto nota pie Car"/>
    <w:basedOn w:val="Normln"/>
    <w:link w:val="TextpoznpodarouChar"/>
    <w:qFormat/>
    <w:rsid w:val="00C213A4"/>
    <w:pPr>
      <w:tabs>
        <w:tab w:val="right" w:pos="1021"/>
      </w:tabs>
      <w:spacing w:line="220" w:lineRule="exact"/>
      <w:ind w:left="1134" w:right="1134" w:hanging="1134"/>
    </w:pPr>
    <w:rPr>
      <w:sz w:val="18"/>
    </w:rPr>
  </w:style>
  <w:style w:type="paragraph" w:styleId="Textvysvtlivek">
    <w:name w:val="endnote text"/>
    <w:aliases w:val="2_G"/>
    <w:basedOn w:val="Textpoznpodarou"/>
    <w:qFormat/>
    <w:rsid w:val="00C213A4"/>
  </w:style>
  <w:style w:type="character" w:styleId="slostrnky">
    <w:name w:val="page number"/>
    <w:aliases w:val="7_G"/>
    <w:qFormat/>
    <w:rsid w:val="00C213A4"/>
    <w:rPr>
      <w:rFonts w:ascii="Times New Roman" w:hAnsi="Times New Roman"/>
      <w:b/>
      <w:sz w:val="18"/>
    </w:rPr>
  </w:style>
  <w:style w:type="paragraph" w:customStyle="1" w:styleId="XLargeG">
    <w:name w:val="__XLarge_G"/>
    <w:basedOn w:val="Normln"/>
    <w:next w:val="Normln"/>
    <w:rsid w:val="00C213A4"/>
    <w:pPr>
      <w:keepNext/>
      <w:keepLines/>
      <w:spacing w:before="240" w:after="240" w:line="420" w:lineRule="exact"/>
      <w:ind w:left="1134" w:right="1134"/>
    </w:pPr>
    <w:rPr>
      <w:b/>
      <w:sz w:val="40"/>
    </w:rPr>
  </w:style>
  <w:style w:type="paragraph" w:customStyle="1" w:styleId="Bullet1G">
    <w:name w:val="_Bullet 1_G"/>
    <w:basedOn w:val="Normln"/>
    <w:qFormat/>
    <w:rsid w:val="00C213A4"/>
    <w:pPr>
      <w:numPr>
        <w:numId w:val="1"/>
      </w:numPr>
      <w:spacing w:after="120"/>
      <w:ind w:right="1134"/>
      <w:jc w:val="both"/>
    </w:pPr>
  </w:style>
  <w:style w:type="paragraph" w:styleId="Zpat">
    <w:name w:val="footer"/>
    <w:aliases w:val="3_G"/>
    <w:basedOn w:val="Normln"/>
    <w:qFormat/>
    <w:rsid w:val="00C213A4"/>
    <w:pPr>
      <w:spacing w:line="240" w:lineRule="auto"/>
    </w:pPr>
    <w:rPr>
      <w:sz w:val="16"/>
    </w:rPr>
  </w:style>
  <w:style w:type="paragraph" w:customStyle="1" w:styleId="Bullet2G">
    <w:name w:val="_Bullet 2_G"/>
    <w:basedOn w:val="Normln"/>
    <w:qFormat/>
    <w:rsid w:val="00C213A4"/>
    <w:pPr>
      <w:numPr>
        <w:numId w:val="2"/>
      </w:numPr>
      <w:spacing w:after="120"/>
      <w:ind w:right="1134"/>
      <w:jc w:val="both"/>
    </w:pPr>
  </w:style>
  <w:style w:type="paragraph" w:customStyle="1" w:styleId="H1G">
    <w:name w:val="_ H_1_G"/>
    <w:basedOn w:val="Normln"/>
    <w:next w:val="Normln"/>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qFormat/>
    <w:rsid w:val="00C213A4"/>
    <w:pPr>
      <w:keepNext/>
      <w:keepLines/>
      <w:tabs>
        <w:tab w:val="right" w:pos="851"/>
      </w:tabs>
      <w:spacing w:before="240" w:after="120" w:line="240" w:lineRule="exact"/>
      <w:ind w:left="1134" w:right="1134" w:hanging="1134"/>
    </w:pPr>
  </w:style>
  <w:style w:type="paragraph" w:styleId="Textbubliny">
    <w:name w:val="Balloon Text"/>
    <w:basedOn w:val="Normln"/>
    <w:link w:val="TextbublinyChar"/>
    <w:semiHidden/>
    <w:rsid w:val="00B8046C"/>
    <w:pPr>
      <w:spacing w:line="240" w:lineRule="auto"/>
    </w:pPr>
    <w:rPr>
      <w:rFonts w:ascii="Tahoma" w:hAnsi="Tahoma" w:cs="Tahoma"/>
      <w:sz w:val="16"/>
      <w:szCs w:val="16"/>
    </w:rPr>
  </w:style>
  <w:style w:type="character" w:customStyle="1" w:styleId="TextbublinyChar">
    <w:name w:val="Text bubliny Char"/>
    <w:link w:val="Textbubliny"/>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TextpoznpodarouChar">
    <w:name w:val="Text pozn. pod čarou Char"/>
    <w:aliases w:val="5_G Char,Char Char,Footnote Text Char Char Char Char Char1,Footnote Text Char Char Char1,Char Char Char Char Char,Footnote reference Char,FA Fu Char,Footnote Text Char Char Char Char Char Char,Footnote Text Char Char Char Char1"/>
    <w:link w:val="Textpoznpodarou"/>
    <w:locked/>
    <w:rsid w:val="004762B3"/>
    <w:rPr>
      <w:sz w:val="18"/>
      <w:lang w:eastAsia="en-US"/>
    </w:rPr>
  </w:style>
  <w:style w:type="paragraph" w:customStyle="1" w:styleId="Listeafsnit1">
    <w:name w:val="Listeafsnit1"/>
    <w:aliases w:val="F5 List Paragraph,Dot pt,No Spacing1,List Paragraph Char Char Char,Indicator Text,List Paragraph1,Numbered Para 1,Bullet 1,List Paragraph12,Bullet Points,MAIN CONTENT,List Paragraph2,Normal numbered,List Paragraph11,OBC Bullet,Bullet Styl"/>
    <w:basedOn w:val="Normln"/>
    <w:link w:val="ListeafsnitTegn"/>
    <w:qFormat/>
    <w:rsid w:val="004762B3"/>
    <w:pPr>
      <w:suppressAutoHyphens w:val="0"/>
      <w:spacing w:after="200" w:line="276" w:lineRule="auto"/>
      <w:ind w:left="720"/>
      <w:contextualSpacing/>
    </w:pPr>
    <w:rPr>
      <w:rFonts w:ascii="Microsoft Sans Serif" w:eastAsia="Calibri" w:hAnsi="Microsoft Sans Serif" w:cs="Arial"/>
      <w:sz w:val="22"/>
      <w:szCs w:val="22"/>
    </w:rPr>
  </w:style>
  <w:style w:type="character" w:customStyle="1" w:styleId="ListeafsnitTegn">
    <w:name w:val="Listeafsnit Tegn"/>
    <w:aliases w:val="F5 List Paragraph Tegn,Dot pt Tegn,No Spacing1 Tegn,List Paragraph Char Char Char Tegn,Indicator Text Tegn,List Paragraph1 Tegn,Numbered Para 1 Tegn,Bullet 1 Tegn,List Paragraph12 Tegn,Bullet Points Tegn,MAIN CONTENT Tegn"/>
    <w:link w:val="Listeafsnit1"/>
    <w:qFormat/>
    <w:locked/>
    <w:rsid w:val="004762B3"/>
    <w:rPr>
      <w:rFonts w:ascii="Microsoft Sans Serif" w:eastAsia="Calibri" w:hAnsi="Microsoft Sans Serif" w:cs="Arial"/>
      <w:sz w:val="22"/>
      <w:szCs w:val="22"/>
      <w:lang w:eastAsia="en-US"/>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ftr"/>
    <w:basedOn w:val="Normln"/>
    <w:link w:val="Znakapoznpodarou"/>
    <w:rsid w:val="004762B3"/>
    <w:pPr>
      <w:suppressAutoHyphens w:val="0"/>
      <w:spacing w:after="160" w:line="240" w:lineRule="exact"/>
      <w:jc w:val="both"/>
    </w:pPr>
    <w:rPr>
      <w:sz w:val="18"/>
      <w:vertAlign w:val="superscript"/>
      <w:lang w:eastAsia="en-GB"/>
    </w:rPr>
  </w:style>
  <w:style w:type="paragraph" w:customStyle="1" w:styleId="ListParagraph3">
    <w:name w:val="List Paragraph3"/>
    <w:basedOn w:val="Normln"/>
    <w:qFormat/>
    <w:rsid w:val="004762B3"/>
    <w:pPr>
      <w:suppressAutoHyphens w:val="0"/>
      <w:spacing w:after="200" w:line="276" w:lineRule="auto"/>
      <w:ind w:left="720"/>
      <w:contextualSpacing/>
    </w:pPr>
    <w:rPr>
      <w:rFonts w:ascii="Microsoft Sans Serif" w:eastAsia="Calibri" w:hAnsi="Microsoft Sans Serif" w:cs="Arial"/>
      <w:sz w:val="22"/>
      <w:szCs w:val="22"/>
      <w:lang w:val="de-DE"/>
    </w:rPr>
  </w:style>
  <w:style w:type="character" w:styleId="Odkaznakoment">
    <w:name w:val="annotation reference"/>
    <w:basedOn w:val="Standardnpsmoodstavce"/>
    <w:semiHidden/>
    <w:unhideWhenUsed/>
    <w:rsid w:val="000873F1"/>
    <w:rPr>
      <w:sz w:val="16"/>
      <w:szCs w:val="16"/>
    </w:rPr>
  </w:style>
  <w:style w:type="paragraph" w:styleId="Textkomente">
    <w:name w:val="annotation text"/>
    <w:basedOn w:val="Normln"/>
    <w:link w:val="TextkomenteChar"/>
    <w:semiHidden/>
    <w:unhideWhenUsed/>
    <w:rsid w:val="000873F1"/>
    <w:pPr>
      <w:spacing w:line="240" w:lineRule="auto"/>
    </w:pPr>
  </w:style>
  <w:style w:type="character" w:customStyle="1" w:styleId="TextkomenteChar">
    <w:name w:val="Text komentáře Char"/>
    <w:basedOn w:val="Standardnpsmoodstavce"/>
    <w:link w:val="Textkomente"/>
    <w:semiHidden/>
    <w:rsid w:val="000873F1"/>
    <w:rPr>
      <w:lang w:eastAsia="en-US"/>
    </w:rPr>
  </w:style>
  <w:style w:type="paragraph" w:styleId="Pedmtkomente">
    <w:name w:val="annotation subject"/>
    <w:basedOn w:val="Textkomente"/>
    <w:next w:val="Textkomente"/>
    <w:link w:val="PedmtkomenteChar"/>
    <w:semiHidden/>
    <w:unhideWhenUsed/>
    <w:rsid w:val="000873F1"/>
    <w:rPr>
      <w:b/>
      <w:bCs/>
    </w:rPr>
  </w:style>
  <w:style w:type="character" w:customStyle="1" w:styleId="PedmtkomenteChar">
    <w:name w:val="Předmět komentáře Char"/>
    <w:basedOn w:val="TextkomenteChar"/>
    <w:link w:val="Pedmtkomente"/>
    <w:semiHidden/>
    <w:rsid w:val="000873F1"/>
    <w:rPr>
      <w:b/>
      <w:bCs/>
      <w:lang w:eastAsia="en-US"/>
    </w:rPr>
  </w:style>
  <w:style w:type="character" w:customStyle="1" w:styleId="hvr">
    <w:name w:val="hvr"/>
    <w:basedOn w:val="Standardnpsmoodstavce"/>
    <w:rsid w:val="00CC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046C"/>
    <w:pPr>
      <w:suppressAutoHyphens/>
      <w:spacing w:line="240" w:lineRule="atLeast"/>
    </w:pPr>
    <w:rPr>
      <w:lang w:eastAsia="en-US"/>
    </w:rPr>
  </w:style>
  <w:style w:type="paragraph" w:styleId="Nadpis1">
    <w:name w:val="heading 1"/>
    <w:aliases w:val="Table_G"/>
    <w:basedOn w:val="SingleTxtG"/>
    <w:next w:val="SingleTxtG"/>
    <w:qFormat/>
    <w:rsid w:val="00C213A4"/>
    <w:pPr>
      <w:spacing w:after="0" w:line="240" w:lineRule="auto"/>
      <w:ind w:right="0"/>
      <w:jc w:val="left"/>
      <w:outlineLvl w:val="0"/>
    </w:pPr>
  </w:style>
  <w:style w:type="paragraph" w:styleId="Nadpis2">
    <w:name w:val="heading 2"/>
    <w:basedOn w:val="Normln"/>
    <w:next w:val="Normln"/>
    <w:semiHidden/>
    <w:qFormat/>
    <w:rsid w:val="00C213A4"/>
    <w:pPr>
      <w:spacing w:line="240" w:lineRule="auto"/>
      <w:outlineLvl w:val="1"/>
    </w:pPr>
  </w:style>
  <w:style w:type="paragraph" w:styleId="Nadpis3">
    <w:name w:val="heading 3"/>
    <w:basedOn w:val="Normln"/>
    <w:next w:val="Normln"/>
    <w:semiHidden/>
    <w:qFormat/>
    <w:rsid w:val="00C213A4"/>
    <w:pPr>
      <w:spacing w:line="240" w:lineRule="auto"/>
      <w:outlineLvl w:val="2"/>
    </w:pPr>
  </w:style>
  <w:style w:type="paragraph" w:styleId="Nadpis4">
    <w:name w:val="heading 4"/>
    <w:basedOn w:val="Normln"/>
    <w:next w:val="Normln"/>
    <w:semiHidden/>
    <w:qFormat/>
    <w:rsid w:val="00C213A4"/>
    <w:pPr>
      <w:spacing w:line="240" w:lineRule="auto"/>
      <w:outlineLvl w:val="3"/>
    </w:pPr>
  </w:style>
  <w:style w:type="paragraph" w:styleId="Nadpis5">
    <w:name w:val="heading 5"/>
    <w:basedOn w:val="Normln"/>
    <w:next w:val="Normln"/>
    <w:semiHidden/>
    <w:qFormat/>
    <w:rsid w:val="00C213A4"/>
    <w:pPr>
      <w:spacing w:line="240" w:lineRule="auto"/>
      <w:outlineLvl w:val="4"/>
    </w:pPr>
  </w:style>
  <w:style w:type="paragraph" w:styleId="Nadpis6">
    <w:name w:val="heading 6"/>
    <w:basedOn w:val="Normln"/>
    <w:next w:val="Normln"/>
    <w:semiHidden/>
    <w:qFormat/>
    <w:rsid w:val="00C213A4"/>
    <w:pPr>
      <w:spacing w:line="240" w:lineRule="auto"/>
      <w:outlineLvl w:val="5"/>
    </w:pPr>
  </w:style>
  <w:style w:type="paragraph" w:styleId="Nadpis7">
    <w:name w:val="heading 7"/>
    <w:basedOn w:val="Normln"/>
    <w:next w:val="Normln"/>
    <w:semiHidden/>
    <w:qFormat/>
    <w:rsid w:val="00C213A4"/>
    <w:pPr>
      <w:spacing w:line="240" w:lineRule="auto"/>
      <w:outlineLvl w:val="6"/>
    </w:pPr>
  </w:style>
  <w:style w:type="paragraph" w:styleId="Nadpis8">
    <w:name w:val="heading 8"/>
    <w:basedOn w:val="Normln"/>
    <w:next w:val="Normln"/>
    <w:semiHidden/>
    <w:qFormat/>
    <w:rsid w:val="00C213A4"/>
    <w:pPr>
      <w:spacing w:line="240" w:lineRule="auto"/>
      <w:outlineLvl w:val="7"/>
    </w:pPr>
  </w:style>
  <w:style w:type="paragraph" w:styleId="Nadpis9">
    <w:name w:val="heading 9"/>
    <w:basedOn w:val="Normln"/>
    <w:next w:val="Normln"/>
    <w:semiHidden/>
    <w:qFormat/>
    <w:rsid w:val="00C213A4"/>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qFormat/>
    <w:rsid w:val="00C213A4"/>
    <w:pPr>
      <w:spacing w:after="120"/>
      <w:ind w:left="1134" w:right="1134"/>
      <w:jc w:val="both"/>
    </w:pPr>
  </w:style>
  <w:style w:type="paragraph" w:customStyle="1" w:styleId="HMG">
    <w:name w:val="_ H __M_G"/>
    <w:basedOn w:val="Normln"/>
    <w:next w:val="Normln"/>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qFormat/>
    <w:rsid w:val="00C213A4"/>
    <w:pPr>
      <w:keepNext/>
      <w:keepLines/>
      <w:tabs>
        <w:tab w:val="right" w:pos="851"/>
      </w:tabs>
      <w:spacing w:before="360" w:after="240" w:line="300" w:lineRule="exact"/>
      <w:ind w:left="1134" w:right="1134" w:hanging="1134"/>
    </w:pPr>
    <w:rPr>
      <w:b/>
      <w:sz w:val="28"/>
    </w:rPr>
  </w:style>
  <w:style w:type="character" w:styleId="Znakapoznpodarou">
    <w:name w:val="footnote reference"/>
    <w:aliases w:val="4_G,4_G Char,4_G Char Char Char Char Char,Footnotes refss Char Char Char Char Char,ftref Char Char Char Char Char,BVI fnr Char Char Char Char Char,BVI fnr Car Car Char Char Char Char Char,BVI fnr Car Char Char Char Char Char"/>
    <w:link w:val="4GCharCharCharChar"/>
    <w:qFormat/>
    <w:rsid w:val="00C213A4"/>
    <w:rPr>
      <w:rFonts w:ascii="Times New Roman" w:hAnsi="Times New Roman"/>
      <w:sz w:val="18"/>
      <w:vertAlign w:val="superscript"/>
    </w:rPr>
  </w:style>
  <w:style w:type="character" w:styleId="Odkaznavysvtlivky">
    <w:name w:val="endnote reference"/>
    <w:aliases w:val="1_G"/>
    <w:qFormat/>
    <w:rsid w:val="00C213A4"/>
    <w:rPr>
      <w:rFonts w:ascii="Times New Roman" w:hAnsi="Times New Roman"/>
      <w:sz w:val="18"/>
      <w:vertAlign w:val="superscript"/>
    </w:rPr>
  </w:style>
  <w:style w:type="paragraph" w:styleId="Zhlav">
    <w:name w:val="header"/>
    <w:aliases w:val="6_G"/>
    <w:basedOn w:val="Normln"/>
    <w:qFormat/>
    <w:rsid w:val="00C213A4"/>
    <w:pPr>
      <w:pBdr>
        <w:bottom w:val="single" w:sz="4" w:space="4" w:color="auto"/>
      </w:pBdr>
      <w:spacing w:line="240" w:lineRule="auto"/>
    </w:pPr>
    <w:rPr>
      <w:b/>
      <w:sz w:val="18"/>
    </w:rPr>
  </w:style>
  <w:style w:type="table" w:styleId="Mkatabulky">
    <w:name w:val="Table Grid"/>
    <w:basedOn w:val="Normlntabulka"/>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textovodkaz">
    <w:name w:val="Hyperlink"/>
    <w:semiHidden/>
    <w:rsid w:val="00C213A4"/>
    <w:rPr>
      <w:color w:val="auto"/>
      <w:u w:val="none"/>
    </w:rPr>
  </w:style>
  <w:style w:type="character" w:styleId="Sledovanodkaz">
    <w:name w:val="FollowedHyperlink"/>
    <w:semiHidden/>
    <w:rsid w:val="00C213A4"/>
    <w:rPr>
      <w:color w:val="auto"/>
      <w:u w:val="none"/>
    </w:rPr>
  </w:style>
  <w:style w:type="paragraph" w:customStyle="1" w:styleId="SMG">
    <w:name w:val="__S_M_G"/>
    <w:basedOn w:val="Normln"/>
    <w:next w:val="Normln"/>
    <w:rsid w:val="00C213A4"/>
    <w:pPr>
      <w:keepNext/>
      <w:keepLines/>
      <w:spacing w:before="240" w:after="240" w:line="420" w:lineRule="exact"/>
      <w:ind w:left="1134" w:right="1134"/>
    </w:pPr>
    <w:rPr>
      <w:b/>
      <w:sz w:val="40"/>
    </w:rPr>
  </w:style>
  <w:style w:type="paragraph" w:customStyle="1" w:styleId="SLG">
    <w:name w:val="__S_L_G"/>
    <w:basedOn w:val="Normln"/>
    <w:next w:val="Normln"/>
    <w:rsid w:val="00C213A4"/>
    <w:pPr>
      <w:keepNext/>
      <w:keepLines/>
      <w:spacing w:before="240" w:after="240" w:line="580" w:lineRule="exact"/>
      <w:ind w:left="1134" w:right="1134"/>
    </w:pPr>
    <w:rPr>
      <w:b/>
      <w:sz w:val="56"/>
    </w:rPr>
  </w:style>
  <w:style w:type="paragraph" w:customStyle="1" w:styleId="SSG">
    <w:name w:val="__S_S_G"/>
    <w:basedOn w:val="Normln"/>
    <w:next w:val="Normln"/>
    <w:rsid w:val="00C213A4"/>
    <w:pPr>
      <w:keepNext/>
      <w:keepLines/>
      <w:spacing w:before="240" w:after="240" w:line="300" w:lineRule="exact"/>
      <w:ind w:left="1134" w:right="1134"/>
    </w:pPr>
    <w:rPr>
      <w:b/>
      <w:sz w:val="28"/>
    </w:rPr>
  </w:style>
  <w:style w:type="paragraph" w:styleId="Textpoznpodarou">
    <w:name w:val="footnote text"/>
    <w:aliases w:val="5_G,Char,Footnote Text Char Char Char Char,Footnote Text Char Char,Char Char Char Char,Footnote reference,FA Fu,Footnote Text Char Char Char Char Char,Footnote Text Char Char Char, Char, Char Char Char Char,fn,FN,Texto nota pie Car"/>
    <w:basedOn w:val="Normln"/>
    <w:link w:val="TextpoznpodarouChar"/>
    <w:qFormat/>
    <w:rsid w:val="00C213A4"/>
    <w:pPr>
      <w:tabs>
        <w:tab w:val="right" w:pos="1021"/>
      </w:tabs>
      <w:spacing w:line="220" w:lineRule="exact"/>
      <w:ind w:left="1134" w:right="1134" w:hanging="1134"/>
    </w:pPr>
    <w:rPr>
      <w:sz w:val="18"/>
    </w:rPr>
  </w:style>
  <w:style w:type="paragraph" w:styleId="Textvysvtlivek">
    <w:name w:val="endnote text"/>
    <w:aliases w:val="2_G"/>
    <w:basedOn w:val="Textpoznpodarou"/>
    <w:qFormat/>
    <w:rsid w:val="00C213A4"/>
  </w:style>
  <w:style w:type="character" w:styleId="slostrnky">
    <w:name w:val="page number"/>
    <w:aliases w:val="7_G"/>
    <w:qFormat/>
    <w:rsid w:val="00C213A4"/>
    <w:rPr>
      <w:rFonts w:ascii="Times New Roman" w:hAnsi="Times New Roman"/>
      <w:b/>
      <w:sz w:val="18"/>
    </w:rPr>
  </w:style>
  <w:style w:type="paragraph" w:customStyle="1" w:styleId="XLargeG">
    <w:name w:val="__XLarge_G"/>
    <w:basedOn w:val="Normln"/>
    <w:next w:val="Normln"/>
    <w:rsid w:val="00C213A4"/>
    <w:pPr>
      <w:keepNext/>
      <w:keepLines/>
      <w:spacing w:before="240" w:after="240" w:line="420" w:lineRule="exact"/>
      <w:ind w:left="1134" w:right="1134"/>
    </w:pPr>
    <w:rPr>
      <w:b/>
      <w:sz w:val="40"/>
    </w:rPr>
  </w:style>
  <w:style w:type="paragraph" w:customStyle="1" w:styleId="Bullet1G">
    <w:name w:val="_Bullet 1_G"/>
    <w:basedOn w:val="Normln"/>
    <w:qFormat/>
    <w:rsid w:val="00C213A4"/>
    <w:pPr>
      <w:numPr>
        <w:numId w:val="1"/>
      </w:numPr>
      <w:spacing w:after="120"/>
      <w:ind w:right="1134"/>
      <w:jc w:val="both"/>
    </w:pPr>
  </w:style>
  <w:style w:type="paragraph" w:styleId="Zpat">
    <w:name w:val="footer"/>
    <w:aliases w:val="3_G"/>
    <w:basedOn w:val="Normln"/>
    <w:qFormat/>
    <w:rsid w:val="00C213A4"/>
    <w:pPr>
      <w:spacing w:line="240" w:lineRule="auto"/>
    </w:pPr>
    <w:rPr>
      <w:sz w:val="16"/>
    </w:rPr>
  </w:style>
  <w:style w:type="paragraph" w:customStyle="1" w:styleId="Bullet2G">
    <w:name w:val="_Bullet 2_G"/>
    <w:basedOn w:val="Normln"/>
    <w:qFormat/>
    <w:rsid w:val="00C213A4"/>
    <w:pPr>
      <w:numPr>
        <w:numId w:val="2"/>
      </w:numPr>
      <w:spacing w:after="120"/>
      <w:ind w:right="1134"/>
      <w:jc w:val="both"/>
    </w:pPr>
  </w:style>
  <w:style w:type="paragraph" w:customStyle="1" w:styleId="H1G">
    <w:name w:val="_ H_1_G"/>
    <w:basedOn w:val="Normln"/>
    <w:next w:val="Normln"/>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qFormat/>
    <w:rsid w:val="00C213A4"/>
    <w:pPr>
      <w:keepNext/>
      <w:keepLines/>
      <w:tabs>
        <w:tab w:val="right" w:pos="851"/>
      </w:tabs>
      <w:spacing w:before="240" w:after="120" w:line="240" w:lineRule="exact"/>
      <w:ind w:left="1134" w:right="1134" w:hanging="1134"/>
    </w:pPr>
  </w:style>
  <w:style w:type="paragraph" w:styleId="Textbubliny">
    <w:name w:val="Balloon Text"/>
    <w:basedOn w:val="Normln"/>
    <w:link w:val="TextbublinyChar"/>
    <w:semiHidden/>
    <w:rsid w:val="00B8046C"/>
    <w:pPr>
      <w:spacing w:line="240" w:lineRule="auto"/>
    </w:pPr>
    <w:rPr>
      <w:rFonts w:ascii="Tahoma" w:hAnsi="Tahoma" w:cs="Tahoma"/>
      <w:sz w:val="16"/>
      <w:szCs w:val="16"/>
    </w:rPr>
  </w:style>
  <w:style w:type="character" w:customStyle="1" w:styleId="TextbublinyChar">
    <w:name w:val="Text bubliny Char"/>
    <w:link w:val="Textbubliny"/>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TextpoznpodarouChar">
    <w:name w:val="Text pozn. pod čarou Char"/>
    <w:aliases w:val="5_G Char,Char Char,Footnote Text Char Char Char Char Char1,Footnote Text Char Char Char1,Char Char Char Char Char,Footnote reference Char,FA Fu Char,Footnote Text Char Char Char Char Char Char,Footnote Text Char Char Char Char1"/>
    <w:link w:val="Textpoznpodarou"/>
    <w:locked/>
    <w:rsid w:val="004762B3"/>
    <w:rPr>
      <w:sz w:val="18"/>
      <w:lang w:eastAsia="en-US"/>
    </w:rPr>
  </w:style>
  <w:style w:type="paragraph" w:customStyle="1" w:styleId="Listeafsnit1">
    <w:name w:val="Listeafsnit1"/>
    <w:aliases w:val="F5 List Paragraph,Dot pt,No Spacing1,List Paragraph Char Char Char,Indicator Text,List Paragraph1,Numbered Para 1,Bullet 1,List Paragraph12,Bullet Points,MAIN CONTENT,List Paragraph2,Normal numbered,List Paragraph11,OBC Bullet,Bullet Styl"/>
    <w:basedOn w:val="Normln"/>
    <w:link w:val="ListeafsnitTegn"/>
    <w:qFormat/>
    <w:rsid w:val="004762B3"/>
    <w:pPr>
      <w:suppressAutoHyphens w:val="0"/>
      <w:spacing w:after="200" w:line="276" w:lineRule="auto"/>
      <w:ind w:left="720"/>
      <w:contextualSpacing/>
    </w:pPr>
    <w:rPr>
      <w:rFonts w:ascii="Microsoft Sans Serif" w:eastAsia="Calibri" w:hAnsi="Microsoft Sans Serif" w:cs="Arial"/>
      <w:sz w:val="22"/>
      <w:szCs w:val="22"/>
    </w:rPr>
  </w:style>
  <w:style w:type="character" w:customStyle="1" w:styleId="ListeafsnitTegn">
    <w:name w:val="Listeafsnit Tegn"/>
    <w:aliases w:val="F5 List Paragraph Tegn,Dot pt Tegn,No Spacing1 Tegn,List Paragraph Char Char Char Tegn,Indicator Text Tegn,List Paragraph1 Tegn,Numbered Para 1 Tegn,Bullet 1 Tegn,List Paragraph12 Tegn,Bullet Points Tegn,MAIN CONTENT Tegn"/>
    <w:link w:val="Listeafsnit1"/>
    <w:qFormat/>
    <w:locked/>
    <w:rsid w:val="004762B3"/>
    <w:rPr>
      <w:rFonts w:ascii="Microsoft Sans Serif" w:eastAsia="Calibri" w:hAnsi="Microsoft Sans Serif" w:cs="Arial"/>
      <w:sz w:val="22"/>
      <w:szCs w:val="22"/>
      <w:lang w:eastAsia="en-US"/>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ftr"/>
    <w:basedOn w:val="Normln"/>
    <w:link w:val="Znakapoznpodarou"/>
    <w:rsid w:val="004762B3"/>
    <w:pPr>
      <w:suppressAutoHyphens w:val="0"/>
      <w:spacing w:after="160" w:line="240" w:lineRule="exact"/>
      <w:jc w:val="both"/>
    </w:pPr>
    <w:rPr>
      <w:sz w:val="18"/>
      <w:vertAlign w:val="superscript"/>
      <w:lang w:eastAsia="en-GB"/>
    </w:rPr>
  </w:style>
  <w:style w:type="paragraph" w:customStyle="1" w:styleId="ListParagraph3">
    <w:name w:val="List Paragraph3"/>
    <w:basedOn w:val="Normln"/>
    <w:qFormat/>
    <w:rsid w:val="004762B3"/>
    <w:pPr>
      <w:suppressAutoHyphens w:val="0"/>
      <w:spacing w:after="200" w:line="276" w:lineRule="auto"/>
      <w:ind w:left="720"/>
      <w:contextualSpacing/>
    </w:pPr>
    <w:rPr>
      <w:rFonts w:ascii="Microsoft Sans Serif" w:eastAsia="Calibri" w:hAnsi="Microsoft Sans Serif" w:cs="Arial"/>
      <w:sz w:val="22"/>
      <w:szCs w:val="22"/>
      <w:lang w:val="de-DE"/>
    </w:rPr>
  </w:style>
  <w:style w:type="character" w:styleId="Odkaznakoment">
    <w:name w:val="annotation reference"/>
    <w:basedOn w:val="Standardnpsmoodstavce"/>
    <w:semiHidden/>
    <w:unhideWhenUsed/>
    <w:rsid w:val="000873F1"/>
    <w:rPr>
      <w:sz w:val="16"/>
      <w:szCs w:val="16"/>
    </w:rPr>
  </w:style>
  <w:style w:type="paragraph" w:styleId="Textkomente">
    <w:name w:val="annotation text"/>
    <w:basedOn w:val="Normln"/>
    <w:link w:val="TextkomenteChar"/>
    <w:semiHidden/>
    <w:unhideWhenUsed/>
    <w:rsid w:val="000873F1"/>
    <w:pPr>
      <w:spacing w:line="240" w:lineRule="auto"/>
    </w:pPr>
  </w:style>
  <w:style w:type="character" w:customStyle="1" w:styleId="TextkomenteChar">
    <w:name w:val="Text komentáře Char"/>
    <w:basedOn w:val="Standardnpsmoodstavce"/>
    <w:link w:val="Textkomente"/>
    <w:semiHidden/>
    <w:rsid w:val="000873F1"/>
    <w:rPr>
      <w:lang w:eastAsia="en-US"/>
    </w:rPr>
  </w:style>
  <w:style w:type="paragraph" w:styleId="Pedmtkomente">
    <w:name w:val="annotation subject"/>
    <w:basedOn w:val="Textkomente"/>
    <w:next w:val="Textkomente"/>
    <w:link w:val="PedmtkomenteChar"/>
    <w:semiHidden/>
    <w:unhideWhenUsed/>
    <w:rsid w:val="000873F1"/>
    <w:rPr>
      <w:b/>
      <w:bCs/>
    </w:rPr>
  </w:style>
  <w:style w:type="character" w:customStyle="1" w:styleId="PedmtkomenteChar">
    <w:name w:val="Předmět komentáře Char"/>
    <w:basedOn w:val="TextkomenteChar"/>
    <w:link w:val="Pedmtkomente"/>
    <w:semiHidden/>
    <w:rsid w:val="000873F1"/>
    <w:rPr>
      <w:b/>
      <w:bCs/>
      <w:lang w:eastAsia="en-US"/>
    </w:rPr>
  </w:style>
  <w:style w:type="character" w:customStyle="1" w:styleId="hvr">
    <w:name w:val="hvr"/>
    <w:basedOn w:val="Standardnpsmoodstavce"/>
    <w:rsid w:val="00CC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7ECF-6820-4435-95DD-E0C7361769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73294C-592E-4206-BF73-6993BB64628D}">
  <ds:schemaRefs>
    <ds:schemaRef ds:uri="http://schemas.microsoft.com/sharepoint/v3/contenttype/forms"/>
  </ds:schemaRefs>
</ds:datastoreItem>
</file>

<file path=customXml/itemProps3.xml><?xml version="1.0" encoding="utf-8"?>
<ds:datastoreItem xmlns:ds="http://schemas.openxmlformats.org/officeDocument/2006/customXml" ds:itemID="{A5156D1F-EAD6-493B-AFE5-5509E61F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F8D69-258A-4EB3-865F-7E0A7423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CRPD_E.dotm</Template>
  <TotalTime>0</TotalTime>
  <Pages>20</Pages>
  <Words>10332</Words>
  <Characters>60960</Characters>
  <Application>Microsoft Office Word</Application>
  <DocSecurity>0</DocSecurity>
  <Lines>508</Lines>
  <Paragraphs>142</Paragraphs>
  <ScaleCrop>false</ScaleCrop>
  <HeadingPairs>
    <vt:vector size="8"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CRPD/C/18/R.1 in English (Word)</vt:lpstr>
      <vt:lpstr>CRPD/C/18/R.1</vt:lpstr>
      <vt:lpstr>CRPD/C/18/R.1</vt:lpstr>
      <vt:lpstr>United Nations</vt:lpstr>
    </vt:vector>
  </TitlesOfParts>
  <Company>CSD</Company>
  <LinksUpToDate>false</LinksUpToDate>
  <CharactersWithSpaces>71150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CRPD/C/18/R.1 in English (Word)</dc:title>
  <dc:creator>Robert Ouko</dc:creator>
  <cp:lastModifiedBy>Kalenská Petra</cp:lastModifiedBy>
  <cp:revision>2</cp:revision>
  <cp:lastPrinted>2017-08-09T16:17:00Z</cp:lastPrinted>
  <dcterms:created xsi:type="dcterms:W3CDTF">2017-11-06T11:48:00Z</dcterms:created>
  <dcterms:modified xsi:type="dcterms:W3CDTF">2017-11-06T11:48:00Z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