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07688" w:rsidRPr="00E91209" w:rsidTr="00C01462">
        <w:trPr>
          <w:cantSplit/>
          <w:trHeight w:hRule="exact" w:val="851"/>
        </w:trPr>
        <w:tc>
          <w:tcPr>
            <w:tcW w:w="1276" w:type="dxa"/>
            <w:tcBorders>
              <w:bottom w:val="single" w:sz="4" w:space="0" w:color="auto"/>
            </w:tcBorders>
            <w:vAlign w:val="bottom"/>
          </w:tcPr>
          <w:p w:rsidR="00307688" w:rsidRPr="00E91209" w:rsidRDefault="00307688" w:rsidP="00C01462">
            <w:pPr>
              <w:pStyle w:val="SingleTxtG"/>
              <w:rPr>
                <w:lang w:val="cs-CZ"/>
              </w:rPr>
            </w:pPr>
          </w:p>
        </w:tc>
        <w:tc>
          <w:tcPr>
            <w:tcW w:w="2268" w:type="dxa"/>
            <w:tcBorders>
              <w:bottom w:val="single" w:sz="4" w:space="0" w:color="auto"/>
            </w:tcBorders>
            <w:vAlign w:val="bottom"/>
          </w:tcPr>
          <w:p w:rsidR="00307688" w:rsidRPr="00E91209" w:rsidRDefault="007F19C8" w:rsidP="00C01462">
            <w:pPr>
              <w:spacing w:after="80" w:line="300" w:lineRule="exact"/>
              <w:rPr>
                <w:b/>
                <w:sz w:val="24"/>
                <w:szCs w:val="24"/>
                <w:lang w:val="cs-CZ"/>
              </w:rPr>
            </w:pPr>
            <w:r w:rsidRPr="00E91209">
              <w:rPr>
                <w:sz w:val="28"/>
                <w:szCs w:val="28"/>
                <w:lang w:val="cs-CZ"/>
              </w:rPr>
              <w:t>Spojené národy</w:t>
            </w:r>
          </w:p>
        </w:tc>
        <w:tc>
          <w:tcPr>
            <w:tcW w:w="6095" w:type="dxa"/>
            <w:gridSpan w:val="2"/>
            <w:tcBorders>
              <w:bottom w:val="single" w:sz="4" w:space="0" w:color="auto"/>
            </w:tcBorders>
            <w:vAlign w:val="bottom"/>
          </w:tcPr>
          <w:p w:rsidR="00307688" w:rsidRPr="00E91209" w:rsidRDefault="004F694D" w:rsidP="004F694D">
            <w:pPr>
              <w:suppressAutoHyphens w:val="0"/>
              <w:spacing w:after="20"/>
              <w:jc w:val="right"/>
              <w:rPr>
                <w:lang w:val="cs-CZ"/>
              </w:rPr>
            </w:pPr>
            <w:r w:rsidRPr="00E91209">
              <w:rPr>
                <w:sz w:val="40"/>
                <w:lang w:val="cs-CZ"/>
              </w:rPr>
              <w:t>CERD</w:t>
            </w:r>
            <w:r w:rsidRPr="00E91209">
              <w:rPr>
                <w:lang w:val="cs-CZ"/>
              </w:rPr>
              <w:t>/C/CZE/CO/12-13</w:t>
            </w:r>
          </w:p>
        </w:tc>
      </w:tr>
      <w:tr w:rsidR="00307688" w:rsidRPr="00E91209" w:rsidTr="00C01462">
        <w:trPr>
          <w:cantSplit/>
          <w:trHeight w:hRule="exact" w:val="2835"/>
        </w:trPr>
        <w:tc>
          <w:tcPr>
            <w:tcW w:w="1276" w:type="dxa"/>
            <w:tcBorders>
              <w:top w:val="single" w:sz="4" w:space="0" w:color="auto"/>
              <w:bottom w:val="single" w:sz="12" w:space="0" w:color="auto"/>
            </w:tcBorders>
          </w:tcPr>
          <w:p w:rsidR="00307688" w:rsidRPr="00E91209" w:rsidRDefault="00307688" w:rsidP="00C01462">
            <w:pPr>
              <w:spacing w:before="120"/>
              <w:jc w:val="center"/>
              <w:rPr>
                <w:lang w:val="cs-CZ"/>
              </w:rPr>
            </w:pPr>
            <w:r w:rsidRPr="00E91209">
              <w:rPr>
                <w:noProof/>
                <w:lang w:val="cs-CZ" w:eastAsia="cs-CZ"/>
              </w:rPr>
              <w:drawing>
                <wp:inline distT="0" distB="0" distL="0" distR="0" wp14:anchorId="3B1EE59D" wp14:editId="2B5B87AF">
                  <wp:extent cx="709295" cy="589915"/>
                  <wp:effectExtent l="0" t="0" r="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F19C8" w:rsidRPr="00E91209" w:rsidRDefault="007F19C8" w:rsidP="007F19C8">
            <w:pPr>
              <w:spacing w:before="120" w:line="380" w:lineRule="exact"/>
              <w:rPr>
                <w:b/>
                <w:sz w:val="34"/>
                <w:szCs w:val="40"/>
                <w:lang w:val="cs-CZ"/>
              </w:rPr>
            </w:pPr>
            <w:r w:rsidRPr="00E91209">
              <w:rPr>
                <w:b/>
                <w:sz w:val="34"/>
                <w:szCs w:val="40"/>
                <w:lang w:val="cs-CZ"/>
              </w:rPr>
              <w:t>Mezinárodní úmluva o</w:t>
            </w:r>
          </w:p>
          <w:p w:rsidR="007F19C8" w:rsidRPr="00E91209" w:rsidRDefault="007F19C8" w:rsidP="007F19C8">
            <w:pPr>
              <w:spacing w:before="120" w:line="380" w:lineRule="exact"/>
              <w:rPr>
                <w:b/>
                <w:sz w:val="34"/>
                <w:szCs w:val="40"/>
                <w:lang w:val="cs-CZ"/>
              </w:rPr>
            </w:pPr>
            <w:r w:rsidRPr="00E91209">
              <w:rPr>
                <w:b/>
                <w:sz w:val="34"/>
                <w:szCs w:val="40"/>
                <w:lang w:val="cs-CZ"/>
              </w:rPr>
              <w:t>odstranění všech forem</w:t>
            </w:r>
          </w:p>
          <w:p w:rsidR="00307688" w:rsidRPr="00E91209" w:rsidRDefault="007F19C8" w:rsidP="007F19C8">
            <w:pPr>
              <w:spacing w:before="120" w:line="420" w:lineRule="exact"/>
              <w:rPr>
                <w:lang w:val="cs-CZ"/>
              </w:rPr>
            </w:pPr>
            <w:r w:rsidRPr="00E91209">
              <w:rPr>
                <w:b/>
                <w:sz w:val="34"/>
                <w:szCs w:val="40"/>
                <w:lang w:val="cs-CZ"/>
              </w:rPr>
              <w:t>rasové diskriminace</w:t>
            </w:r>
          </w:p>
        </w:tc>
        <w:tc>
          <w:tcPr>
            <w:tcW w:w="2835" w:type="dxa"/>
            <w:tcBorders>
              <w:top w:val="single" w:sz="4" w:space="0" w:color="auto"/>
              <w:bottom w:val="single" w:sz="12" w:space="0" w:color="auto"/>
            </w:tcBorders>
          </w:tcPr>
          <w:p w:rsidR="00307688" w:rsidRPr="00E91209" w:rsidRDefault="004F694D" w:rsidP="004F694D">
            <w:pPr>
              <w:spacing w:before="240"/>
              <w:rPr>
                <w:lang w:val="cs-CZ"/>
              </w:rPr>
            </w:pPr>
            <w:r w:rsidRPr="00E91209">
              <w:rPr>
                <w:lang w:val="cs-CZ"/>
              </w:rPr>
              <w:t>Distr</w:t>
            </w:r>
            <w:r w:rsidR="00E91209">
              <w:rPr>
                <w:lang w:val="cs-CZ"/>
              </w:rPr>
              <w:t>ibuce</w:t>
            </w:r>
            <w:r w:rsidRPr="00E91209">
              <w:rPr>
                <w:lang w:val="cs-CZ"/>
              </w:rPr>
              <w:t xml:space="preserve">: </w:t>
            </w:r>
            <w:r w:rsidR="007F19C8" w:rsidRPr="00E91209">
              <w:rPr>
                <w:lang w:val="cs-CZ"/>
              </w:rPr>
              <w:t>Obecná</w:t>
            </w:r>
          </w:p>
          <w:p w:rsidR="004F694D" w:rsidRPr="00E91209" w:rsidRDefault="00082C8B" w:rsidP="004F694D">
            <w:pPr>
              <w:suppressAutoHyphens w:val="0"/>
              <w:rPr>
                <w:lang w:val="cs-CZ"/>
              </w:rPr>
            </w:pPr>
            <w:r w:rsidRPr="00E91209">
              <w:rPr>
                <w:lang w:val="cs-CZ"/>
              </w:rPr>
              <w:t>19</w:t>
            </w:r>
            <w:r w:rsidR="007F19C8" w:rsidRPr="00E91209">
              <w:rPr>
                <w:lang w:val="cs-CZ"/>
              </w:rPr>
              <w:t>.</w:t>
            </w:r>
            <w:r w:rsidR="004F694D" w:rsidRPr="00E91209">
              <w:rPr>
                <w:lang w:val="cs-CZ"/>
              </w:rPr>
              <w:t xml:space="preserve"> </w:t>
            </w:r>
            <w:r w:rsidR="007F19C8" w:rsidRPr="00E91209">
              <w:rPr>
                <w:lang w:val="cs-CZ"/>
              </w:rPr>
              <w:t>září</w:t>
            </w:r>
            <w:r w:rsidR="004F694D" w:rsidRPr="00E91209">
              <w:rPr>
                <w:lang w:val="cs-CZ"/>
              </w:rPr>
              <w:t xml:space="preserve"> 2019</w:t>
            </w:r>
          </w:p>
          <w:p w:rsidR="004F694D" w:rsidRPr="00E91209" w:rsidRDefault="004F694D" w:rsidP="004F694D">
            <w:pPr>
              <w:suppressAutoHyphens w:val="0"/>
              <w:rPr>
                <w:lang w:val="cs-CZ"/>
              </w:rPr>
            </w:pPr>
          </w:p>
          <w:p w:rsidR="004F694D" w:rsidRPr="00E91209" w:rsidRDefault="007F19C8" w:rsidP="007F19C8">
            <w:pPr>
              <w:suppressAutoHyphens w:val="0"/>
              <w:rPr>
                <w:lang w:val="cs-CZ"/>
              </w:rPr>
            </w:pPr>
            <w:r w:rsidRPr="00E91209">
              <w:rPr>
                <w:lang w:val="cs-CZ"/>
              </w:rPr>
              <w:t>Originál: Anglicky</w:t>
            </w:r>
          </w:p>
        </w:tc>
      </w:tr>
    </w:tbl>
    <w:p w:rsidR="004F694D" w:rsidRPr="00E91209" w:rsidRDefault="007F19C8" w:rsidP="00B046BD">
      <w:pPr>
        <w:spacing w:before="120"/>
        <w:rPr>
          <w:b/>
          <w:bCs/>
          <w:sz w:val="24"/>
          <w:szCs w:val="24"/>
          <w:lang w:val="cs-CZ"/>
        </w:rPr>
      </w:pPr>
      <w:r w:rsidRPr="00E91209">
        <w:rPr>
          <w:b/>
          <w:bCs/>
          <w:sz w:val="24"/>
          <w:szCs w:val="24"/>
          <w:lang w:val="cs-CZ"/>
        </w:rPr>
        <w:t>Výbor pro odstranění rasové diskriminace</w:t>
      </w:r>
    </w:p>
    <w:p w:rsidR="007268F9" w:rsidRPr="00E91209" w:rsidRDefault="00B046BD" w:rsidP="00B046BD">
      <w:pPr>
        <w:pStyle w:val="HChG"/>
        <w:rPr>
          <w:rStyle w:val="Znakapoznpodarou"/>
          <w:b w:val="0"/>
          <w:bCs/>
          <w:sz w:val="20"/>
          <w:vertAlign w:val="baseline"/>
          <w:lang w:val="cs-CZ"/>
        </w:rPr>
      </w:pPr>
      <w:r w:rsidRPr="00E91209">
        <w:rPr>
          <w:lang w:val="cs-CZ"/>
        </w:rPr>
        <w:tab/>
      </w:r>
      <w:r w:rsidRPr="00E91209">
        <w:rPr>
          <w:lang w:val="cs-CZ"/>
        </w:rPr>
        <w:tab/>
      </w:r>
      <w:r w:rsidR="007F19C8" w:rsidRPr="00E91209">
        <w:rPr>
          <w:lang w:val="cs-CZ"/>
        </w:rPr>
        <w:t>Závěrečná doporučení ke spojené 12. a 13. periodické zprávě ČR</w:t>
      </w:r>
      <w:r w:rsidRPr="00E91209">
        <w:rPr>
          <w:rStyle w:val="Znakapoznpodarou"/>
          <w:b w:val="0"/>
          <w:bCs/>
          <w:sz w:val="20"/>
          <w:vertAlign w:val="baseline"/>
          <w:lang w:val="cs-CZ"/>
        </w:rPr>
        <w:footnoteReference w:customMarkFollows="1" w:id="1"/>
        <w:t>*</w:t>
      </w:r>
    </w:p>
    <w:p w:rsidR="00753625" w:rsidRPr="00E91209" w:rsidRDefault="00753625" w:rsidP="00753625">
      <w:pPr>
        <w:pStyle w:val="SingleTxtG"/>
        <w:rPr>
          <w:lang w:val="cs-CZ"/>
        </w:rPr>
      </w:pPr>
      <w:r w:rsidRPr="00E91209">
        <w:rPr>
          <w:lang w:val="cs-CZ"/>
        </w:rPr>
        <w:t>1.</w:t>
      </w:r>
      <w:r w:rsidRPr="00E91209">
        <w:rPr>
          <w:lang w:val="cs-CZ"/>
        </w:rPr>
        <w:tab/>
      </w:r>
      <w:r w:rsidR="007F19C8" w:rsidRPr="00E91209">
        <w:rPr>
          <w:lang w:val="cs-CZ"/>
        </w:rPr>
        <w:t>Výbor projednal spojenou dvanáctou a třináctou periodickou zprávu ČR (CERD/C/CZE/12-13), předloženou v jednom dokumentu, na svém 2755. a 2756. zasedání (viz CERD/C/SR.2755 a 2756), konaném dne 16. a 19. srpna 2019. Na svém 2769. zasedání konaném dne 27. srpna 2019 přijala tato závěrečná doporučení.</w:t>
      </w:r>
    </w:p>
    <w:p w:rsidR="00753625" w:rsidRPr="00E91209" w:rsidRDefault="00753625" w:rsidP="00151CE7">
      <w:pPr>
        <w:pStyle w:val="H1G"/>
        <w:rPr>
          <w:lang w:val="cs-CZ"/>
        </w:rPr>
      </w:pPr>
      <w:r w:rsidRPr="00E91209">
        <w:rPr>
          <w:lang w:val="cs-CZ"/>
        </w:rPr>
        <w:tab/>
        <w:t>A.</w:t>
      </w:r>
      <w:r w:rsidRPr="00E91209">
        <w:rPr>
          <w:lang w:val="cs-CZ"/>
        </w:rPr>
        <w:tab/>
      </w:r>
      <w:r w:rsidR="007F19C8" w:rsidRPr="00E91209">
        <w:rPr>
          <w:lang w:val="cs-CZ"/>
        </w:rPr>
        <w:t>Úvod</w:t>
      </w:r>
    </w:p>
    <w:p w:rsidR="00753625" w:rsidRPr="00E91209" w:rsidRDefault="00753625" w:rsidP="00753625">
      <w:pPr>
        <w:pStyle w:val="SingleTxtG"/>
        <w:rPr>
          <w:lang w:val="cs-CZ"/>
        </w:rPr>
      </w:pPr>
      <w:r w:rsidRPr="00E91209">
        <w:rPr>
          <w:lang w:val="cs-CZ"/>
        </w:rPr>
        <w:t>2.</w:t>
      </w:r>
      <w:r w:rsidRPr="00E91209">
        <w:rPr>
          <w:lang w:val="cs-CZ"/>
        </w:rPr>
        <w:tab/>
      </w:r>
      <w:r w:rsidR="007F19C8" w:rsidRPr="00E91209">
        <w:rPr>
          <w:lang w:val="cs-CZ"/>
        </w:rPr>
        <w:t>Výbor vítá předložení spojené dvanácté a třinácté periodické zprávy smluvní strany. Vyjadřuje své uznání za upřímný a konstruktivní dialog s delegací smluvní strany. Děkuje delegaci za informace poskytnuté během projednávání zprávy v reakci na otázky vznesené členy výboru a za dodatečné písemné informace předložené po dialogu.</w:t>
      </w:r>
    </w:p>
    <w:p w:rsidR="00753625" w:rsidRPr="00E91209" w:rsidRDefault="007F19C8" w:rsidP="00151CE7">
      <w:pPr>
        <w:pStyle w:val="H1G"/>
        <w:rPr>
          <w:lang w:val="cs-CZ"/>
        </w:rPr>
      </w:pPr>
      <w:r w:rsidRPr="00E91209">
        <w:rPr>
          <w:lang w:val="cs-CZ"/>
        </w:rPr>
        <w:tab/>
        <w:t>B.</w:t>
      </w:r>
      <w:r w:rsidRPr="00E91209">
        <w:rPr>
          <w:lang w:val="cs-CZ"/>
        </w:rPr>
        <w:tab/>
        <w:t>Pozitivní aspekty</w:t>
      </w:r>
    </w:p>
    <w:p w:rsidR="00753625" w:rsidRPr="00E91209" w:rsidRDefault="00753625" w:rsidP="00753625">
      <w:pPr>
        <w:pStyle w:val="SingleTxtG"/>
        <w:rPr>
          <w:lang w:val="cs-CZ"/>
        </w:rPr>
      </w:pPr>
      <w:r w:rsidRPr="00E91209">
        <w:rPr>
          <w:lang w:val="cs-CZ"/>
        </w:rPr>
        <w:t>3.</w:t>
      </w:r>
      <w:r w:rsidRPr="00E91209">
        <w:rPr>
          <w:lang w:val="cs-CZ"/>
        </w:rPr>
        <w:tab/>
      </w:r>
      <w:r w:rsidR="007F19C8" w:rsidRPr="00E91209">
        <w:rPr>
          <w:lang w:val="cs-CZ"/>
        </w:rPr>
        <w:t>Výbor vítá, že smluvní strana ratifikovala následující mezinárodní úmluvy v oblasti lidských práv</w:t>
      </w:r>
      <w:r w:rsidRPr="00E91209">
        <w:rPr>
          <w:lang w:val="cs-CZ"/>
        </w:rPr>
        <w:t>:</w:t>
      </w:r>
    </w:p>
    <w:p w:rsidR="00753625" w:rsidRPr="00E91209" w:rsidRDefault="00151CE7" w:rsidP="00753625">
      <w:pPr>
        <w:pStyle w:val="SingleTxtG"/>
        <w:rPr>
          <w:lang w:val="cs-CZ"/>
        </w:rPr>
      </w:pPr>
      <w:r w:rsidRPr="00E91209">
        <w:rPr>
          <w:lang w:val="cs-CZ"/>
        </w:rPr>
        <w:tab/>
      </w:r>
      <w:r w:rsidR="00753625" w:rsidRPr="00E91209">
        <w:rPr>
          <w:lang w:val="cs-CZ"/>
        </w:rPr>
        <w:t>(a)</w:t>
      </w:r>
      <w:r w:rsidR="00753625" w:rsidRPr="00E91209">
        <w:rPr>
          <w:lang w:val="cs-CZ"/>
        </w:rPr>
        <w:tab/>
      </w:r>
      <w:r w:rsidR="007F19C8" w:rsidRPr="00E91209">
        <w:rPr>
          <w:lang w:val="cs-CZ"/>
        </w:rPr>
        <w:t>Opční protokol k Úmluvě o právech dítěte zavádějící postup předkládání oznámení dne 2. prosince 2015</w:t>
      </w:r>
      <w:r w:rsidR="00753625" w:rsidRPr="00E91209">
        <w:rPr>
          <w:lang w:val="cs-CZ"/>
        </w:rPr>
        <w:t>;</w:t>
      </w:r>
    </w:p>
    <w:p w:rsidR="00753625" w:rsidRPr="00E91209" w:rsidRDefault="00151CE7" w:rsidP="00753625">
      <w:pPr>
        <w:pStyle w:val="SingleTxtG"/>
        <w:rPr>
          <w:lang w:val="cs-CZ"/>
        </w:rPr>
      </w:pPr>
      <w:r w:rsidRPr="00E91209">
        <w:rPr>
          <w:lang w:val="cs-CZ"/>
        </w:rPr>
        <w:tab/>
      </w:r>
      <w:r w:rsidR="00753625" w:rsidRPr="00E91209">
        <w:rPr>
          <w:lang w:val="cs-CZ"/>
        </w:rPr>
        <w:t>(b)</w:t>
      </w:r>
      <w:r w:rsidR="00753625" w:rsidRPr="00E91209">
        <w:rPr>
          <w:lang w:val="cs-CZ"/>
        </w:rPr>
        <w:tab/>
      </w:r>
      <w:r w:rsidR="007F19C8" w:rsidRPr="00E91209">
        <w:rPr>
          <w:lang w:val="cs-CZ"/>
        </w:rPr>
        <w:t xml:space="preserve">Protokol z roku 2014 k Úmluvě </w:t>
      </w:r>
      <w:r w:rsidR="007F19C8" w:rsidRPr="00E91209">
        <w:rPr>
          <w:lang w:val="cs-CZ"/>
        </w:rPr>
        <w:t>Mezinárodní organizace práce (ILO)</w:t>
      </w:r>
      <w:r w:rsidR="007F19C8" w:rsidRPr="00E91209">
        <w:rPr>
          <w:lang w:val="cs-CZ"/>
        </w:rPr>
        <w:t xml:space="preserve"> o nucené práci z roku 1930 (č. 29), dne 9. června 2016</w:t>
      </w:r>
      <w:r w:rsidR="00753625" w:rsidRPr="00E91209">
        <w:rPr>
          <w:lang w:val="cs-CZ"/>
        </w:rPr>
        <w:t>;</w:t>
      </w:r>
    </w:p>
    <w:p w:rsidR="00753625" w:rsidRPr="00E91209" w:rsidRDefault="00151CE7" w:rsidP="00753625">
      <w:pPr>
        <w:pStyle w:val="SingleTxtG"/>
        <w:rPr>
          <w:lang w:val="cs-CZ"/>
        </w:rPr>
      </w:pPr>
      <w:r w:rsidRPr="00E91209">
        <w:rPr>
          <w:lang w:val="cs-CZ"/>
        </w:rPr>
        <w:tab/>
      </w:r>
      <w:r w:rsidR="00753625" w:rsidRPr="00E91209">
        <w:rPr>
          <w:lang w:val="cs-CZ"/>
        </w:rPr>
        <w:t>(c)</w:t>
      </w:r>
      <w:r w:rsidR="00753625" w:rsidRPr="00E91209">
        <w:rPr>
          <w:lang w:val="cs-CZ"/>
        </w:rPr>
        <w:tab/>
      </w:r>
      <w:r w:rsidR="007F19C8" w:rsidRPr="00E91209">
        <w:rPr>
          <w:lang w:val="cs-CZ"/>
        </w:rPr>
        <w:t>Mezinárodní úmluvu o ochraně všech osob před nuceným zmizením dne 8. února 2017</w:t>
      </w:r>
      <w:r w:rsidR="00753625" w:rsidRPr="00E91209">
        <w:rPr>
          <w:lang w:val="cs-CZ"/>
        </w:rPr>
        <w:t xml:space="preserve">. </w:t>
      </w:r>
    </w:p>
    <w:p w:rsidR="00753625" w:rsidRPr="00E91209" w:rsidRDefault="00753625" w:rsidP="00753625">
      <w:pPr>
        <w:pStyle w:val="SingleTxtG"/>
        <w:rPr>
          <w:lang w:val="cs-CZ"/>
        </w:rPr>
      </w:pPr>
      <w:r w:rsidRPr="00E91209">
        <w:rPr>
          <w:lang w:val="cs-CZ"/>
        </w:rPr>
        <w:t>4.</w:t>
      </w:r>
      <w:r w:rsidRPr="00E91209">
        <w:rPr>
          <w:lang w:val="cs-CZ"/>
        </w:rPr>
        <w:tab/>
      </w:r>
      <w:r w:rsidR="007F19C8" w:rsidRPr="00E91209">
        <w:rPr>
          <w:lang w:val="cs-CZ"/>
        </w:rPr>
        <w:t>Výbor rovněž vítá následující legislativní a politická opatření přijatá smluvní stranou</w:t>
      </w:r>
      <w:r w:rsidRPr="00E91209">
        <w:rPr>
          <w:lang w:val="cs-CZ"/>
        </w:rPr>
        <w:t>:</w:t>
      </w:r>
    </w:p>
    <w:p w:rsidR="00753625" w:rsidRPr="00E91209" w:rsidRDefault="00151CE7" w:rsidP="00753625">
      <w:pPr>
        <w:pStyle w:val="SingleTxtG"/>
        <w:rPr>
          <w:lang w:val="cs-CZ"/>
        </w:rPr>
      </w:pPr>
      <w:r w:rsidRPr="00E91209">
        <w:rPr>
          <w:lang w:val="cs-CZ"/>
        </w:rPr>
        <w:tab/>
      </w:r>
      <w:r w:rsidR="00753625" w:rsidRPr="00E91209">
        <w:rPr>
          <w:lang w:val="cs-CZ"/>
        </w:rPr>
        <w:t>(a)</w:t>
      </w:r>
      <w:r w:rsidR="00753625" w:rsidRPr="00E91209">
        <w:rPr>
          <w:lang w:val="cs-CZ"/>
        </w:rPr>
        <w:tab/>
      </w:r>
      <w:r w:rsidR="007F19C8" w:rsidRPr="00E91209">
        <w:rPr>
          <w:lang w:val="cs-CZ"/>
        </w:rPr>
        <w:t>přijetí Státního integračního programu pro uprchlíky v listopadu 2015</w:t>
      </w:r>
      <w:r w:rsidR="00753625" w:rsidRPr="00E91209">
        <w:rPr>
          <w:lang w:val="cs-CZ"/>
        </w:rPr>
        <w:t>;</w:t>
      </w:r>
    </w:p>
    <w:p w:rsidR="00753625" w:rsidRPr="00E91209" w:rsidRDefault="00151CE7" w:rsidP="00753625">
      <w:pPr>
        <w:pStyle w:val="SingleTxtG"/>
        <w:rPr>
          <w:lang w:val="cs-CZ"/>
        </w:rPr>
      </w:pPr>
      <w:r w:rsidRPr="00E91209">
        <w:rPr>
          <w:lang w:val="cs-CZ"/>
        </w:rPr>
        <w:tab/>
      </w:r>
      <w:r w:rsidR="00753625" w:rsidRPr="00E91209">
        <w:rPr>
          <w:lang w:val="cs-CZ"/>
        </w:rPr>
        <w:t>(b)</w:t>
      </w:r>
      <w:r w:rsidR="00753625" w:rsidRPr="00E91209">
        <w:rPr>
          <w:lang w:val="cs-CZ"/>
        </w:rPr>
        <w:tab/>
      </w:r>
      <w:r w:rsidR="00506EE4" w:rsidRPr="00E91209">
        <w:rPr>
          <w:lang w:val="cs-CZ"/>
        </w:rPr>
        <w:t>p</w:t>
      </w:r>
      <w:r w:rsidR="007F19C8" w:rsidRPr="00E91209">
        <w:rPr>
          <w:lang w:val="cs-CZ"/>
        </w:rPr>
        <w:t>řijetí Strategie boje proti sociálnímu vyloučení 2016–2020, která obsahuje opatření proti sociálnímu vyloučení Romů v únoru 2016</w:t>
      </w:r>
      <w:r w:rsidR="00753625" w:rsidRPr="00E91209">
        <w:rPr>
          <w:lang w:val="cs-CZ"/>
        </w:rPr>
        <w:t>;</w:t>
      </w:r>
    </w:p>
    <w:p w:rsidR="00753625" w:rsidRPr="00E91209" w:rsidRDefault="00151CE7" w:rsidP="00753625">
      <w:pPr>
        <w:pStyle w:val="SingleTxtG"/>
        <w:rPr>
          <w:lang w:val="cs-CZ"/>
        </w:rPr>
      </w:pPr>
      <w:r w:rsidRPr="00E91209">
        <w:rPr>
          <w:lang w:val="cs-CZ"/>
        </w:rPr>
        <w:tab/>
      </w:r>
      <w:r w:rsidR="00753625" w:rsidRPr="00E91209">
        <w:rPr>
          <w:lang w:val="cs-CZ"/>
        </w:rPr>
        <w:t>(c)</w:t>
      </w:r>
      <w:r w:rsidR="00753625" w:rsidRPr="00E91209">
        <w:rPr>
          <w:lang w:val="cs-CZ"/>
        </w:rPr>
        <w:tab/>
      </w:r>
      <w:r w:rsidR="00506EE4" w:rsidRPr="00E91209">
        <w:rPr>
          <w:lang w:val="cs-CZ"/>
        </w:rPr>
        <w:t>p</w:t>
      </w:r>
      <w:r w:rsidR="007F19C8" w:rsidRPr="00E91209">
        <w:rPr>
          <w:lang w:val="cs-CZ"/>
        </w:rPr>
        <w:t>řijetí Národní strategie boje proti obchodování s lidmi v České republice na období 2016–2019 v dubnu 2016</w:t>
      </w:r>
      <w:r w:rsidR="002E5F7C" w:rsidRPr="00E91209">
        <w:rPr>
          <w:lang w:val="cs-CZ"/>
        </w:rPr>
        <w:t>;</w:t>
      </w:r>
    </w:p>
    <w:p w:rsidR="00753625" w:rsidRPr="00E91209" w:rsidRDefault="00151CE7" w:rsidP="00753625">
      <w:pPr>
        <w:pStyle w:val="SingleTxtG"/>
        <w:rPr>
          <w:lang w:val="cs-CZ"/>
        </w:rPr>
      </w:pPr>
      <w:r w:rsidRPr="00E91209">
        <w:rPr>
          <w:lang w:val="cs-CZ"/>
        </w:rPr>
        <w:tab/>
      </w:r>
      <w:r w:rsidR="00753625" w:rsidRPr="00E91209">
        <w:rPr>
          <w:lang w:val="cs-CZ"/>
        </w:rPr>
        <w:t>(d)</w:t>
      </w:r>
      <w:r w:rsidR="00753625" w:rsidRPr="00E91209">
        <w:rPr>
          <w:lang w:val="cs-CZ"/>
        </w:rPr>
        <w:tab/>
      </w:r>
      <w:r w:rsidR="00506EE4" w:rsidRPr="00E91209">
        <w:rPr>
          <w:lang w:val="cs-CZ"/>
        </w:rPr>
        <w:t>přijetí Strategie prevence kriminality na léta 2016–2020 v říjnu 2016, která obsahuje ustanovení o prevenci rasově motivovaných trestných činů</w:t>
      </w:r>
      <w:r w:rsidR="00753625" w:rsidRPr="00E91209">
        <w:rPr>
          <w:lang w:val="cs-CZ"/>
        </w:rPr>
        <w:t>;</w:t>
      </w:r>
    </w:p>
    <w:p w:rsidR="00753625" w:rsidRPr="00E91209" w:rsidRDefault="00D95020" w:rsidP="00753625">
      <w:pPr>
        <w:pStyle w:val="SingleTxtG"/>
        <w:rPr>
          <w:lang w:val="cs-CZ"/>
        </w:rPr>
      </w:pPr>
      <w:r w:rsidRPr="00E91209">
        <w:rPr>
          <w:lang w:val="cs-CZ"/>
        </w:rPr>
        <w:lastRenderedPageBreak/>
        <w:tab/>
      </w:r>
      <w:r w:rsidR="00753625" w:rsidRPr="00E91209">
        <w:rPr>
          <w:lang w:val="cs-CZ"/>
        </w:rPr>
        <w:t>(e)</w:t>
      </w:r>
      <w:r w:rsidR="00753625" w:rsidRPr="00E91209">
        <w:rPr>
          <w:lang w:val="cs-CZ"/>
        </w:rPr>
        <w:tab/>
      </w:r>
      <w:r w:rsidR="00506EE4" w:rsidRPr="00E91209">
        <w:rPr>
          <w:lang w:val="cs-CZ"/>
        </w:rPr>
        <w:t>novelu zákona o obětech trestných činů z ledna 2017, která řadí oběti rasově motivovaných trestných činů mezi zvlášť zranitelné oběti s nárokem na bezplatnou právní pomoc</w:t>
      </w:r>
      <w:r w:rsidR="00753625" w:rsidRPr="00E91209">
        <w:rPr>
          <w:lang w:val="cs-CZ"/>
        </w:rPr>
        <w:t>;</w:t>
      </w:r>
    </w:p>
    <w:p w:rsidR="00753625" w:rsidRPr="00E91209" w:rsidRDefault="00D95020" w:rsidP="00753625">
      <w:pPr>
        <w:pStyle w:val="SingleTxtG"/>
        <w:rPr>
          <w:lang w:val="cs-CZ"/>
        </w:rPr>
      </w:pPr>
      <w:r w:rsidRPr="00E91209">
        <w:rPr>
          <w:lang w:val="cs-CZ"/>
        </w:rPr>
        <w:tab/>
      </w:r>
      <w:r w:rsidR="00753625" w:rsidRPr="00E91209">
        <w:rPr>
          <w:lang w:val="cs-CZ"/>
        </w:rPr>
        <w:t>(f)</w:t>
      </w:r>
      <w:r w:rsidR="00753625" w:rsidRPr="00E91209">
        <w:rPr>
          <w:lang w:val="cs-CZ"/>
        </w:rPr>
        <w:tab/>
      </w:r>
      <w:r w:rsidR="00506EE4" w:rsidRPr="00E91209">
        <w:rPr>
          <w:lang w:val="cs-CZ"/>
        </w:rPr>
        <w:t>Novela trestního zákona z prosince 2018, která umožňuje stíhání popírání, zpochybňování, schvalování nebo ospravedlňování nacistických a komunistických zločinů proti lidskosti a válečných zločinů</w:t>
      </w:r>
      <w:r w:rsidR="00753625" w:rsidRPr="00E91209">
        <w:rPr>
          <w:lang w:val="cs-CZ"/>
        </w:rPr>
        <w:t>.</w:t>
      </w:r>
    </w:p>
    <w:p w:rsidR="00753625" w:rsidRPr="00E91209" w:rsidRDefault="00753625" w:rsidP="00D95020">
      <w:pPr>
        <w:pStyle w:val="H1G"/>
        <w:rPr>
          <w:lang w:val="cs-CZ"/>
        </w:rPr>
      </w:pPr>
      <w:r w:rsidRPr="00E91209">
        <w:rPr>
          <w:lang w:val="cs-CZ"/>
        </w:rPr>
        <w:tab/>
        <w:t>C.</w:t>
      </w:r>
      <w:r w:rsidRPr="00E91209">
        <w:rPr>
          <w:lang w:val="cs-CZ"/>
        </w:rPr>
        <w:tab/>
      </w:r>
      <w:r w:rsidR="00C235BC" w:rsidRPr="00E91209">
        <w:rPr>
          <w:lang w:val="cs-CZ"/>
        </w:rPr>
        <w:t>Obavy a</w:t>
      </w:r>
      <w:r w:rsidRPr="00E91209">
        <w:rPr>
          <w:lang w:val="cs-CZ"/>
        </w:rPr>
        <w:t xml:space="preserve"> </w:t>
      </w:r>
      <w:r w:rsidR="00C235BC" w:rsidRPr="00E91209">
        <w:rPr>
          <w:lang w:val="cs-CZ"/>
        </w:rPr>
        <w:t>doporučení</w:t>
      </w:r>
    </w:p>
    <w:p w:rsidR="00753625" w:rsidRPr="00E91209" w:rsidRDefault="00C235BC" w:rsidP="00D95020">
      <w:pPr>
        <w:pStyle w:val="H23G"/>
        <w:rPr>
          <w:lang w:val="cs-CZ"/>
        </w:rPr>
      </w:pPr>
      <w:r w:rsidRPr="00E91209">
        <w:rPr>
          <w:lang w:val="cs-CZ"/>
        </w:rPr>
        <w:tab/>
      </w:r>
      <w:r w:rsidRPr="00E91209">
        <w:rPr>
          <w:lang w:val="cs-CZ"/>
        </w:rPr>
        <w:tab/>
        <w:t>Statistiky</w:t>
      </w:r>
    </w:p>
    <w:p w:rsidR="00753625" w:rsidRPr="00E91209" w:rsidRDefault="00753625" w:rsidP="00753625">
      <w:pPr>
        <w:pStyle w:val="SingleTxtG"/>
        <w:rPr>
          <w:lang w:val="cs-CZ"/>
        </w:rPr>
      </w:pPr>
      <w:r w:rsidRPr="00E91209">
        <w:rPr>
          <w:lang w:val="cs-CZ"/>
        </w:rPr>
        <w:t>5.</w:t>
      </w:r>
      <w:r w:rsidRPr="00E91209">
        <w:rPr>
          <w:lang w:val="cs-CZ"/>
        </w:rPr>
        <w:tab/>
      </w:r>
      <w:r w:rsidR="00C235BC" w:rsidRPr="00E91209">
        <w:rPr>
          <w:lang w:val="cs-CZ"/>
        </w:rPr>
        <w:t>Výbor lituje, že navzdory jeho předchozímu doporučení (CERD/C/CZE/CO/10-11, odst. 6) stále chybí statistiky týkající se socioekonomické situace etnických a národnostních menšin ve smluvním státě. Výbor je rovněž znepokojen tím, že absence takových údajů brání rozvoji politik zaměřených na zaručení rovného požívání práv chráněných Úmluvou různými menšinovými skupinami v zemi (článek 2).</w:t>
      </w:r>
    </w:p>
    <w:p w:rsidR="00753625" w:rsidRPr="00E91209" w:rsidRDefault="00753625" w:rsidP="00753625">
      <w:pPr>
        <w:pStyle w:val="SingleTxtG"/>
        <w:rPr>
          <w:b/>
          <w:bCs/>
          <w:lang w:val="cs-CZ"/>
        </w:rPr>
      </w:pPr>
      <w:r w:rsidRPr="00E91209">
        <w:rPr>
          <w:lang w:val="cs-CZ"/>
        </w:rPr>
        <w:t>6.</w:t>
      </w:r>
      <w:r w:rsidRPr="00E91209">
        <w:rPr>
          <w:lang w:val="cs-CZ"/>
        </w:rPr>
        <w:tab/>
      </w:r>
      <w:r w:rsidR="00C235BC" w:rsidRPr="00E91209">
        <w:rPr>
          <w:b/>
          <w:bCs/>
          <w:lang w:val="cs-CZ"/>
        </w:rPr>
        <w:t>S odvoláním na své pokyny pro podávání zpráv (CERD/C/2007/1) a své obecné doporučení č. 8 (1990) týkající se výkladu a aplikace čl. 1 odst. 1 a 4 Úmluvy, Výbor doporučuje, aby smluvní strana sbírala údaje členěné podle etnického původu, státního občanství, mluveného jazyka, pohlaví, věku a dalších relevantních ukazatelů. Rovněž doporučuje, aby smluvní strana vytvořila mechanismus pro sledování socioekonomických ukazatelů odrážejících situaci příslušníků etnických a národnostních menšin, s přihlédnutím k principu sebeidentifikace a za účelem rozvoje politik a opatření na podporu rovnosti požívání práv podle Úmluvy všemi osobami a skupinami pobývajícími na jeho území.</w:t>
      </w:r>
    </w:p>
    <w:p w:rsidR="00753625" w:rsidRPr="00E91209" w:rsidRDefault="00C235BC" w:rsidP="00D95020">
      <w:pPr>
        <w:pStyle w:val="H23G"/>
        <w:rPr>
          <w:lang w:val="cs-CZ"/>
        </w:rPr>
      </w:pPr>
      <w:r w:rsidRPr="00E91209">
        <w:rPr>
          <w:lang w:val="cs-CZ"/>
        </w:rPr>
        <w:tab/>
      </w:r>
      <w:r w:rsidRPr="00E91209">
        <w:rPr>
          <w:lang w:val="cs-CZ"/>
        </w:rPr>
        <w:tab/>
        <w:t>Antidiscriminační legislativa</w:t>
      </w:r>
    </w:p>
    <w:p w:rsidR="00753625" w:rsidRPr="00E91209" w:rsidRDefault="00753625" w:rsidP="00753625">
      <w:pPr>
        <w:pStyle w:val="SingleTxtG"/>
        <w:rPr>
          <w:lang w:val="cs-CZ"/>
        </w:rPr>
      </w:pPr>
      <w:r w:rsidRPr="00E91209">
        <w:rPr>
          <w:lang w:val="cs-CZ"/>
        </w:rPr>
        <w:t>7.</w:t>
      </w:r>
      <w:r w:rsidRPr="00E91209">
        <w:rPr>
          <w:lang w:val="cs-CZ"/>
        </w:rPr>
        <w:tab/>
      </w:r>
      <w:r w:rsidR="00C235BC" w:rsidRPr="00E91209">
        <w:rPr>
          <w:lang w:val="cs-CZ"/>
        </w:rPr>
        <w:t>Výbor je znepokojen tím, že „barva“ a „původ“ nejsou zahrnuty mezi důvody diskriminace uvedené v antidiskriminačním zákoně a v zákoně o zaměstnanosti (čl. 1).</w:t>
      </w:r>
    </w:p>
    <w:p w:rsidR="00753625" w:rsidRPr="00E91209" w:rsidRDefault="00753625" w:rsidP="00753625">
      <w:pPr>
        <w:pStyle w:val="SingleTxtG"/>
        <w:rPr>
          <w:b/>
          <w:bCs/>
          <w:lang w:val="cs-CZ"/>
        </w:rPr>
      </w:pPr>
      <w:r w:rsidRPr="00E91209">
        <w:rPr>
          <w:lang w:val="cs-CZ"/>
        </w:rPr>
        <w:t>8.</w:t>
      </w:r>
      <w:r w:rsidRPr="00E91209">
        <w:rPr>
          <w:lang w:val="cs-CZ"/>
        </w:rPr>
        <w:tab/>
      </w:r>
      <w:r w:rsidR="00C235BC" w:rsidRPr="00E91209">
        <w:rPr>
          <w:b/>
          <w:bCs/>
          <w:lang w:val="cs-CZ"/>
        </w:rPr>
        <w:t>Výbor doporučuje, aby smluvní strana upravila antidiskriminační zákon a zákon o zaměstnanosti tak, aby zavedly „barvu pleti“ a „původ“ jako důvody diskriminace, aby byly v souladu s čl. 1 odst. 1 Úmluvy.</w:t>
      </w:r>
    </w:p>
    <w:p w:rsidR="00753625" w:rsidRPr="00E91209" w:rsidRDefault="00C235BC" w:rsidP="00D95020">
      <w:pPr>
        <w:pStyle w:val="H23G"/>
        <w:rPr>
          <w:lang w:val="cs-CZ"/>
        </w:rPr>
      </w:pPr>
      <w:r w:rsidRPr="00E91209">
        <w:rPr>
          <w:lang w:val="cs-CZ"/>
        </w:rPr>
        <w:tab/>
      </w:r>
      <w:r w:rsidRPr="00E91209">
        <w:rPr>
          <w:lang w:val="cs-CZ"/>
        </w:rPr>
        <w:tab/>
        <w:t>Národní lidskoprávní instituce</w:t>
      </w:r>
    </w:p>
    <w:p w:rsidR="00753625" w:rsidRPr="00E91209" w:rsidRDefault="00753625" w:rsidP="00753625">
      <w:pPr>
        <w:pStyle w:val="SingleTxtG"/>
        <w:rPr>
          <w:lang w:val="cs-CZ"/>
        </w:rPr>
      </w:pPr>
      <w:r w:rsidRPr="00E91209">
        <w:rPr>
          <w:lang w:val="cs-CZ"/>
        </w:rPr>
        <w:t>9.</w:t>
      </w:r>
      <w:r w:rsidRPr="00E91209">
        <w:rPr>
          <w:lang w:val="cs-CZ"/>
        </w:rPr>
        <w:tab/>
      </w:r>
      <w:r w:rsidR="00C235BC" w:rsidRPr="00E91209">
        <w:rPr>
          <w:lang w:val="cs-CZ"/>
        </w:rPr>
        <w:t>Výbor vyjadřuje politování nad nedostatečným pokrokem při uvádění Kanceláře veřejného ochránce práv (ombudsmana) do plného souladu se zásadami týkajícími se postavení národních institucí pro prosazování a ochranu lidských práv (Pařížské principy) a při usnadňování jeho akreditace jako národní instituce pro lidská práva smluvní strany Podvýborem pro akreditaci Globální aliance národních institucí pro lidská práva. Výbor je znepokojen tím, že Kancelář veřejného ochránce práv nemůže v rámci svého současného mandátu zastupovat oběti rasové diskriminace u soudu (čl. 2).</w:t>
      </w:r>
    </w:p>
    <w:p w:rsidR="00753625" w:rsidRPr="00E91209" w:rsidRDefault="00753625" w:rsidP="00753625">
      <w:pPr>
        <w:pStyle w:val="SingleTxtG"/>
        <w:rPr>
          <w:b/>
          <w:bCs/>
          <w:lang w:val="cs-CZ"/>
        </w:rPr>
      </w:pPr>
      <w:r w:rsidRPr="00E91209">
        <w:rPr>
          <w:lang w:val="cs-CZ"/>
        </w:rPr>
        <w:t>10.</w:t>
      </w:r>
      <w:r w:rsidRPr="00E91209">
        <w:rPr>
          <w:lang w:val="cs-CZ"/>
        </w:rPr>
        <w:tab/>
      </w:r>
      <w:r w:rsidR="00C235BC" w:rsidRPr="00E91209">
        <w:rPr>
          <w:b/>
          <w:bCs/>
          <w:lang w:val="cs-CZ"/>
        </w:rPr>
        <w:t>S odvoláním na své obecné doporučení č. 17 (1993) o zřízení národních institucí pro usnadnění implementace Úmluvy Výbor doporučuje, aby smluvní strana urychlila přijetí nezbytných změn zákona o ombudsmanovi k uvedení Kanceláře veřejného ochránce práv do plného souladu s Pařížskými principy. Rovněž doporučuje, aby smluvní strana usnadnila jeho akreditaci Podvýborem pro akreditaci. Výbor dále doporučuje, aby smluvní strana rozšířila mandát veřejného ochránce práv tak, aby instituci umožnil zastupovat oběti rasové diskriminace u soudu.</w:t>
      </w:r>
      <w:r w:rsidRPr="00E91209">
        <w:rPr>
          <w:b/>
          <w:bCs/>
          <w:lang w:val="cs-CZ"/>
        </w:rPr>
        <w:t xml:space="preserve"> </w:t>
      </w:r>
    </w:p>
    <w:p w:rsidR="00753625" w:rsidRPr="00E91209" w:rsidRDefault="00C235BC" w:rsidP="00D95020">
      <w:pPr>
        <w:pStyle w:val="H23G"/>
        <w:rPr>
          <w:lang w:val="cs-CZ"/>
        </w:rPr>
      </w:pPr>
      <w:r w:rsidRPr="00E91209">
        <w:rPr>
          <w:lang w:val="cs-CZ"/>
        </w:rPr>
        <w:tab/>
      </w:r>
      <w:r w:rsidRPr="00E91209">
        <w:rPr>
          <w:lang w:val="cs-CZ"/>
        </w:rPr>
        <w:tab/>
        <w:t>Ra</w:t>
      </w:r>
      <w:r w:rsidR="00753625" w:rsidRPr="00E91209">
        <w:rPr>
          <w:lang w:val="cs-CZ"/>
        </w:rPr>
        <w:t>s</w:t>
      </w:r>
      <w:r w:rsidRPr="00E91209">
        <w:rPr>
          <w:lang w:val="cs-CZ"/>
        </w:rPr>
        <w:t>is</w:t>
      </w:r>
      <w:r w:rsidR="00753625" w:rsidRPr="00E91209">
        <w:rPr>
          <w:lang w:val="cs-CZ"/>
        </w:rPr>
        <w:t>t</w:t>
      </w:r>
      <w:r w:rsidRPr="00E91209">
        <w:rPr>
          <w:lang w:val="cs-CZ"/>
        </w:rPr>
        <w:t>ické nenávistné projevy</w:t>
      </w:r>
    </w:p>
    <w:p w:rsidR="00753625" w:rsidRPr="00E91209" w:rsidRDefault="00753625" w:rsidP="00753625">
      <w:pPr>
        <w:pStyle w:val="SingleTxtG"/>
        <w:rPr>
          <w:lang w:val="cs-CZ"/>
        </w:rPr>
      </w:pPr>
      <w:r w:rsidRPr="00E91209">
        <w:rPr>
          <w:lang w:val="cs-CZ"/>
        </w:rPr>
        <w:t>11.</w:t>
      </w:r>
      <w:r w:rsidRPr="00E91209">
        <w:rPr>
          <w:lang w:val="cs-CZ"/>
        </w:rPr>
        <w:tab/>
      </w:r>
      <w:r w:rsidR="0025001F" w:rsidRPr="00E91209">
        <w:rPr>
          <w:lang w:val="cs-CZ"/>
        </w:rPr>
        <w:t xml:space="preserve">Výbor je znepokojen tím, že ve smluvním státě se </w:t>
      </w:r>
      <w:r w:rsidR="00E91209">
        <w:rPr>
          <w:lang w:val="cs-CZ"/>
        </w:rPr>
        <w:t>stá</w:t>
      </w:r>
      <w:r w:rsidR="0025001F" w:rsidRPr="00E91209">
        <w:rPr>
          <w:lang w:val="cs-CZ"/>
        </w:rPr>
        <w:t>le hojně vyskytují nenávistné projevy, a to zejména</w:t>
      </w:r>
      <w:r w:rsidRPr="00E91209">
        <w:rPr>
          <w:lang w:val="cs-CZ"/>
        </w:rPr>
        <w:t xml:space="preserve">: </w:t>
      </w:r>
    </w:p>
    <w:p w:rsidR="00753625" w:rsidRPr="00E91209" w:rsidRDefault="00D95020" w:rsidP="00753625">
      <w:pPr>
        <w:pStyle w:val="SingleTxtG"/>
        <w:rPr>
          <w:lang w:val="cs-CZ"/>
        </w:rPr>
      </w:pPr>
      <w:r w:rsidRPr="00E91209">
        <w:rPr>
          <w:lang w:val="cs-CZ"/>
        </w:rPr>
        <w:tab/>
      </w:r>
      <w:r w:rsidR="00753625" w:rsidRPr="00E91209">
        <w:rPr>
          <w:lang w:val="cs-CZ"/>
        </w:rPr>
        <w:t>(a)</w:t>
      </w:r>
      <w:r w:rsidR="00753625" w:rsidRPr="00E91209">
        <w:rPr>
          <w:lang w:val="cs-CZ"/>
        </w:rPr>
        <w:tab/>
      </w:r>
      <w:r w:rsidR="0025001F" w:rsidRPr="00E91209">
        <w:rPr>
          <w:lang w:val="cs-CZ"/>
        </w:rPr>
        <w:t>šíření rasistických nenávistných projevů, předsudků a stereotypů namířených vůči menšinovým skupinám, zejména žadatelům o azyl, uprchlíkům, Romům a Židům, mezi širokou populací, zejména prostřednictvím internetu a sociálních médií</w:t>
      </w:r>
      <w:r w:rsidR="002E5F7C" w:rsidRPr="00E91209">
        <w:rPr>
          <w:lang w:val="cs-CZ"/>
        </w:rPr>
        <w:t>;</w:t>
      </w:r>
    </w:p>
    <w:p w:rsidR="00753625" w:rsidRPr="00E91209" w:rsidRDefault="00D95020" w:rsidP="00753625">
      <w:pPr>
        <w:pStyle w:val="SingleTxtG"/>
        <w:rPr>
          <w:lang w:val="cs-CZ"/>
        </w:rPr>
      </w:pPr>
      <w:r w:rsidRPr="00E91209">
        <w:rPr>
          <w:lang w:val="cs-CZ"/>
        </w:rPr>
        <w:lastRenderedPageBreak/>
        <w:tab/>
      </w:r>
      <w:r w:rsidR="00753625" w:rsidRPr="00E91209">
        <w:rPr>
          <w:lang w:val="cs-CZ"/>
        </w:rPr>
        <w:t>(b)</w:t>
      </w:r>
      <w:r w:rsidR="00753625" w:rsidRPr="00E91209">
        <w:rPr>
          <w:lang w:val="cs-CZ"/>
        </w:rPr>
        <w:tab/>
      </w:r>
      <w:r w:rsidR="0025001F" w:rsidRPr="00E91209">
        <w:rPr>
          <w:lang w:val="cs-CZ"/>
        </w:rPr>
        <w:t>používání rasistických nenávistných projevů, protimigrantské a protiromské rétoriky ze strany politiků a osobností veřejného života, včetně členů Parlamentu, starostů a členů vlády</w:t>
      </w:r>
      <w:r w:rsidR="00753625" w:rsidRPr="00E91209">
        <w:rPr>
          <w:lang w:val="cs-CZ"/>
        </w:rPr>
        <w:t>;</w:t>
      </w:r>
    </w:p>
    <w:p w:rsidR="00753625" w:rsidRPr="00E91209" w:rsidRDefault="00D95020" w:rsidP="00753625">
      <w:pPr>
        <w:pStyle w:val="SingleTxtG"/>
        <w:rPr>
          <w:lang w:val="cs-CZ"/>
        </w:rPr>
      </w:pPr>
      <w:r w:rsidRPr="00E91209">
        <w:rPr>
          <w:lang w:val="cs-CZ"/>
        </w:rPr>
        <w:tab/>
      </w:r>
      <w:r w:rsidR="00753625" w:rsidRPr="00E91209">
        <w:rPr>
          <w:lang w:val="cs-CZ"/>
        </w:rPr>
        <w:t>(c)</w:t>
      </w:r>
      <w:r w:rsidR="00753625" w:rsidRPr="00E91209">
        <w:rPr>
          <w:lang w:val="cs-CZ"/>
        </w:rPr>
        <w:tab/>
      </w:r>
      <w:r w:rsidR="0025001F" w:rsidRPr="00E91209">
        <w:rPr>
          <w:lang w:val="cs-CZ"/>
        </w:rPr>
        <w:t>rolí médií v šíření rasistických stereotypů a předsudků vůči menšinovým skupinám a strachu z migrantů</w:t>
      </w:r>
      <w:r w:rsidR="00753625" w:rsidRPr="00E91209">
        <w:rPr>
          <w:lang w:val="cs-CZ"/>
        </w:rPr>
        <w:t>;</w:t>
      </w:r>
    </w:p>
    <w:p w:rsidR="00753625" w:rsidRPr="00E91209" w:rsidRDefault="00D95020" w:rsidP="00753625">
      <w:pPr>
        <w:pStyle w:val="SingleTxtG"/>
        <w:rPr>
          <w:lang w:val="cs-CZ"/>
        </w:rPr>
      </w:pPr>
      <w:r w:rsidRPr="00E91209">
        <w:rPr>
          <w:lang w:val="cs-CZ"/>
        </w:rPr>
        <w:tab/>
      </w:r>
      <w:r w:rsidR="00753625" w:rsidRPr="00E91209">
        <w:rPr>
          <w:lang w:val="cs-CZ"/>
        </w:rPr>
        <w:t>(d)</w:t>
      </w:r>
      <w:r w:rsidR="00753625" w:rsidRPr="00E91209">
        <w:rPr>
          <w:lang w:val="cs-CZ"/>
        </w:rPr>
        <w:tab/>
      </w:r>
      <w:r w:rsidR="0025001F" w:rsidRPr="00E91209">
        <w:rPr>
          <w:lang w:val="cs-CZ"/>
        </w:rPr>
        <w:t>zprávami o zastrašování a rostoucím nepřátelství vůči novinářům, kteří se pokoušejí nezávisle a nestranně pokrýt otázky související s migrací (články 2, 4 a 7)</w:t>
      </w:r>
      <w:r w:rsidR="00753625" w:rsidRPr="00E91209">
        <w:rPr>
          <w:lang w:val="cs-CZ"/>
        </w:rPr>
        <w:t>.</w:t>
      </w:r>
    </w:p>
    <w:p w:rsidR="00753625" w:rsidRPr="00E91209" w:rsidRDefault="00753625" w:rsidP="00753625">
      <w:pPr>
        <w:pStyle w:val="SingleTxtG"/>
        <w:rPr>
          <w:b/>
          <w:bCs/>
          <w:lang w:val="cs-CZ"/>
        </w:rPr>
      </w:pPr>
      <w:r w:rsidRPr="00E91209">
        <w:rPr>
          <w:lang w:val="cs-CZ"/>
        </w:rPr>
        <w:t>12.</w:t>
      </w:r>
      <w:r w:rsidRPr="00E91209">
        <w:rPr>
          <w:lang w:val="cs-CZ"/>
        </w:rPr>
        <w:tab/>
      </w:r>
      <w:r w:rsidR="0025001F" w:rsidRPr="00E91209">
        <w:rPr>
          <w:b/>
          <w:bCs/>
          <w:lang w:val="cs-CZ"/>
        </w:rPr>
        <w:t>S odvoláním na své obecné doporučení č. 35 (2013) o boji proti rasistickým nenávistným projevům a své obecné doporučení č. 7 (1985) týkající se implementace článku 4 Úmluvy, Výbor doporučuje smluvní straně</w:t>
      </w:r>
      <w:r w:rsidRPr="00E91209">
        <w:rPr>
          <w:b/>
          <w:bCs/>
          <w:lang w:val="cs-CZ"/>
        </w:rPr>
        <w:t xml:space="preserve">: </w:t>
      </w:r>
    </w:p>
    <w:p w:rsidR="00753625" w:rsidRPr="00E91209" w:rsidRDefault="00D95020" w:rsidP="00753625">
      <w:pPr>
        <w:pStyle w:val="SingleTxtG"/>
        <w:rPr>
          <w:b/>
          <w:bCs/>
          <w:lang w:val="cs-CZ"/>
        </w:rPr>
      </w:pPr>
      <w:r w:rsidRPr="00E91209">
        <w:rPr>
          <w:lang w:val="cs-CZ"/>
        </w:rPr>
        <w:tab/>
      </w:r>
      <w:r w:rsidR="00753625" w:rsidRPr="00E91209">
        <w:rPr>
          <w:lang w:val="cs-CZ"/>
        </w:rPr>
        <w:t>(a)</w:t>
      </w:r>
      <w:r w:rsidR="00753625" w:rsidRPr="00E91209">
        <w:rPr>
          <w:b/>
          <w:bCs/>
          <w:lang w:val="cs-CZ"/>
        </w:rPr>
        <w:tab/>
      </w:r>
      <w:r w:rsidR="0025001F" w:rsidRPr="00E91209">
        <w:rPr>
          <w:b/>
          <w:bCs/>
          <w:lang w:val="cs-CZ"/>
        </w:rPr>
        <w:t>rozhodně odsoudit jakoukoli formu nenávistných projevů a xenofobní rétoriky vůči menšinovým skupinám, distancovat se od rasistických nenávistných projevů politiků a veřejných činitelů a zajistit, aby takové činy byly vyšetřeny a adekvátně potrestány v souladu s obecným doporučením č. 15 (1993) o článku 4 Úmluvy</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(b)</w:t>
      </w:r>
      <w:r w:rsidR="00753625" w:rsidRPr="00E91209">
        <w:rPr>
          <w:lang w:val="cs-CZ"/>
        </w:rPr>
        <w:tab/>
      </w:r>
      <w:r w:rsidR="0025001F" w:rsidRPr="00E91209">
        <w:rPr>
          <w:b/>
          <w:bCs/>
          <w:lang w:val="cs-CZ"/>
        </w:rPr>
        <w:t>zintenzivnit své aktivity na zvyšování povědomí veřejnosti, a to i ve školách, s cílem podpořit lepší porozumění situaci menšinových skupin a snížit předsudky a stigmatizaci vůči těmto skupinám</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(c)</w:t>
      </w:r>
      <w:r w:rsidR="00753625" w:rsidRPr="00E91209">
        <w:rPr>
          <w:b/>
          <w:bCs/>
          <w:lang w:val="cs-CZ"/>
        </w:rPr>
        <w:tab/>
      </w:r>
      <w:r w:rsidR="0025001F" w:rsidRPr="00E91209">
        <w:rPr>
          <w:b/>
          <w:bCs/>
          <w:lang w:val="cs-CZ"/>
        </w:rPr>
        <w:t>zvýšit odpovědnost médií a novinářů za šíření nenávistných projevů a poskytnout novinářům školení o právech menšinových skupin a o legislativě zakazující rasistické nenávistné projevy</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(d)</w:t>
      </w:r>
      <w:r w:rsidR="00753625" w:rsidRPr="00E91209">
        <w:rPr>
          <w:b/>
          <w:bCs/>
          <w:lang w:val="cs-CZ"/>
        </w:rPr>
        <w:tab/>
      </w:r>
      <w:r w:rsidR="0025001F" w:rsidRPr="00E91209">
        <w:rPr>
          <w:b/>
          <w:bCs/>
          <w:lang w:val="cs-CZ"/>
        </w:rPr>
        <w:t>chránit novináře, kteří se zabývají tématy souvisejícími s migrací, a zajistit, aby mohli vykonávat svou práci beze strachu z odvety nebo zastrašování</w:t>
      </w:r>
      <w:r w:rsidR="00753625" w:rsidRPr="00E91209">
        <w:rPr>
          <w:b/>
          <w:bCs/>
          <w:lang w:val="cs-CZ"/>
        </w:rPr>
        <w:t>.</w:t>
      </w:r>
    </w:p>
    <w:p w:rsidR="00753625" w:rsidRPr="00E91209" w:rsidRDefault="0025001F" w:rsidP="00D95020">
      <w:pPr>
        <w:pStyle w:val="H23G"/>
        <w:rPr>
          <w:lang w:val="cs-CZ"/>
        </w:rPr>
      </w:pPr>
      <w:r w:rsidRPr="00E91209">
        <w:rPr>
          <w:lang w:val="cs-CZ"/>
        </w:rPr>
        <w:tab/>
      </w:r>
      <w:r w:rsidRPr="00E91209">
        <w:rPr>
          <w:lang w:val="cs-CZ"/>
        </w:rPr>
        <w:tab/>
        <w:t>Rasově motivované</w:t>
      </w:r>
      <w:r w:rsidR="00753625" w:rsidRPr="00E91209">
        <w:rPr>
          <w:lang w:val="cs-CZ"/>
        </w:rPr>
        <w:t xml:space="preserve"> </w:t>
      </w:r>
      <w:r w:rsidRPr="00E91209">
        <w:rPr>
          <w:lang w:val="cs-CZ"/>
        </w:rPr>
        <w:t>trestné činy</w:t>
      </w:r>
    </w:p>
    <w:p w:rsidR="00753625" w:rsidRPr="00E91209" w:rsidRDefault="00753625" w:rsidP="00753625">
      <w:pPr>
        <w:pStyle w:val="SingleTxtG"/>
        <w:rPr>
          <w:lang w:val="cs-CZ"/>
        </w:rPr>
      </w:pPr>
      <w:r w:rsidRPr="00E91209">
        <w:rPr>
          <w:lang w:val="cs-CZ"/>
        </w:rPr>
        <w:t>13.</w:t>
      </w:r>
      <w:r w:rsidRPr="00E91209">
        <w:rPr>
          <w:lang w:val="cs-CZ"/>
        </w:rPr>
        <w:tab/>
      </w:r>
      <w:r w:rsidR="0025001F" w:rsidRPr="00E91209">
        <w:rPr>
          <w:lang w:val="cs-CZ"/>
        </w:rPr>
        <w:t>Výbor je znepokojen převládajícím výskytem rasově motivovaných trestných činů ve smluvním státě, zejména útoků na majetek, výhrůžek a fyzických útoků zaměřených na Romy, Židy, migranty a aktivisty za práva menšin. Výbor je rovněž znepokojen tím, že mnoho obětí rasově motivovaných trestných činů se zdráhá tyto trestné činy nahlásit, což vede k podhodnocování. Kromě toho Výbor lituje, že smluvní strana neposkytla žádné rozčleněné údaje týkající se rasově motivovaných trestných činů (články 4 a 6).</w:t>
      </w:r>
    </w:p>
    <w:p w:rsidR="00753625" w:rsidRPr="00E91209" w:rsidRDefault="00753625" w:rsidP="00753625">
      <w:pPr>
        <w:pStyle w:val="SingleTxtG"/>
        <w:rPr>
          <w:b/>
          <w:bCs/>
          <w:lang w:val="cs-CZ"/>
        </w:rPr>
      </w:pPr>
      <w:r w:rsidRPr="00E91209">
        <w:rPr>
          <w:lang w:val="cs-CZ"/>
        </w:rPr>
        <w:t>14.</w:t>
      </w:r>
      <w:r w:rsidRPr="00E91209">
        <w:rPr>
          <w:lang w:val="cs-CZ"/>
        </w:rPr>
        <w:tab/>
      </w:r>
      <w:r w:rsidR="0025001F" w:rsidRPr="00E91209">
        <w:rPr>
          <w:b/>
          <w:bCs/>
          <w:lang w:val="cs-CZ"/>
        </w:rPr>
        <w:t>S odvoláním na své obecné doporučení č. 31 (2005) o prevenci rasové diskriminace při správě a fungování systému trestní justice Výbor doporučuje smluvní straně</w:t>
      </w:r>
      <w:r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(a)</w:t>
      </w:r>
      <w:r w:rsidR="00753625" w:rsidRPr="00E91209">
        <w:rPr>
          <w:lang w:val="cs-CZ"/>
        </w:rPr>
        <w:tab/>
      </w:r>
      <w:r w:rsidR="0025001F" w:rsidRPr="00E91209">
        <w:rPr>
          <w:b/>
          <w:bCs/>
          <w:lang w:val="cs-CZ"/>
        </w:rPr>
        <w:t>odstranit překážky, kterým čelí oběti rasově motivovaných trestných činů, a usnadnit proces jejich hlášení, včetně zvyšování povědomí o dostupných opravných prostředcích a poskytování bezplatné právní pomoci obětem</w:t>
      </w:r>
      <w:r w:rsidR="002E5F7C"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(b)</w:t>
      </w:r>
      <w:r w:rsidR="00753625" w:rsidRPr="00E91209">
        <w:rPr>
          <w:lang w:val="cs-CZ"/>
        </w:rPr>
        <w:tab/>
      </w:r>
      <w:r w:rsidR="0025001F" w:rsidRPr="00E91209">
        <w:rPr>
          <w:b/>
          <w:bCs/>
          <w:lang w:val="cs-CZ"/>
        </w:rPr>
        <w:t xml:space="preserve">zajistit, aby případy rasově motivovaných trestných činů </w:t>
      </w:r>
      <w:r w:rsidR="0025001F" w:rsidRPr="00E91209">
        <w:rPr>
          <w:b/>
          <w:bCs/>
          <w:lang w:val="cs-CZ"/>
        </w:rPr>
        <w:t xml:space="preserve">byly </w:t>
      </w:r>
      <w:r w:rsidR="0025001F" w:rsidRPr="00E91209">
        <w:rPr>
          <w:b/>
          <w:bCs/>
          <w:lang w:val="cs-CZ"/>
        </w:rPr>
        <w:t>řádně vyšetřeny a odpovědné osoby byly stíhány a přiměřeně potrestány</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(c)</w:t>
      </w:r>
      <w:r w:rsidR="00753625" w:rsidRPr="00E91209">
        <w:rPr>
          <w:lang w:val="cs-CZ"/>
        </w:rPr>
        <w:tab/>
      </w:r>
      <w:r w:rsidR="0025001F" w:rsidRPr="00E91209">
        <w:rPr>
          <w:b/>
          <w:bCs/>
          <w:lang w:val="cs-CZ"/>
        </w:rPr>
        <w:t>podporovat nábor osob patřících k menšinovým skupinám do policie a soudního systému s cílem zvýšit důvěru v tyto orgány</w:t>
      </w:r>
      <w:r w:rsidR="002E5F7C"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(d)</w:t>
      </w:r>
      <w:r w:rsidR="00753625" w:rsidRPr="00E91209">
        <w:rPr>
          <w:lang w:val="cs-CZ"/>
        </w:rPr>
        <w:tab/>
      </w:r>
      <w:r w:rsidR="0025001F" w:rsidRPr="00E91209">
        <w:rPr>
          <w:b/>
          <w:bCs/>
          <w:lang w:val="cs-CZ"/>
        </w:rPr>
        <w:t>pokračovat ve školení policistů, státních zástupců, soudců a dalších úředníků orgánů činných v trestním řízení o tom, jak řešit rasově motivované trestné činy</w:t>
      </w:r>
      <w:r w:rsidR="002E5F7C"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(e)</w:t>
      </w:r>
      <w:r w:rsidR="00753625" w:rsidRPr="00E91209">
        <w:rPr>
          <w:lang w:val="cs-CZ"/>
        </w:rPr>
        <w:tab/>
      </w:r>
      <w:r w:rsidR="0025001F" w:rsidRPr="00E91209">
        <w:rPr>
          <w:b/>
          <w:bCs/>
          <w:lang w:val="cs-CZ"/>
        </w:rPr>
        <w:t>poskytovat statistiky o rasově motivovaných zločinech rozdělené podle pohlaví, trestných činů a etnické příslušnosti nebo občanství oběti</w:t>
      </w:r>
      <w:r w:rsidR="00753625" w:rsidRPr="00E91209">
        <w:rPr>
          <w:b/>
          <w:bCs/>
          <w:lang w:val="cs-CZ"/>
        </w:rPr>
        <w:t>.</w:t>
      </w:r>
    </w:p>
    <w:p w:rsidR="00753625" w:rsidRPr="00E91209" w:rsidRDefault="0025001F" w:rsidP="00D95020">
      <w:pPr>
        <w:pStyle w:val="H23G"/>
        <w:rPr>
          <w:lang w:val="cs-CZ"/>
        </w:rPr>
      </w:pPr>
      <w:r w:rsidRPr="00E91209">
        <w:rPr>
          <w:lang w:val="cs-CZ"/>
        </w:rPr>
        <w:tab/>
      </w:r>
      <w:r w:rsidRPr="00E91209">
        <w:rPr>
          <w:lang w:val="cs-CZ"/>
        </w:rPr>
        <w:tab/>
        <w:t>Situace</w:t>
      </w:r>
      <w:r w:rsidR="00753625" w:rsidRPr="00E91209">
        <w:rPr>
          <w:lang w:val="cs-CZ"/>
        </w:rPr>
        <w:t xml:space="preserve"> </w:t>
      </w:r>
      <w:r w:rsidRPr="00E91209">
        <w:rPr>
          <w:lang w:val="cs-CZ"/>
        </w:rPr>
        <w:t>romské menšiny</w:t>
      </w:r>
    </w:p>
    <w:p w:rsidR="00753625" w:rsidRPr="00E91209" w:rsidRDefault="00753625" w:rsidP="00753625">
      <w:pPr>
        <w:pStyle w:val="SingleTxtG"/>
        <w:rPr>
          <w:lang w:val="cs-CZ"/>
        </w:rPr>
      </w:pPr>
      <w:r w:rsidRPr="00E91209">
        <w:rPr>
          <w:lang w:val="cs-CZ"/>
        </w:rPr>
        <w:t>15.</w:t>
      </w:r>
      <w:r w:rsidRPr="00E91209">
        <w:rPr>
          <w:lang w:val="cs-CZ"/>
        </w:rPr>
        <w:tab/>
      </w:r>
      <w:r w:rsidR="00BA7874" w:rsidRPr="00E91209">
        <w:rPr>
          <w:lang w:val="cs-CZ"/>
        </w:rPr>
        <w:t>Výbor bere na vědomí snahy o posílení integrace Romů. Je však znepokojen tím, že Romové i nadále čelí překážkám a diskriminaci při požívání ekonomických, sociálních a kulturních práv. Výbor znepokojuje zejména</w:t>
      </w:r>
      <w:r w:rsidRPr="00E91209">
        <w:rPr>
          <w:lang w:val="cs-CZ"/>
        </w:rPr>
        <w:t>:</w:t>
      </w:r>
    </w:p>
    <w:p w:rsidR="00753625" w:rsidRPr="00E91209" w:rsidRDefault="00D95020" w:rsidP="00753625">
      <w:pPr>
        <w:pStyle w:val="SingleTxtG"/>
        <w:rPr>
          <w:lang w:val="cs-CZ"/>
        </w:rPr>
      </w:pPr>
      <w:r w:rsidRPr="00E91209">
        <w:rPr>
          <w:lang w:val="cs-CZ"/>
        </w:rPr>
        <w:lastRenderedPageBreak/>
        <w:tab/>
      </w:r>
      <w:r w:rsidR="00753625" w:rsidRPr="00E91209">
        <w:rPr>
          <w:lang w:val="cs-CZ"/>
        </w:rPr>
        <w:t>(a)</w:t>
      </w:r>
      <w:r w:rsidR="00753625" w:rsidRPr="00E91209">
        <w:rPr>
          <w:lang w:val="cs-CZ"/>
        </w:rPr>
        <w:tab/>
      </w:r>
      <w:r w:rsidR="00BA7874" w:rsidRPr="00E91209">
        <w:rPr>
          <w:lang w:val="cs-CZ"/>
        </w:rPr>
        <w:t>rozšířená diskriminace Romů na trhu s bydlením a vysoký podíl Romů pobývajících v sociálně vyloučených lokalitách, často v tzv. obytovnách bez jistoty nájmu a čelících riziku nuceného vystěhování</w:t>
      </w:r>
      <w:r w:rsidR="00753625" w:rsidRPr="00E91209">
        <w:rPr>
          <w:lang w:val="cs-CZ"/>
        </w:rPr>
        <w:t>;</w:t>
      </w:r>
    </w:p>
    <w:p w:rsidR="00753625" w:rsidRPr="00E91209" w:rsidRDefault="00D95020" w:rsidP="00753625">
      <w:pPr>
        <w:pStyle w:val="SingleTxtG"/>
        <w:rPr>
          <w:lang w:val="cs-CZ"/>
        </w:rPr>
      </w:pPr>
      <w:r w:rsidRPr="00E91209">
        <w:rPr>
          <w:lang w:val="cs-CZ"/>
        </w:rPr>
        <w:tab/>
      </w:r>
      <w:r w:rsidR="00753625" w:rsidRPr="00E91209">
        <w:rPr>
          <w:lang w:val="cs-CZ"/>
        </w:rPr>
        <w:t>(b)</w:t>
      </w:r>
      <w:r w:rsidR="00753625" w:rsidRPr="00E91209">
        <w:rPr>
          <w:lang w:val="cs-CZ"/>
        </w:rPr>
        <w:tab/>
      </w:r>
      <w:r w:rsidR="00BA7874" w:rsidRPr="00E91209">
        <w:rPr>
          <w:lang w:val="cs-CZ"/>
        </w:rPr>
        <w:t>současná praxe některých obcí vymezovat konkrétní oblasti jako zóny bez dávek na bydlení</w:t>
      </w:r>
      <w:r w:rsidR="00753625" w:rsidRPr="00E91209">
        <w:rPr>
          <w:lang w:val="cs-CZ"/>
        </w:rPr>
        <w:t>;</w:t>
      </w:r>
    </w:p>
    <w:p w:rsidR="00753625" w:rsidRPr="00E91209" w:rsidRDefault="00D95020" w:rsidP="00753625">
      <w:pPr>
        <w:pStyle w:val="SingleTxtG"/>
        <w:rPr>
          <w:lang w:val="cs-CZ"/>
        </w:rPr>
      </w:pPr>
      <w:r w:rsidRPr="00E91209">
        <w:rPr>
          <w:lang w:val="cs-CZ"/>
        </w:rPr>
        <w:tab/>
      </w:r>
      <w:r w:rsidR="00753625" w:rsidRPr="00E91209">
        <w:rPr>
          <w:lang w:val="cs-CZ"/>
        </w:rPr>
        <w:t>(c)</w:t>
      </w:r>
      <w:r w:rsidR="00753625" w:rsidRPr="00E91209">
        <w:rPr>
          <w:lang w:val="cs-CZ"/>
        </w:rPr>
        <w:tab/>
      </w:r>
      <w:r w:rsidR="00BA7874" w:rsidRPr="00E91209">
        <w:rPr>
          <w:lang w:val="cs-CZ"/>
        </w:rPr>
        <w:t>výrazně nižší střední délka života mezi Romy, nižší procento Romů zařazených do veřejného zdravotního pojištění a diskriminace v přístupu ke zdravotní péči</w:t>
      </w:r>
      <w:r w:rsidR="002E5F7C" w:rsidRPr="00E91209">
        <w:rPr>
          <w:lang w:val="cs-CZ"/>
        </w:rPr>
        <w:t>;</w:t>
      </w:r>
    </w:p>
    <w:p w:rsidR="00753625" w:rsidRPr="00E91209" w:rsidRDefault="00D95020" w:rsidP="00753625">
      <w:pPr>
        <w:pStyle w:val="SingleTxtG"/>
        <w:rPr>
          <w:lang w:val="cs-CZ"/>
        </w:rPr>
      </w:pPr>
      <w:r w:rsidRPr="00E91209">
        <w:rPr>
          <w:lang w:val="cs-CZ"/>
        </w:rPr>
        <w:tab/>
      </w:r>
      <w:r w:rsidR="00753625" w:rsidRPr="00E91209">
        <w:rPr>
          <w:lang w:val="cs-CZ"/>
        </w:rPr>
        <w:t>(d)</w:t>
      </w:r>
      <w:r w:rsidR="00753625" w:rsidRPr="00E91209">
        <w:rPr>
          <w:lang w:val="cs-CZ"/>
        </w:rPr>
        <w:tab/>
      </w:r>
      <w:r w:rsidR="00BA7874" w:rsidRPr="00E91209">
        <w:rPr>
          <w:lang w:val="cs-CZ"/>
        </w:rPr>
        <w:t>neúměrně vysoký počet Romů, kteří jsou nezaměstnaní, vysoký podíl Romů v neformálním zaměstnání a nedostatečné zastoupení Romů ve veřejném sektoru (čl. 2, 3 a 5)</w:t>
      </w:r>
      <w:r w:rsidR="00753625" w:rsidRPr="00E91209">
        <w:rPr>
          <w:lang w:val="cs-CZ"/>
        </w:rPr>
        <w:t>.</w:t>
      </w:r>
    </w:p>
    <w:p w:rsidR="00753625" w:rsidRPr="00E91209" w:rsidRDefault="00753625" w:rsidP="00753625">
      <w:pPr>
        <w:pStyle w:val="SingleTxtG"/>
        <w:rPr>
          <w:b/>
          <w:bCs/>
          <w:lang w:val="cs-CZ"/>
        </w:rPr>
      </w:pPr>
      <w:r w:rsidRPr="00E91209">
        <w:rPr>
          <w:lang w:val="cs-CZ"/>
        </w:rPr>
        <w:t>16.</w:t>
      </w:r>
      <w:r w:rsidRPr="00E91209">
        <w:rPr>
          <w:lang w:val="cs-CZ"/>
        </w:rPr>
        <w:tab/>
      </w:r>
      <w:r w:rsidR="00BA7874" w:rsidRPr="00E91209">
        <w:rPr>
          <w:b/>
          <w:bCs/>
          <w:lang w:val="cs-CZ"/>
        </w:rPr>
        <w:t>S odvoláním na své obecné doporučení č. 27 (2000) o diskriminaci Romů Výbor doporučuje, aby smluvní strana zvýšila své úsilí na podporu ekonomických, sociálních a kulturních práv Romů a zaručila jim přístup ke službám bez diskriminace. Výbor zejména doporučuje smluvní straně</w:t>
      </w:r>
      <w:r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(a)</w:t>
      </w:r>
      <w:r w:rsidR="00753625" w:rsidRPr="00E91209">
        <w:rPr>
          <w:lang w:val="cs-CZ"/>
        </w:rPr>
        <w:tab/>
      </w:r>
      <w:r w:rsidR="00BA7874" w:rsidRPr="00E91209">
        <w:rPr>
          <w:b/>
          <w:bCs/>
          <w:lang w:val="cs-CZ"/>
        </w:rPr>
        <w:t>usnadnit Romům přístup k přiměřenému a bezpečnému bydlení a usilovat o rozvoj sociálního bydlení v sociálně a etnicky smíšených čtvrtích, bojovat proti diskriminačním a nekalým praktikám na trhu s bydlením a zajistit, aby vystěhování bylo prováděno pouze jako poslední možnost a v souladu s národním právem a mezinárodními standardy</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(b)</w:t>
      </w:r>
      <w:r w:rsidR="00753625" w:rsidRPr="00E91209">
        <w:rPr>
          <w:lang w:val="cs-CZ"/>
        </w:rPr>
        <w:tab/>
      </w:r>
      <w:r w:rsidR="00BA7874" w:rsidRPr="00E91209">
        <w:rPr>
          <w:b/>
          <w:bCs/>
          <w:lang w:val="cs-CZ"/>
        </w:rPr>
        <w:t>znemožnit obcím zřizovat zóny bez dávek na bydlení</w:t>
      </w:r>
      <w:r w:rsidR="002E5F7C"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(c)</w:t>
      </w:r>
      <w:r w:rsidR="00753625" w:rsidRPr="00E91209">
        <w:rPr>
          <w:lang w:val="cs-CZ"/>
        </w:rPr>
        <w:tab/>
      </w:r>
      <w:r w:rsidR="00BA7874" w:rsidRPr="00E91209">
        <w:rPr>
          <w:b/>
          <w:bCs/>
          <w:lang w:val="cs-CZ"/>
        </w:rPr>
        <w:t>pokračovat ve svém úsilí o zvýšení zdravotního povědomí mezi Romy, a to i s ohledem na sexuální a reprodukční zdraví, a školit zdravotníky o zásadách rovného zacházení a nediskriminace</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(d)</w:t>
      </w:r>
      <w:r w:rsidR="00753625" w:rsidRPr="00E91209">
        <w:rPr>
          <w:lang w:val="cs-CZ"/>
        </w:rPr>
        <w:tab/>
      </w:r>
      <w:r w:rsidR="00BA7874" w:rsidRPr="00E91209">
        <w:rPr>
          <w:b/>
          <w:bCs/>
          <w:lang w:val="cs-CZ"/>
        </w:rPr>
        <w:t>Vyvinout cílená opatření pro usnadnění přístupu Romů k běžnému zaměstnání se zvláštním zaměřením na intersekcionální otázky, a to i v rámci provádění operačního programu pro zaměstnanost na období 2014–2020</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(e)</w:t>
      </w:r>
      <w:r w:rsidR="00753625" w:rsidRPr="00E91209">
        <w:rPr>
          <w:lang w:val="cs-CZ"/>
        </w:rPr>
        <w:tab/>
      </w:r>
      <w:r w:rsidR="00BA7874" w:rsidRPr="00E91209">
        <w:rPr>
          <w:b/>
          <w:bCs/>
          <w:lang w:val="cs-CZ"/>
        </w:rPr>
        <w:t>v souladu s obecným doporučením Výboru č. 32 (2009) o smyslu a rozsahu zvláštních opatření v Úmluvě a s ohledem na hluboce zakořeněnou strukturální diskriminaci Romů zavést zvláštní opatření ke zvýšení zastoupení Romů ve veřejném sektoru, a to jako způsob, jak zvýšit míru zaměstnanosti Romů i jak omezit diskriminaci a usnadnit Romům přístup k veřejným službám</w:t>
      </w:r>
      <w:r w:rsidR="00753625" w:rsidRPr="00E91209">
        <w:rPr>
          <w:b/>
          <w:bCs/>
          <w:lang w:val="cs-CZ"/>
        </w:rPr>
        <w:t>.</w:t>
      </w:r>
    </w:p>
    <w:p w:rsidR="00BA7874" w:rsidRPr="00E91209" w:rsidRDefault="00BA7874" w:rsidP="00BA7874">
      <w:pPr>
        <w:pStyle w:val="H23G"/>
        <w:rPr>
          <w:lang w:val="cs-CZ"/>
        </w:rPr>
      </w:pPr>
      <w:r w:rsidRPr="00E91209">
        <w:rPr>
          <w:lang w:val="cs-CZ"/>
        </w:rPr>
        <w:tab/>
      </w:r>
      <w:r w:rsidRPr="00E91209">
        <w:rPr>
          <w:lang w:val="cs-CZ"/>
        </w:rPr>
        <w:tab/>
        <w:t>Segregace romských dětí a přístup romských dětí ke vzdělání</w:t>
      </w:r>
    </w:p>
    <w:p w:rsidR="00753625" w:rsidRPr="00E91209" w:rsidRDefault="00753625" w:rsidP="00753625">
      <w:pPr>
        <w:pStyle w:val="SingleTxtG"/>
        <w:rPr>
          <w:lang w:val="cs-CZ"/>
        </w:rPr>
      </w:pPr>
      <w:r w:rsidRPr="00E91209">
        <w:rPr>
          <w:lang w:val="cs-CZ"/>
        </w:rPr>
        <w:t>17.</w:t>
      </w:r>
      <w:r w:rsidRPr="00E91209">
        <w:rPr>
          <w:lang w:val="cs-CZ"/>
        </w:rPr>
        <w:tab/>
      </w:r>
      <w:r w:rsidR="00BA7874" w:rsidRPr="00E91209">
        <w:rPr>
          <w:lang w:val="cs-CZ"/>
        </w:rPr>
        <w:t>Výbor bere na vědomí informace poskytnuté smluvní stranou, že všechny děti vzdělávané podle osnov pro děti s lehkým postižením podstoupily rediagnostiku, je však znepokojen tím, že romským dětem nadále hrozí, že budou špatně diagnostikovány a budou zařazeny do speciálních vzdělávacích programů pro děti s mírným intelektovým postižením nebo psychosociální</w:t>
      </w:r>
      <w:r w:rsidR="00E91209" w:rsidRPr="00E91209">
        <w:rPr>
          <w:lang w:val="cs-CZ"/>
        </w:rPr>
        <w:t>m</w:t>
      </w:r>
      <w:r w:rsidR="00BA7874" w:rsidRPr="00E91209">
        <w:rPr>
          <w:lang w:val="cs-CZ"/>
        </w:rPr>
        <w:t xml:space="preserve"> postižení</w:t>
      </w:r>
      <w:r w:rsidR="00E91209" w:rsidRPr="00E91209">
        <w:rPr>
          <w:lang w:val="cs-CZ"/>
        </w:rPr>
        <w:t>m</w:t>
      </w:r>
      <w:r w:rsidR="00BA7874" w:rsidRPr="00E91209">
        <w:rPr>
          <w:lang w:val="cs-CZ"/>
        </w:rPr>
        <w:t xml:space="preserve">. Výbor je rovněž znepokojen </w:t>
      </w:r>
      <w:r w:rsidR="00E91209">
        <w:rPr>
          <w:lang w:val="cs-CZ"/>
        </w:rPr>
        <w:t>výskytem</w:t>
      </w:r>
      <w:r w:rsidR="00BA7874" w:rsidRPr="00E91209">
        <w:rPr>
          <w:lang w:val="cs-CZ"/>
        </w:rPr>
        <w:t xml:space="preserve"> segregovaných škol, kde převážnou většinu žáků tvoří Romové, s tím, že tato praxe je umocněna koncentrací Romů v sociálně vyloučených lokalitách a neochotou neromských rodičů nechat romské žáky navštěvovat </w:t>
      </w:r>
      <w:r w:rsidR="00E91209" w:rsidRPr="00E91209">
        <w:rPr>
          <w:lang w:val="cs-CZ"/>
        </w:rPr>
        <w:t>školy</w:t>
      </w:r>
      <w:r w:rsidR="00E91209" w:rsidRPr="00E91209">
        <w:rPr>
          <w:lang w:val="cs-CZ"/>
        </w:rPr>
        <w:t xml:space="preserve"> </w:t>
      </w:r>
      <w:r w:rsidR="00E91209">
        <w:rPr>
          <w:lang w:val="cs-CZ"/>
        </w:rPr>
        <w:t>s jejich dětmi</w:t>
      </w:r>
      <w:r w:rsidR="00BA7874" w:rsidRPr="00E91209">
        <w:rPr>
          <w:lang w:val="cs-CZ"/>
        </w:rPr>
        <w:t>. Kromě toho je Výbor znepokojen tím, že romští žáci jsou vystaveni vyššímu riziku předčasného ukončení školní docházky (čl. 2, 3 a 5).</w:t>
      </w:r>
    </w:p>
    <w:p w:rsidR="00753625" w:rsidRPr="00E91209" w:rsidRDefault="00753625" w:rsidP="00753625">
      <w:pPr>
        <w:pStyle w:val="SingleTxtG"/>
        <w:rPr>
          <w:b/>
          <w:bCs/>
          <w:lang w:val="cs-CZ"/>
        </w:rPr>
      </w:pPr>
      <w:r w:rsidRPr="00E91209">
        <w:rPr>
          <w:lang w:val="cs-CZ"/>
        </w:rPr>
        <w:t>18.</w:t>
      </w:r>
      <w:r w:rsidRPr="00E91209">
        <w:rPr>
          <w:lang w:val="cs-CZ"/>
        </w:rPr>
        <w:tab/>
      </w:r>
      <w:r w:rsidR="00E91209" w:rsidRPr="00E91209">
        <w:rPr>
          <w:b/>
          <w:bCs/>
          <w:lang w:val="cs-CZ"/>
        </w:rPr>
        <w:t>V souladu se svým obecným doporučením č. 27 (2000) o diskriminaci Romů Výbor doporučuje</w:t>
      </w:r>
      <w:r w:rsidR="00E91209">
        <w:rPr>
          <w:b/>
          <w:bCs/>
          <w:lang w:val="cs-CZ"/>
        </w:rPr>
        <w:t xml:space="preserve"> smluvní straně</w:t>
      </w:r>
      <w:r w:rsidRPr="00E91209">
        <w:rPr>
          <w:b/>
          <w:bCs/>
          <w:lang w:val="cs-CZ"/>
        </w:rPr>
        <w:t xml:space="preserve">: </w:t>
      </w:r>
    </w:p>
    <w:p w:rsidR="00753625" w:rsidRPr="00E91209" w:rsidRDefault="00D95020" w:rsidP="00753625">
      <w:pPr>
        <w:pStyle w:val="SingleTxtG"/>
        <w:rPr>
          <w:b/>
          <w:bCs/>
          <w:lang w:val="cs-CZ"/>
        </w:rPr>
      </w:pPr>
      <w:r w:rsidRPr="00E91209">
        <w:rPr>
          <w:lang w:val="cs-CZ"/>
        </w:rPr>
        <w:tab/>
      </w:r>
      <w:r w:rsidR="00753625" w:rsidRPr="00E91209">
        <w:rPr>
          <w:lang w:val="cs-CZ"/>
        </w:rPr>
        <w:t>(a)</w:t>
      </w:r>
      <w:r w:rsidR="00753625" w:rsidRPr="00E91209">
        <w:rPr>
          <w:lang w:val="cs-CZ"/>
        </w:rPr>
        <w:tab/>
      </w:r>
      <w:r w:rsidR="00E91209">
        <w:rPr>
          <w:b/>
          <w:bCs/>
          <w:lang w:val="cs-CZ"/>
        </w:rPr>
        <w:t>z</w:t>
      </w:r>
      <w:r w:rsidR="00E91209" w:rsidRPr="00E91209">
        <w:rPr>
          <w:b/>
          <w:bCs/>
          <w:lang w:val="cs-CZ"/>
        </w:rPr>
        <w:t>výšit své úsilí o integraci romských dětí do hlavního vzdělávacího proudu a zaručit, že osoby zapsané do speciálního vzdělávání budou řádně diagnostikovány, aby se zajistilo, že nedochází k nesprávnému umísťování dětí do zvláštních škol</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(b)</w:t>
      </w:r>
      <w:r w:rsidR="00753625" w:rsidRPr="00E91209">
        <w:rPr>
          <w:lang w:val="cs-CZ"/>
        </w:rPr>
        <w:tab/>
      </w:r>
      <w:r w:rsidR="00E91209">
        <w:rPr>
          <w:b/>
          <w:bCs/>
          <w:lang w:val="cs-CZ"/>
        </w:rPr>
        <w:t>vypracovat plán desegregace včetně přepracování školských</w:t>
      </w:r>
      <w:r w:rsidR="00E91209" w:rsidRPr="00E91209">
        <w:rPr>
          <w:b/>
          <w:bCs/>
          <w:lang w:val="cs-CZ"/>
        </w:rPr>
        <w:t xml:space="preserve"> obvodů, vést osvětové kampaně o výhodách diverzity zaměřené na romské i neromské rodiče a přiměřeně postihovat školy, které nesouhlasí se zápisem r</w:t>
      </w:r>
      <w:r w:rsidR="00E91209">
        <w:rPr>
          <w:b/>
          <w:bCs/>
          <w:lang w:val="cs-CZ"/>
        </w:rPr>
        <w:t>omských dětí, v souladu s obecným</w:t>
      </w:r>
      <w:r w:rsidR="00E91209" w:rsidRPr="00E91209">
        <w:rPr>
          <w:b/>
          <w:bCs/>
          <w:lang w:val="cs-CZ"/>
        </w:rPr>
        <w:t xml:space="preserve"> doporučení</w:t>
      </w:r>
      <w:r w:rsidR="00E91209">
        <w:rPr>
          <w:b/>
          <w:bCs/>
          <w:lang w:val="cs-CZ"/>
        </w:rPr>
        <w:t>m</w:t>
      </w:r>
      <w:r w:rsidR="00E91209" w:rsidRPr="00E91209">
        <w:rPr>
          <w:b/>
          <w:bCs/>
          <w:lang w:val="cs-CZ"/>
        </w:rPr>
        <w:t xml:space="preserve"> č. 19 (1995) k článku 3 Úmluvy</w:t>
      </w:r>
      <w:r w:rsidR="00753625" w:rsidRPr="00E91209">
        <w:rPr>
          <w:b/>
          <w:bCs/>
          <w:lang w:val="cs-CZ"/>
        </w:rPr>
        <w:t>;</w:t>
      </w:r>
    </w:p>
    <w:p w:rsidR="00753625" w:rsidRPr="00E91209" w:rsidRDefault="00D95020" w:rsidP="00753625">
      <w:pPr>
        <w:pStyle w:val="SingleTxtG"/>
        <w:rPr>
          <w:b/>
          <w:bCs/>
          <w:lang w:val="cs-CZ"/>
        </w:rPr>
      </w:pPr>
      <w:r w:rsidRPr="00E91209">
        <w:rPr>
          <w:lang w:val="cs-CZ"/>
        </w:rPr>
        <w:lastRenderedPageBreak/>
        <w:tab/>
      </w:r>
      <w:r w:rsidR="00753625" w:rsidRPr="00E91209">
        <w:rPr>
          <w:lang w:val="cs-CZ"/>
        </w:rPr>
        <w:t>(c)</w:t>
      </w:r>
      <w:r w:rsidR="00753625" w:rsidRPr="00E91209">
        <w:rPr>
          <w:lang w:val="cs-CZ"/>
        </w:rPr>
        <w:tab/>
      </w:r>
      <w:r w:rsidR="00E91209">
        <w:rPr>
          <w:b/>
          <w:bCs/>
          <w:lang w:val="cs-CZ"/>
        </w:rPr>
        <w:t>p</w:t>
      </w:r>
      <w:r w:rsidR="00E91209" w:rsidRPr="00E91209">
        <w:rPr>
          <w:b/>
          <w:bCs/>
          <w:lang w:val="cs-CZ"/>
        </w:rPr>
        <w:t>rovést analýzu základních příčin předčasného ukončení školní docházky u romských dětí a přijmout nápravná opatření zaměřená na chlapce a dívky</w:t>
      </w:r>
      <w:r w:rsidR="00753625" w:rsidRPr="00E91209">
        <w:rPr>
          <w:b/>
          <w:bCs/>
          <w:lang w:val="cs-CZ"/>
        </w:rPr>
        <w:t>.</w:t>
      </w:r>
    </w:p>
    <w:p w:rsidR="00753625" w:rsidRPr="00E91209" w:rsidRDefault="00753625" w:rsidP="00D95020">
      <w:pPr>
        <w:pStyle w:val="H23G"/>
        <w:rPr>
          <w:lang w:val="cs-CZ"/>
        </w:rPr>
      </w:pPr>
      <w:r w:rsidRPr="00E91209">
        <w:rPr>
          <w:lang w:val="cs-CZ"/>
        </w:rPr>
        <w:tab/>
      </w:r>
      <w:r w:rsidRPr="00E91209">
        <w:rPr>
          <w:lang w:val="cs-CZ"/>
        </w:rPr>
        <w:tab/>
      </w:r>
      <w:r w:rsidR="00E91209">
        <w:rPr>
          <w:lang w:val="cs-CZ"/>
        </w:rPr>
        <w:t>Nucené sterilizace</w:t>
      </w:r>
      <w:r w:rsidRPr="00E91209">
        <w:rPr>
          <w:lang w:val="cs-CZ"/>
        </w:rPr>
        <w:t xml:space="preserve"> </w:t>
      </w:r>
      <w:r w:rsidR="00E91209">
        <w:rPr>
          <w:lang w:val="cs-CZ"/>
        </w:rPr>
        <w:t>romských žen</w:t>
      </w:r>
    </w:p>
    <w:p w:rsidR="00753625" w:rsidRPr="00E91209" w:rsidRDefault="00753625" w:rsidP="00753625">
      <w:pPr>
        <w:pStyle w:val="SingleTxtG"/>
        <w:rPr>
          <w:lang w:val="cs-CZ"/>
        </w:rPr>
      </w:pPr>
      <w:r w:rsidRPr="00E91209">
        <w:rPr>
          <w:lang w:val="cs-CZ"/>
        </w:rPr>
        <w:t>19.</w:t>
      </w:r>
      <w:r w:rsidRPr="00E91209">
        <w:rPr>
          <w:lang w:val="cs-CZ"/>
        </w:rPr>
        <w:tab/>
      </w:r>
      <w:r w:rsidR="00E91209" w:rsidRPr="00E91209">
        <w:rPr>
          <w:lang w:val="cs-CZ"/>
        </w:rPr>
        <w:t xml:space="preserve">Výbor je znepokojen tím, že navzdory jeho předchozímu doporučení (CERD/C/CZE/CO/10-11, odst. 22) nebyl zaveden žádný účinný kompenzační mechanismus pro romské oběti nucené sterilizace. I když Výbor </w:t>
      </w:r>
      <w:r w:rsidR="00E91209">
        <w:rPr>
          <w:lang w:val="cs-CZ"/>
        </w:rPr>
        <w:t>bere na vědomí</w:t>
      </w:r>
      <w:r w:rsidR="00E91209" w:rsidRPr="00E91209">
        <w:rPr>
          <w:lang w:val="cs-CZ"/>
        </w:rPr>
        <w:t>, že o této záležitosti probíhají diskuse mezi exekutivou a zákonodárným sborem, je rovněž znepokojen tím, že smluvní strana stále považuje soudní žalobu za jediný prostředek nápravy pro takové oběti, včetně získání odškodnění. Výbor je dále znepokojen tím, že tříletá promlčecí lhůta nároků na odškodnění v případech nucených sterilizací romských žen brání jejich přístupu ke spravedlnosti (články 2, 5 a 6).</w:t>
      </w:r>
    </w:p>
    <w:p w:rsidR="00753625" w:rsidRPr="00E91209" w:rsidRDefault="00753625" w:rsidP="00753625">
      <w:pPr>
        <w:pStyle w:val="SingleTxtG"/>
        <w:rPr>
          <w:b/>
          <w:bCs/>
          <w:lang w:val="cs-CZ"/>
        </w:rPr>
      </w:pPr>
      <w:r w:rsidRPr="00E91209">
        <w:rPr>
          <w:lang w:val="cs-CZ"/>
        </w:rPr>
        <w:t>20.</w:t>
      </w:r>
      <w:r w:rsidRPr="00E91209">
        <w:rPr>
          <w:lang w:val="cs-CZ"/>
        </w:rPr>
        <w:tab/>
      </w:r>
      <w:r w:rsidR="00E91209" w:rsidRPr="00E91209">
        <w:rPr>
          <w:b/>
          <w:bCs/>
          <w:lang w:val="cs-CZ"/>
        </w:rPr>
        <w:t xml:space="preserve">S odvoláním na svá předchozí závěrečná </w:t>
      </w:r>
      <w:r w:rsidR="00E91209">
        <w:rPr>
          <w:b/>
          <w:bCs/>
          <w:lang w:val="cs-CZ"/>
        </w:rPr>
        <w:t>doporučení</w:t>
      </w:r>
      <w:r w:rsidR="00E91209" w:rsidRPr="00E91209">
        <w:rPr>
          <w:b/>
          <w:bCs/>
          <w:lang w:val="cs-CZ"/>
        </w:rPr>
        <w:t xml:space="preserve">, své obecné doporučení č. 27 (2000) o diskriminaci Romů a své obecné doporučení č. 25 (2000) o genderových dimenzích rasové diskriminace, Výbor doporučuje, aby smluvní strana </w:t>
      </w:r>
      <w:r w:rsidR="00E91209">
        <w:rPr>
          <w:b/>
          <w:bCs/>
          <w:lang w:val="cs-CZ"/>
        </w:rPr>
        <w:t>urychlila zřízení specializovaného a účinného</w:t>
      </w:r>
      <w:r w:rsidR="00E91209" w:rsidRPr="00E91209">
        <w:rPr>
          <w:b/>
          <w:bCs/>
          <w:lang w:val="cs-CZ"/>
        </w:rPr>
        <w:t xml:space="preserve"> kompenzační</w:t>
      </w:r>
      <w:r w:rsidR="00E91209">
        <w:rPr>
          <w:b/>
          <w:bCs/>
          <w:lang w:val="cs-CZ"/>
        </w:rPr>
        <w:t>ho mechanismu</w:t>
      </w:r>
      <w:r w:rsidR="00E91209" w:rsidRPr="00E91209">
        <w:rPr>
          <w:b/>
          <w:bCs/>
          <w:lang w:val="cs-CZ"/>
        </w:rPr>
        <w:t xml:space="preserve"> pro romské oběti</w:t>
      </w:r>
      <w:r w:rsidR="00E91209">
        <w:rPr>
          <w:b/>
          <w:bCs/>
          <w:lang w:val="cs-CZ"/>
        </w:rPr>
        <w:t xml:space="preserve"> nucené sterilizace a poskytla</w:t>
      </w:r>
      <w:r w:rsidR="00E91209" w:rsidRPr="00E91209">
        <w:rPr>
          <w:b/>
          <w:bCs/>
          <w:lang w:val="cs-CZ"/>
        </w:rPr>
        <w:t xml:space="preserve"> jim přiměřenou podporu při nápravě, včetně pomoci při získání odškodnění a bezplatné právní pomoci. Rovněž doporučuje, aby smluvní strana rozšířila promlčecí lhůtu pro podávání </w:t>
      </w:r>
      <w:r w:rsidR="00E91209">
        <w:rPr>
          <w:b/>
          <w:bCs/>
          <w:lang w:val="cs-CZ"/>
        </w:rPr>
        <w:t>žalob</w:t>
      </w:r>
      <w:r w:rsidR="00E91209" w:rsidRPr="00E91209">
        <w:rPr>
          <w:b/>
          <w:bCs/>
          <w:lang w:val="cs-CZ"/>
        </w:rPr>
        <w:t xml:space="preserve"> v případech nucené sterilizace, aby bylo zajištěno, že oběti budou moci žádat a získat odškodnění. Dále doporučuje, aby smluvní strana přijala opatření, která zajistí, že takové činy budou vyšetřeny a odpovědné osoby stíhány a v případě</w:t>
      </w:r>
      <w:r w:rsidR="00E91209">
        <w:rPr>
          <w:b/>
          <w:bCs/>
          <w:lang w:val="cs-CZ"/>
        </w:rPr>
        <w:t xml:space="preserve"> odsouzení adekvátně potrestány</w:t>
      </w:r>
      <w:r w:rsidRPr="00E91209">
        <w:rPr>
          <w:b/>
          <w:bCs/>
          <w:lang w:val="cs-CZ"/>
        </w:rPr>
        <w:t>.</w:t>
      </w:r>
    </w:p>
    <w:p w:rsidR="00753625" w:rsidRPr="00E91209" w:rsidRDefault="00E91209" w:rsidP="00D95020">
      <w:pPr>
        <w:pStyle w:val="H23G"/>
        <w:rPr>
          <w:lang w:val="cs-CZ"/>
        </w:rPr>
      </w:pPr>
      <w:r>
        <w:rPr>
          <w:lang w:val="cs-CZ"/>
        </w:rPr>
        <w:tab/>
      </w:r>
      <w:r>
        <w:rPr>
          <w:lang w:val="cs-CZ"/>
        </w:rPr>
        <w:tab/>
        <w:t>Detence žadatelů o azyl</w:t>
      </w:r>
      <w:r w:rsidR="00753625" w:rsidRPr="00E91209">
        <w:rPr>
          <w:lang w:val="cs-CZ"/>
        </w:rPr>
        <w:t xml:space="preserve"> </w:t>
      </w:r>
    </w:p>
    <w:p w:rsidR="00753625" w:rsidRPr="00E91209" w:rsidRDefault="00753625" w:rsidP="00753625">
      <w:pPr>
        <w:pStyle w:val="SingleTxtG"/>
        <w:rPr>
          <w:lang w:val="cs-CZ"/>
        </w:rPr>
      </w:pPr>
      <w:r w:rsidRPr="00E91209">
        <w:rPr>
          <w:lang w:val="cs-CZ"/>
        </w:rPr>
        <w:t>21.</w:t>
      </w:r>
      <w:r w:rsidRPr="00E91209">
        <w:rPr>
          <w:lang w:val="cs-CZ"/>
        </w:rPr>
        <w:tab/>
      </w:r>
      <w:r w:rsidR="00EA099D" w:rsidRPr="00EA099D">
        <w:rPr>
          <w:lang w:val="cs-CZ"/>
        </w:rPr>
        <w:t xml:space="preserve">I když s uspokojením bere na vědomí úsilí smluvní strany omezit praxi zadržování žadatelů o azyl, Výbor je znepokojen tím, že smluvní strana nadále zadržuje žadatele o azyl s jejich dětmi, zejména ty žadatele o azyl, kteří podléhají příkazu k přemístění podle nařízení (EU) č. 604/2013 Evropského parlamentu a Rady ze dne 26. června 2013, kterým se stanoví kritéria a mechanismy pro určení členského státu příslušného k posouzení žádosti o mezinárodní ochranu podané v některém z členských států třetí zemí státní příslušník nebo osoba bez státní příslušnosti (nařízení Dublin III) a </w:t>
      </w:r>
      <w:r w:rsidR="004D4906">
        <w:rPr>
          <w:lang w:val="cs-CZ"/>
        </w:rPr>
        <w:t>je u nich</w:t>
      </w:r>
      <w:r w:rsidR="00EA099D" w:rsidRPr="00EA099D">
        <w:rPr>
          <w:lang w:val="cs-CZ"/>
        </w:rPr>
        <w:t xml:space="preserve"> </w:t>
      </w:r>
      <w:r w:rsidR="004D4906">
        <w:rPr>
          <w:lang w:val="cs-CZ"/>
        </w:rPr>
        <w:t>riziko útěku</w:t>
      </w:r>
      <w:r w:rsidR="00EA099D" w:rsidRPr="00EA099D">
        <w:rPr>
          <w:lang w:val="cs-CZ"/>
        </w:rPr>
        <w:t>. Výbor je rovněž znepokojen nedostatkem náhradního ubytování a absencí nevazebních typů ubytování pro rodiny žadatelů o azyl s dětmi (čl. 2 a 5).</w:t>
      </w:r>
    </w:p>
    <w:p w:rsidR="00753625" w:rsidRPr="00E91209" w:rsidRDefault="00753625" w:rsidP="00753625">
      <w:pPr>
        <w:pStyle w:val="SingleTxtG"/>
        <w:rPr>
          <w:b/>
          <w:bCs/>
          <w:lang w:val="cs-CZ"/>
        </w:rPr>
      </w:pPr>
      <w:r w:rsidRPr="00E91209">
        <w:rPr>
          <w:lang w:val="cs-CZ"/>
        </w:rPr>
        <w:t>22.</w:t>
      </w:r>
      <w:r w:rsidRPr="00E91209">
        <w:rPr>
          <w:lang w:val="cs-CZ"/>
        </w:rPr>
        <w:tab/>
      </w:r>
      <w:r w:rsidR="004D4906" w:rsidRPr="004D4906">
        <w:rPr>
          <w:b/>
          <w:bCs/>
          <w:lang w:val="cs-CZ"/>
        </w:rPr>
        <w:t>S důrazem na to, že zadržování žadatelů o azyl by mělo být krajním opatřením a mělo by být uplatňováno na co nejkratší dobu, Výbor doporučuje, aby smluvní strana ukončila praxi zadržování žadatelů o azyl s jejich dětmi, včetně osob, které jsou předmětem předání podle nařízení Dublin III</w:t>
      </w:r>
      <w:r w:rsidR="004D4906">
        <w:rPr>
          <w:b/>
          <w:bCs/>
          <w:lang w:val="cs-CZ"/>
        </w:rPr>
        <w:t>, a vyvinula</w:t>
      </w:r>
      <w:r w:rsidR="004D4906" w:rsidRPr="004D4906">
        <w:rPr>
          <w:b/>
          <w:bCs/>
          <w:lang w:val="cs-CZ"/>
        </w:rPr>
        <w:t xml:space="preserve"> alternativní nevazební typy ubytování pro žadatele o azyl, zejména pro rodiny s dětmi.</w:t>
      </w:r>
    </w:p>
    <w:p w:rsidR="00753625" w:rsidRPr="00E91209" w:rsidRDefault="00753625" w:rsidP="00D95020">
      <w:pPr>
        <w:pStyle w:val="H23G"/>
        <w:rPr>
          <w:lang w:val="cs-CZ"/>
        </w:rPr>
      </w:pPr>
      <w:r w:rsidRPr="00E91209">
        <w:rPr>
          <w:lang w:val="cs-CZ"/>
        </w:rPr>
        <w:tab/>
      </w:r>
      <w:r w:rsidRPr="00E91209">
        <w:rPr>
          <w:lang w:val="cs-CZ"/>
        </w:rPr>
        <w:tab/>
      </w:r>
      <w:r w:rsidR="004D4906">
        <w:rPr>
          <w:lang w:val="cs-CZ"/>
        </w:rPr>
        <w:t>Přístup migrantů ke zdravotní péči</w:t>
      </w:r>
    </w:p>
    <w:p w:rsidR="00753625" w:rsidRPr="00E91209" w:rsidRDefault="00753625" w:rsidP="00753625">
      <w:pPr>
        <w:pStyle w:val="SingleTxtG"/>
        <w:rPr>
          <w:lang w:val="cs-CZ"/>
        </w:rPr>
      </w:pPr>
      <w:r w:rsidRPr="00E91209">
        <w:rPr>
          <w:lang w:val="cs-CZ"/>
        </w:rPr>
        <w:t>23.</w:t>
      </w:r>
      <w:r w:rsidRPr="00E91209">
        <w:rPr>
          <w:lang w:val="cs-CZ"/>
        </w:rPr>
        <w:tab/>
      </w:r>
      <w:r w:rsidR="004D4906" w:rsidRPr="004D4906">
        <w:rPr>
          <w:lang w:val="cs-CZ"/>
        </w:rPr>
        <w:t xml:space="preserve">Výbor se obává, že finanční překážky brání migrantům, kteří nejsou </w:t>
      </w:r>
      <w:r w:rsidR="004D4906">
        <w:rPr>
          <w:lang w:val="cs-CZ"/>
        </w:rPr>
        <w:t>zařazeni do systému</w:t>
      </w:r>
      <w:r w:rsidR="004D4906" w:rsidRPr="004D4906">
        <w:rPr>
          <w:lang w:val="cs-CZ"/>
        </w:rPr>
        <w:t xml:space="preserve"> veřejného zdravotního pojištění, v přístupu k odpovídající zdravotní péči. Zvláště se obává, že těhotné ženy bez dokladů musí hradit náklady na porodní a porodní péči, a proto jsou odrazovány od vyhledání prenatální péče, čímž se zvyšuje riziko porodnických </w:t>
      </w:r>
      <w:r w:rsidR="004D4906">
        <w:rPr>
          <w:lang w:val="cs-CZ"/>
        </w:rPr>
        <w:t>komplikací</w:t>
      </w:r>
      <w:r w:rsidR="004D4906" w:rsidRPr="004D4906">
        <w:rPr>
          <w:lang w:val="cs-CZ"/>
        </w:rPr>
        <w:t xml:space="preserve"> a komplikací během porodu. Výbor je dále znepokojen případy nelegálních migrantů, kteří byli nahlášeni policii, když se ukázalo, že nejsou schopni platit účty za zdravotní péči (články 2 a 5).</w:t>
      </w:r>
    </w:p>
    <w:p w:rsidR="00753625" w:rsidRPr="00E91209" w:rsidRDefault="00753625" w:rsidP="00753625">
      <w:pPr>
        <w:pStyle w:val="SingleTxtG"/>
        <w:rPr>
          <w:b/>
          <w:bCs/>
          <w:lang w:val="cs-CZ"/>
        </w:rPr>
      </w:pPr>
      <w:r w:rsidRPr="00E91209">
        <w:rPr>
          <w:lang w:val="cs-CZ"/>
        </w:rPr>
        <w:t>24.</w:t>
      </w:r>
      <w:r w:rsidRPr="00E91209">
        <w:rPr>
          <w:lang w:val="cs-CZ"/>
        </w:rPr>
        <w:tab/>
      </w:r>
      <w:r w:rsidR="004D4906" w:rsidRPr="004D4906">
        <w:rPr>
          <w:b/>
          <w:bCs/>
          <w:lang w:val="cs-CZ"/>
        </w:rPr>
        <w:t xml:space="preserve">S odvoláním na své obecné doporučení č. 30 (2004) o diskriminaci cizích státních příslušníků Výbor doporučuje, aby smluvní strana podnikla kroky k odstranění finančních překážek bránících v přístupu ke zdravotní péči pro migranty, kteří nejsou </w:t>
      </w:r>
      <w:r w:rsidR="004D4906">
        <w:rPr>
          <w:b/>
          <w:bCs/>
          <w:lang w:val="cs-CZ"/>
        </w:rPr>
        <w:t>zařazeni do systému</w:t>
      </w:r>
      <w:r w:rsidR="004D4906" w:rsidRPr="004D4906">
        <w:rPr>
          <w:b/>
          <w:bCs/>
          <w:lang w:val="cs-CZ"/>
        </w:rPr>
        <w:t xml:space="preserve"> veřejného zdravotního pojištění, včetně přístup</w:t>
      </w:r>
      <w:r w:rsidR="004D4906">
        <w:rPr>
          <w:b/>
          <w:bCs/>
          <w:lang w:val="cs-CZ"/>
        </w:rPr>
        <w:t>u</w:t>
      </w:r>
      <w:r w:rsidR="004D4906" w:rsidRPr="004D4906">
        <w:rPr>
          <w:b/>
          <w:bCs/>
          <w:lang w:val="cs-CZ"/>
        </w:rPr>
        <w:t xml:space="preserve"> k prenatální, porodní a porodní péči pro těhotné ženy. Výbor zejména doporučuje</w:t>
      </w:r>
      <w:r w:rsidR="004D4906">
        <w:rPr>
          <w:b/>
          <w:bCs/>
          <w:lang w:val="cs-CZ"/>
        </w:rPr>
        <w:t xml:space="preserve"> smluvní straně</w:t>
      </w:r>
      <w:r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(a)</w:t>
      </w:r>
      <w:r w:rsidR="00753625" w:rsidRPr="00E91209">
        <w:rPr>
          <w:lang w:val="cs-CZ"/>
        </w:rPr>
        <w:tab/>
      </w:r>
      <w:r w:rsidR="004D4906">
        <w:rPr>
          <w:lang w:val="cs-CZ"/>
        </w:rPr>
        <w:t>z</w:t>
      </w:r>
      <w:r w:rsidR="004D4906" w:rsidRPr="004D4906">
        <w:rPr>
          <w:b/>
          <w:bCs/>
          <w:lang w:val="cs-CZ"/>
        </w:rPr>
        <w:t>aměř</w:t>
      </w:r>
      <w:r w:rsidR="004D4906">
        <w:rPr>
          <w:b/>
          <w:bCs/>
          <w:lang w:val="cs-CZ"/>
        </w:rPr>
        <w:t>it</w:t>
      </w:r>
      <w:r w:rsidR="004D4906" w:rsidRPr="004D4906">
        <w:rPr>
          <w:b/>
          <w:bCs/>
          <w:lang w:val="cs-CZ"/>
        </w:rPr>
        <w:t xml:space="preserve"> se na osoby, které nejsou </w:t>
      </w:r>
      <w:r w:rsidR="004D4906">
        <w:rPr>
          <w:b/>
          <w:bCs/>
          <w:lang w:val="cs-CZ"/>
        </w:rPr>
        <w:t>zařazeny do systému</w:t>
      </w:r>
      <w:r w:rsidR="004D4906" w:rsidRPr="004D4906">
        <w:rPr>
          <w:b/>
          <w:bCs/>
          <w:lang w:val="cs-CZ"/>
        </w:rPr>
        <w:t xml:space="preserve"> veřejného zdravotního pojištění, včetně migrantů bez dokladů, pomocí specifických programů zdravotní prevence</w:t>
      </w:r>
      <w:r w:rsidR="002E5F7C" w:rsidRPr="00E91209">
        <w:rPr>
          <w:b/>
          <w:bCs/>
          <w:lang w:val="cs-CZ"/>
        </w:rPr>
        <w:t>;</w:t>
      </w:r>
    </w:p>
    <w:p w:rsidR="00753625" w:rsidRPr="00E91209" w:rsidRDefault="00D95020" w:rsidP="00753625">
      <w:pPr>
        <w:pStyle w:val="SingleTxtG"/>
        <w:rPr>
          <w:b/>
          <w:bCs/>
          <w:lang w:val="cs-CZ"/>
        </w:rPr>
      </w:pPr>
      <w:r w:rsidRPr="00E91209">
        <w:rPr>
          <w:lang w:val="cs-CZ"/>
        </w:rPr>
        <w:lastRenderedPageBreak/>
        <w:tab/>
      </w:r>
      <w:r w:rsidR="00753625" w:rsidRPr="00E91209">
        <w:rPr>
          <w:lang w:val="cs-CZ"/>
        </w:rPr>
        <w:t>(b)</w:t>
      </w:r>
      <w:r w:rsidR="00753625" w:rsidRPr="00E91209">
        <w:rPr>
          <w:lang w:val="cs-CZ"/>
        </w:rPr>
        <w:tab/>
      </w:r>
      <w:r w:rsidR="00163DC0">
        <w:rPr>
          <w:b/>
          <w:bCs/>
          <w:lang w:val="cs-CZ"/>
        </w:rPr>
        <w:t>p</w:t>
      </w:r>
      <w:r w:rsidR="00163DC0" w:rsidRPr="00163DC0">
        <w:rPr>
          <w:b/>
          <w:bCs/>
          <w:lang w:val="cs-CZ"/>
        </w:rPr>
        <w:t>oskyt</w:t>
      </w:r>
      <w:r w:rsidR="00163DC0">
        <w:rPr>
          <w:b/>
          <w:bCs/>
          <w:lang w:val="cs-CZ"/>
        </w:rPr>
        <w:t>nout</w:t>
      </w:r>
      <w:r w:rsidR="00163DC0" w:rsidRPr="00163DC0">
        <w:rPr>
          <w:b/>
          <w:bCs/>
          <w:lang w:val="cs-CZ"/>
        </w:rPr>
        <w:t xml:space="preserve"> </w:t>
      </w:r>
      <w:r w:rsidR="00163DC0">
        <w:rPr>
          <w:b/>
          <w:bCs/>
          <w:lang w:val="cs-CZ"/>
        </w:rPr>
        <w:t xml:space="preserve">všem </w:t>
      </w:r>
      <w:r w:rsidR="00163DC0" w:rsidRPr="00163DC0">
        <w:rPr>
          <w:b/>
          <w:bCs/>
          <w:lang w:val="cs-CZ"/>
        </w:rPr>
        <w:t>zdarma</w:t>
      </w:r>
      <w:r w:rsidR="00163DC0" w:rsidRPr="00163DC0">
        <w:rPr>
          <w:b/>
          <w:bCs/>
          <w:lang w:val="cs-CZ"/>
        </w:rPr>
        <w:t xml:space="preserve"> neodkladnou zdravotní péči a veškerou péči související s porodem</w:t>
      </w:r>
      <w:r w:rsidR="002E5F7C"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(c)</w:t>
      </w:r>
      <w:r w:rsidR="00753625" w:rsidRPr="00E91209">
        <w:rPr>
          <w:lang w:val="cs-CZ"/>
        </w:rPr>
        <w:tab/>
      </w:r>
      <w:r w:rsidR="00163DC0">
        <w:rPr>
          <w:b/>
          <w:bCs/>
          <w:lang w:val="cs-CZ"/>
        </w:rPr>
        <w:t>z</w:t>
      </w:r>
      <w:r w:rsidR="00163DC0" w:rsidRPr="00163DC0">
        <w:rPr>
          <w:b/>
          <w:bCs/>
          <w:lang w:val="cs-CZ"/>
        </w:rPr>
        <w:t>ajistit, aby lékaři a personál zdravotnických zařízení nehlásili migranty bez dokladů</w:t>
      </w:r>
      <w:r w:rsidR="00753625" w:rsidRPr="00E91209">
        <w:rPr>
          <w:b/>
          <w:bCs/>
          <w:lang w:val="cs-CZ"/>
        </w:rPr>
        <w:t>.</w:t>
      </w:r>
    </w:p>
    <w:p w:rsidR="00753625" w:rsidRPr="00E91209" w:rsidRDefault="00753625" w:rsidP="00D95020">
      <w:pPr>
        <w:pStyle w:val="H23G"/>
        <w:rPr>
          <w:lang w:val="cs-CZ"/>
        </w:rPr>
      </w:pPr>
      <w:r w:rsidRPr="00E91209">
        <w:rPr>
          <w:lang w:val="cs-CZ"/>
        </w:rPr>
        <w:tab/>
      </w:r>
      <w:r w:rsidRPr="00E91209">
        <w:rPr>
          <w:lang w:val="cs-CZ"/>
        </w:rPr>
        <w:tab/>
      </w:r>
      <w:r w:rsidR="00163DC0">
        <w:rPr>
          <w:lang w:val="cs-CZ"/>
        </w:rPr>
        <w:t>Přístup uprchlíků k důchodům</w:t>
      </w:r>
    </w:p>
    <w:p w:rsidR="00753625" w:rsidRPr="00E91209" w:rsidRDefault="00753625" w:rsidP="00753625">
      <w:pPr>
        <w:pStyle w:val="SingleTxtG"/>
        <w:rPr>
          <w:lang w:val="cs-CZ"/>
        </w:rPr>
      </w:pPr>
      <w:r w:rsidRPr="00E91209">
        <w:rPr>
          <w:lang w:val="cs-CZ"/>
        </w:rPr>
        <w:t>25.</w:t>
      </w:r>
      <w:r w:rsidRPr="00E91209">
        <w:rPr>
          <w:lang w:val="cs-CZ"/>
        </w:rPr>
        <w:tab/>
      </w:r>
      <w:r w:rsidR="00163DC0" w:rsidRPr="00163DC0">
        <w:rPr>
          <w:lang w:val="cs-CZ"/>
        </w:rPr>
        <w:t>Výbor je znepokojen tím, že mnoho uprchlíků nemůže využívat systém starobního důchodu smluvní strany kvůli ne</w:t>
      </w:r>
      <w:r w:rsidR="00163DC0">
        <w:rPr>
          <w:lang w:val="cs-CZ"/>
        </w:rPr>
        <w:t>možnosti</w:t>
      </w:r>
      <w:r w:rsidR="00163DC0" w:rsidRPr="00163DC0">
        <w:rPr>
          <w:lang w:val="cs-CZ"/>
        </w:rPr>
        <w:t xml:space="preserve"> předložit dokumentaci týkající se jejich předchozího zaměstnání a získat požadovaný počet let zaměstnání podle zákona o důchodovém pojištění, a že v důsledku toho zůstávají závisl</w:t>
      </w:r>
      <w:r w:rsidR="00163DC0">
        <w:rPr>
          <w:lang w:val="cs-CZ"/>
        </w:rPr>
        <w:t>í</w:t>
      </w:r>
      <w:r w:rsidR="00163DC0" w:rsidRPr="00163DC0">
        <w:rPr>
          <w:lang w:val="cs-CZ"/>
        </w:rPr>
        <w:t xml:space="preserve"> na </w:t>
      </w:r>
      <w:r w:rsidR="00163DC0">
        <w:rPr>
          <w:lang w:val="cs-CZ"/>
        </w:rPr>
        <w:t xml:space="preserve">dávkách v hmotné nouzi </w:t>
      </w:r>
      <w:r w:rsidR="00163DC0" w:rsidRPr="00163DC0">
        <w:rPr>
          <w:lang w:val="cs-CZ"/>
        </w:rPr>
        <w:t>(články 2 a 5).</w:t>
      </w:r>
    </w:p>
    <w:p w:rsidR="00753625" w:rsidRPr="00E91209" w:rsidRDefault="00753625" w:rsidP="00753625">
      <w:pPr>
        <w:pStyle w:val="SingleTxtG"/>
        <w:rPr>
          <w:b/>
          <w:bCs/>
          <w:lang w:val="cs-CZ"/>
        </w:rPr>
      </w:pPr>
      <w:r w:rsidRPr="00E91209">
        <w:rPr>
          <w:lang w:val="cs-CZ"/>
        </w:rPr>
        <w:t>26.</w:t>
      </w:r>
      <w:r w:rsidRPr="00E91209">
        <w:rPr>
          <w:lang w:val="cs-CZ"/>
        </w:rPr>
        <w:tab/>
      </w:r>
      <w:r w:rsidR="00163DC0" w:rsidRPr="00163DC0">
        <w:rPr>
          <w:b/>
          <w:bCs/>
          <w:lang w:val="cs-CZ"/>
        </w:rPr>
        <w:t>S odvoláním na své obecné doporučení č. 30 (2005) o diskriminaci osob, které nejsou státními příslušníky, Výbor doporučuje, aby smluvní strana řešila vážný problém přístupu uprchlíků k důchodům spravedlivým způsobem v souladu s</w:t>
      </w:r>
      <w:r w:rsidR="008B3B5C">
        <w:rPr>
          <w:b/>
          <w:bCs/>
          <w:lang w:val="cs-CZ"/>
        </w:rPr>
        <w:t xml:space="preserve"> článkem 24 Úmluvy o právním postavení uprchlíků a s respektem</w:t>
      </w:r>
      <w:r w:rsidR="00163DC0" w:rsidRPr="00163DC0">
        <w:rPr>
          <w:b/>
          <w:bCs/>
          <w:lang w:val="cs-CZ"/>
        </w:rPr>
        <w:t xml:space="preserve"> </w:t>
      </w:r>
      <w:r w:rsidR="008B3B5C">
        <w:rPr>
          <w:b/>
          <w:bCs/>
          <w:lang w:val="cs-CZ"/>
        </w:rPr>
        <w:t xml:space="preserve">k </w:t>
      </w:r>
      <w:r w:rsidR="00163DC0" w:rsidRPr="00163DC0">
        <w:rPr>
          <w:b/>
          <w:bCs/>
          <w:lang w:val="cs-CZ"/>
        </w:rPr>
        <w:t>ustanovení</w:t>
      </w:r>
      <w:r w:rsidR="008B3B5C">
        <w:rPr>
          <w:b/>
          <w:bCs/>
          <w:lang w:val="cs-CZ"/>
        </w:rPr>
        <w:t>m</w:t>
      </w:r>
      <w:r w:rsidR="00163DC0" w:rsidRPr="00163DC0">
        <w:rPr>
          <w:b/>
          <w:bCs/>
          <w:lang w:val="cs-CZ"/>
        </w:rPr>
        <w:t xml:space="preserve"> Úmluvy </w:t>
      </w:r>
      <w:r w:rsidR="008B3B5C" w:rsidRPr="00163DC0">
        <w:rPr>
          <w:b/>
          <w:bCs/>
          <w:lang w:val="cs-CZ"/>
        </w:rPr>
        <w:t>Mezinárodní organizace práce</w:t>
      </w:r>
      <w:r w:rsidR="008B3B5C" w:rsidRPr="00163DC0">
        <w:rPr>
          <w:b/>
          <w:bCs/>
          <w:lang w:val="cs-CZ"/>
        </w:rPr>
        <w:t xml:space="preserve"> </w:t>
      </w:r>
      <w:r w:rsidR="00163DC0" w:rsidRPr="00163DC0">
        <w:rPr>
          <w:b/>
          <w:bCs/>
          <w:lang w:val="cs-CZ"/>
        </w:rPr>
        <w:t>o invalidních, starobních a pozůstalostních dávkách z roku 1967 (č. 128), podle potřeby.</w:t>
      </w:r>
    </w:p>
    <w:p w:rsidR="00753625" w:rsidRPr="00E91209" w:rsidRDefault="00753625" w:rsidP="00D95020">
      <w:pPr>
        <w:pStyle w:val="H23G"/>
        <w:rPr>
          <w:lang w:val="cs-CZ"/>
        </w:rPr>
      </w:pPr>
      <w:r w:rsidRPr="00E91209">
        <w:rPr>
          <w:lang w:val="cs-CZ"/>
        </w:rPr>
        <w:tab/>
      </w:r>
      <w:r w:rsidRPr="00E91209">
        <w:rPr>
          <w:lang w:val="cs-CZ"/>
        </w:rPr>
        <w:tab/>
      </w:r>
      <w:r w:rsidR="008B3B5C" w:rsidRPr="008B3B5C">
        <w:rPr>
          <w:lang w:val="cs-CZ"/>
        </w:rPr>
        <w:t>Osoby bez státní příslušnosti a prevence vzniku bezdomovectví</w:t>
      </w:r>
    </w:p>
    <w:p w:rsidR="00753625" w:rsidRPr="00E91209" w:rsidRDefault="00753625" w:rsidP="00753625">
      <w:pPr>
        <w:pStyle w:val="SingleTxtG"/>
        <w:rPr>
          <w:lang w:val="cs-CZ"/>
        </w:rPr>
      </w:pPr>
      <w:r w:rsidRPr="00E91209">
        <w:rPr>
          <w:lang w:val="cs-CZ"/>
        </w:rPr>
        <w:t>27.</w:t>
      </w:r>
      <w:r w:rsidRPr="00E91209">
        <w:rPr>
          <w:lang w:val="cs-CZ"/>
        </w:rPr>
        <w:tab/>
      </w:r>
      <w:r w:rsidR="008B3B5C" w:rsidRPr="008B3B5C">
        <w:rPr>
          <w:lang w:val="cs-CZ"/>
        </w:rPr>
        <w:t xml:space="preserve">Výbor je znepokojen tím, že na základě výhrady smluvního státu k článku 27 Úmluvy o právním postavení osob bez státní příslušnosti nemají osoby bez státní příslušnosti, které nemají povolení k trvalému pobytu, nárok na získání dokladu totožnosti. Výbor je rovněž znepokojen absencí definice bezdomovectví, </w:t>
      </w:r>
      <w:r w:rsidR="008B3B5C">
        <w:rPr>
          <w:lang w:val="cs-CZ"/>
        </w:rPr>
        <w:t>speciálního</w:t>
      </w:r>
      <w:r w:rsidR="008B3B5C" w:rsidRPr="008B3B5C">
        <w:rPr>
          <w:lang w:val="cs-CZ"/>
        </w:rPr>
        <w:t xml:space="preserve"> postupu pro určení osoby bez státní přísl</w:t>
      </w:r>
      <w:r w:rsidR="008B3B5C">
        <w:rPr>
          <w:lang w:val="cs-CZ"/>
        </w:rPr>
        <w:t>ušnosti a statistik</w:t>
      </w:r>
      <w:r w:rsidR="008B3B5C" w:rsidRPr="008B3B5C">
        <w:rPr>
          <w:lang w:val="cs-CZ"/>
        </w:rPr>
        <w:t xml:space="preserve"> týkající</w:t>
      </w:r>
      <w:r w:rsidR="008B3B5C">
        <w:rPr>
          <w:lang w:val="cs-CZ"/>
        </w:rPr>
        <w:t>ch</w:t>
      </w:r>
      <w:r w:rsidR="008B3B5C" w:rsidRPr="008B3B5C">
        <w:rPr>
          <w:lang w:val="cs-CZ"/>
        </w:rPr>
        <w:t xml:space="preserve"> se osob bez státní příslušnosti. Výbor je dále znepokojen nedostatkem záruk, které by zabránily bezdomovectví dětí, které se narodily rodičům bez státní příslušnosti nebo </w:t>
      </w:r>
      <w:r w:rsidR="008B3B5C">
        <w:rPr>
          <w:lang w:val="cs-CZ"/>
        </w:rPr>
        <w:t>cizí matce</w:t>
      </w:r>
      <w:r w:rsidR="008B3B5C" w:rsidRPr="008B3B5C">
        <w:rPr>
          <w:lang w:val="cs-CZ"/>
        </w:rPr>
        <w:t xml:space="preserve"> </w:t>
      </w:r>
      <w:r w:rsidR="008B3B5C" w:rsidRPr="008B3B5C">
        <w:rPr>
          <w:lang w:val="cs-CZ"/>
        </w:rPr>
        <w:t>mimo manželství (články 2 a 5).</w:t>
      </w:r>
    </w:p>
    <w:p w:rsidR="00753625" w:rsidRPr="00E91209" w:rsidRDefault="00753625" w:rsidP="00753625">
      <w:pPr>
        <w:pStyle w:val="SingleTxtG"/>
        <w:rPr>
          <w:b/>
          <w:bCs/>
          <w:lang w:val="cs-CZ"/>
        </w:rPr>
      </w:pPr>
      <w:r w:rsidRPr="00E91209">
        <w:rPr>
          <w:lang w:val="cs-CZ"/>
        </w:rPr>
        <w:t>28.</w:t>
      </w:r>
      <w:r w:rsidRPr="00E91209">
        <w:rPr>
          <w:lang w:val="cs-CZ"/>
        </w:rPr>
        <w:tab/>
      </w:r>
      <w:r w:rsidR="008B3B5C" w:rsidRPr="008B3B5C">
        <w:rPr>
          <w:b/>
          <w:bCs/>
          <w:lang w:val="cs-CZ"/>
        </w:rPr>
        <w:t>Výbor doporučuje, aby smluvní strana učinila následující kroky k zaručení práv osob bez státní příslušnosti a k lepší prevenci bezdomovectví</w:t>
      </w:r>
      <w:r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(a)</w:t>
      </w:r>
      <w:r w:rsidR="00753625" w:rsidRPr="00E91209">
        <w:rPr>
          <w:lang w:val="cs-CZ"/>
        </w:rPr>
        <w:tab/>
      </w:r>
      <w:r w:rsidR="008B3B5C" w:rsidRPr="008B3B5C">
        <w:rPr>
          <w:b/>
          <w:bCs/>
          <w:lang w:val="cs-CZ"/>
        </w:rPr>
        <w:t>stáhnout svou výhradu k článku 27 Úmluvy o právním postavení osob bez státní příslušnosti s cílem usnadnit každé osobě bez státní příslušnosti přístup k dokladům totožnosti</w:t>
      </w:r>
      <w:r w:rsidR="002E5F7C"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(b)</w:t>
      </w:r>
      <w:r w:rsidR="00753625" w:rsidRPr="00E91209">
        <w:rPr>
          <w:lang w:val="cs-CZ"/>
        </w:rPr>
        <w:tab/>
      </w:r>
      <w:r w:rsidR="008B3B5C" w:rsidRPr="008B3B5C">
        <w:rPr>
          <w:b/>
          <w:lang w:val="cs-CZ"/>
        </w:rPr>
        <w:t>p</w:t>
      </w:r>
      <w:r w:rsidR="008B3B5C" w:rsidRPr="008B3B5C">
        <w:rPr>
          <w:b/>
          <w:bCs/>
          <w:lang w:val="cs-CZ"/>
        </w:rPr>
        <w:t>řijmout právní definici osoby bez státní příslušnosti v souladu s Úmluvou o právním postavení osob bez státní příslušnosti</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(c)</w:t>
      </w:r>
      <w:r w:rsidR="00753625" w:rsidRPr="00E91209">
        <w:rPr>
          <w:lang w:val="cs-CZ"/>
        </w:rPr>
        <w:tab/>
      </w:r>
      <w:r w:rsidR="008B3B5C">
        <w:rPr>
          <w:b/>
          <w:bCs/>
          <w:lang w:val="cs-CZ"/>
        </w:rPr>
        <w:t>přijmout</w:t>
      </w:r>
      <w:r w:rsidR="008B3B5C" w:rsidRPr="008B3B5C">
        <w:rPr>
          <w:b/>
          <w:bCs/>
          <w:lang w:val="cs-CZ"/>
        </w:rPr>
        <w:t xml:space="preserve"> </w:t>
      </w:r>
      <w:r w:rsidR="008B3B5C">
        <w:rPr>
          <w:b/>
          <w:bCs/>
          <w:lang w:val="cs-CZ"/>
        </w:rPr>
        <w:t>zvláštní</w:t>
      </w:r>
      <w:r w:rsidR="008B3B5C" w:rsidRPr="008B3B5C">
        <w:rPr>
          <w:b/>
          <w:bCs/>
          <w:lang w:val="cs-CZ"/>
        </w:rPr>
        <w:t xml:space="preserve"> účinný postup </w:t>
      </w:r>
      <w:r w:rsidR="008B3B5C">
        <w:rPr>
          <w:b/>
          <w:bCs/>
          <w:lang w:val="cs-CZ"/>
        </w:rPr>
        <w:t xml:space="preserve">pro </w:t>
      </w:r>
      <w:r w:rsidR="008B3B5C" w:rsidRPr="008B3B5C">
        <w:rPr>
          <w:b/>
          <w:bCs/>
          <w:lang w:val="cs-CZ"/>
        </w:rPr>
        <w:t>určení osoby bez státní příslušnosti</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(d)</w:t>
      </w:r>
      <w:r w:rsidR="00753625" w:rsidRPr="00E91209">
        <w:rPr>
          <w:lang w:val="cs-CZ"/>
        </w:rPr>
        <w:tab/>
      </w:r>
      <w:r w:rsidR="008B3B5C" w:rsidRPr="008B3B5C">
        <w:rPr>
          <w:b/>
          <w:lang w:val="cs-CZ"/>
        </w:rPr>
        <w:t>i</w:t>
      </w:r>
      <w:r w:rsidR="008B3B5C" w:rsidRPr="008B3B5C">
        <w:rPr>
          <w:b/>
          <w:bCs/>
          <w:lang w:val="cs-CZ"/>
        </w:rPr>
        <w:t>niciovat systematický sběr statistik o osobách bez státní příslušnosti s cílem vytvořit a udržovat databázi zaznamenávající počet a profil osob bez státní příslušnosti v zemi</w:t>
      </w:r>
      <w:r w:rsidR="00753625"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(e)</w:t>
      </w:r>
      <w:r w:rsidR="00753625" w:rsidRPr="00E91209">
        <w:rPr>
          <w:lang w:val="cs-CZ"/>
        </w:rPr>
        <w:tab/>
      </w:r>
      <w:r w:rsidR="008B3B5C">
        <w:rPr>
          <w:b/>
          <w:bCs/>
          <w:lang w:val="cs-CZ"/>
        </w:rPr>
        <w:t>u</w:t>
      </w:r>
      <w:r w:rsidR="008B3B5C" w:rsidRPr="008B3B5C">
        <w:rPr>
          <w:b/>
          <w:bCs/>
          <w:lang w:val="cs-CZ"/>
        </w:rPr>
        <w:t>snadnit přístup k občanství bez diskriminace všem dětem narozeným rodičům bez státní příslušnosti bez ohledu na jejich pobytový status a dětem narozeným mimo manželství českému otci a cizí matce</w:t>
      </w:r>
      <w:r w:rsidR="00753625" w:rsidRPr="00E91209">
        <w:rPr>
          <w:b/>
          <w:bCs/>
          <w:lang w:val="cs-CZ"/>
        </w:rPr>
        <w:t>.</w:t>
      </w:r>
    </w:p>
    <w:p w:rsidR="00753625" w:rsidRPr="00E91209" w:rsidRDefault="00753625" w:rsidP="00D95020">
      <w:pPr>
        <w:pStyle w:val="H23G"/>
        <w:rPr>
          <w:lang w:val="cs-CZ"/>
        </w:rPr>
      </w:pPr>
      <w:r w:rsidRPr="00E91209">
        <w:rPr>
          <w:lang w:val="cs-CZ"/>
        </w:rPr>
        <w:tab/>
      </w:r>
      <w:r w:rsidRPr="00E91209">
        <w:rPr>
          <w:lang w:val="cs-CZ"/>
        </w:rPr>
        <w:tab/>
      </w:r>
      <w:r w:rsidR="008B3B5C">
        <w:rPr>
          <w:lang w:val="cs-CZ"/>
        </w:rPr>
        <w:t>Obchodování s lidmi</w:t>
      </w:r>
    </w:p>
    <w:p w:rsidR="00753625" w:rsidRPr="00E91209" w:rsidRDefault="00753625" w:rsidP="00753625">
      <w:pPr>
        <w:pStyle w:val="SingleTxtG"/>
        <w:rPr>
          <w:lang w:val="cs-CZ"/>
        </w:rPr>
      </w:pPr>
      <w:r w:rsidRPr="00E91209">
        <w:rPr>
          <w:lang w:val="cs-CZ"/>
        </w:rPr>
        <w:t>29.</w:t>
      </w:r>
      <w:r w:rsidRPr="00E91209">
        <w:rPr>
          <w:lang w:val="cs-CZ"/>
        </w:rPr>
        <w:tab/>
      </w:r>
      <w:r w:rsidR="008B3B5C" w:rsidRPr="008B3B5C">
        <w:rPr>
          <w:lang w:val="cs-CZ"/>
        </w:rPr>
        <w:t>Výbor je znepokojen tím, že i když smluvní strana zůstává zemí původu, tranzitu a určení pro obchodování s lidmi, počet osob odsouzených za tento trestný čin zůstává nízký. Vzhledem k tomu, že velkou většinu obětí obchodování s lidmi tvoří cizinci, je Výbor rovněž znepokojen velmi nízkým podílem obětí zařazených do programu podpory a ochrany obětí obchodování s lidmi (čl. 2 a 5).</w:t>
      </w:r>
    </w:p>
    <w:p w:rsidR="00753625" w:rsidRPr="00E91209" w:rsidRDefault="00753625" w:rsidP="00753625">
      <w:pPr>
        <w:pStyle w:val="SingleTxtG"/>
        <w:rPr>
          <w:b/>
          <w:bCs/>
          <w:lang w:val="cs-CZ"/>
        </w:rPr>
      </w:pPr>
      <w:r w:rsidRPr="00E91209">
        <w:rPr>
          <w:lang w:val="cs-CZ"/>
        </w:rPr>
        <w:t>30.</w:t>
      </w:r>
      <w:r w:rsidRPr="00E91209">
        <w:rPr>
          <w:lang w:val="cs-CZ"/>
        </w:rPr>
        <w:tab/>
      </w:r>
      <w:r w:rsidR="008B3B5C" w:rsidRPr="008B3B5C">
        <w:rPr>
          <w:b/>
          <w:bCs/>
          <w:lang w:val="cs-CZ"/>
        </w:rPr>
        <w:t>Výbor doporučuje, aby smluvní strana pokračovala ve svém úsilí v boji proti obchodování s lidmi, včetně</w:t>
      </w:r>
      <w:r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(a)</w:t>
      </w:r>
      <w:r w:rsidR="00753625" w:rsidRPr="00E91209">
        <w:rPr>
          <w:lang w:val="cs-CZ"/>
        </w:rPr>
        <w:tab/>
      </w:r>
      <w:r w:rsidR="008B3B5C">
        <w:rPr>
          <w:b/>
          <w:bCs/>
          <w:lang w:val="cs-CZ"/>
        </w:rPr>
        <w:t>zajištění</w:t>
      </w:r>
      <w:r w:rsidR="008B3B5C" w:rsidRPr="008B3B5C">
        <w:rPr>
          <w:b/>
          <w:bCs/>
          <w:lang w:val="cs-CZ"/>
        </w:rPr>
        <w:t>, aby pachatelé obchodování s lidmi byli identifikováni, stíháni a přiměřeně potrestáni</w:t>
      </w:r>
      <w:r w:rsidR="002E5F7C" w:rsidRPr="00E91209">
        <w:rPr>
          <w:b/>
          <w:bCs/>
          <w:lang w:val="cs-CZ"/>
        </w:rPr>
        <w:t>;</w:t>
      </w:r>
    </w:p>
    <w:p w:rsidR="00753625" w:rsidRPr="00E91209" w:rsidRDefault="00D95020" w:rsidP="00753625">
      <w:pPr>
        <w:pStyle w:val="SingleTxtG"/>
        <w:rPr>
          <w:b/>
          <w:bCs/>
          <w:lang w:val="cs-CZ"/>
        </w:rPr>
      </w:pPr>
      <w:r w:rsidRPr="00E91209">
        <w:rPr>
          <w:lang w:val="cs-CZ"/>
        </w:rPr>
        <w:lastRenderedPageBreak/>
        <w:tab/>
      </w:r>
      <w:r w:rsidR="00753625" w:rsidRPr="00E91209">
        <w:rPr>
          <w:lang w:val="cs-CZ"/>
        </w:rPr>
        <w:t>(b)</w:t>
      </w:r>
      <w:r w:rsidR="00753625" w:rsidRPr="00E91209">
        <w:rPr>
          <w:lang w:val="cs-CZ"/>
        </w:rPr>
        <w:tab/>
      </w:r>
      <w:r w:rsidR="008B3B5C">
        <w:rPr>
          <w:b/>
          <w:bCs/>
          <w:lang w:val="cs-CZ"/>
        </w:rPr>
        <w:t>pokračování</w:t>
      </w:r>
      <w:r w:rsidR="008B3B5C" w:rsidRPr="008B3B5C">
        <w:rPr>
          <w:b/>
          <w:bCs/>
          <w:lang w:val="cs-CZ"/>
        </w:rPr>
        <w:t xml:space="preserve"> ve zvyšování povědomí mezi obyvatelstvem, včetně migrantů, o rizicích obchodování s lidmi</w:t>
      </w:r>
      <w:r w:rsidR="002E5F7C" w:rsidRPr="00E91209">
        <w:rPr>
          <w:b/>
          <w:bCs/>
          <w:lang w:val="cs-CZ"/>
        </w:rPr>
        <w:t>;</w:t>
      </w:r>
    </w:p>
    <w:p w:rsidR="00753625" w:rsidRPr="00E91209" w:rsidRDefault="00D95020" w:rsidP="00753625">
      <w:pPr>
        <w:pStyle w:val="SingleTxtG"/>
        <w:rPr>
          <w:b/>
          <w:bCs/>
          <w:lang w:val="cs-CZ"/>
        </w:rPr>
      </w:pPr>
      <w:r w:rsidRPr="00E91209">
        <w:rPr>
          <w:lang w:val="cs-CZ"/>
        </w:rPr>
        <w:tab/>
      </w:r>
      <w:r w:rsidR="00753625" w:rsidRPr="00E91209">
        <w:rPr>
          <w:lang w:val="cs-CZ"/>
        </w:rPr>
        <w:t>(c)</w:t>
      </w:r>
      <w:r w:rsidR="00753625" w:rsidRPr="00E91209">
        <w:rPr>
          <w:lang w:val="cs-CZ"/>
        </w:rPr>
        <w:tab/>
      </w:r>
      <w:r w:rsidR="008B3B5C" w:rsidRPr="008B3B5C">
        <w:rPr>
          <w:b/>
          <w:bCs/>
          <w:lang w:val="cs-CZ"/>
        </w:rPr>
        <w:t xml:space="preserve">navrhování konkrétních kampaní </w:t>
      </w:r>
      <w:r w:rsidR="008B3B5C" w:rsidRPr="008B3B5C">
        <w:rPr>
          <w:b/>
          <w:bCs/>
          <w:lang w:val="cs-CZ"/>
        </w:rPr>
        <w:t xml:space="preserve">v několika jazycích </w:t>
      </w:r>
      <w:r w:rsidR="008B3B5C" w:rsidRPr="008B3B5C">
        <w:rPr>
          <w:b/>
          <w:bCs/>
          <w:lang w:val="cs-CZ"/>
        </w:rPr>
        <w:t>na zvýšení povědomí o obsahu a přínosech programu podpory a ochrany pro oběti obchodování s lidmi</w:t>
      </w:r>
      <w:r w:rsidR="00753625" w:rsidRPr="00E91209">
        <w:rPr>
          <w:b/>
          <w:bCs/>
          <w:lang w:val="cs-CZ"/>
        </w:rPr>
        <w:t>.</w:t>
      </w:r>
    </w:p>
    <w:p w:rsidR="00753625" w:rsidRPr="00E91209" w:rsidRDefault="00753625" w:rsidP="00D95020">
      <w:pPr>
        <w:pStyle w:val="H1G"/>
        <w:rPr>
          <w:lang w:val="cs-CZ"/>
        </w:rPr>
      </w:pPr>
      <w:r w:rsidRPr="00E91209">
        <w:rPr>
          <w:lang w:val="cs-CZ"/>
        </w:rPr>
        <w:tab/>
        <w:t>D.</w:t>
      </w:r>
      <w:r w:rsidRPr="00E91209">
        <w:rPr>
          <w:lang w:val="cs-CZ"/>
        </w:rPr>
        <w:tab/>
      </w:r>
      <w:r w:rsidR="00BC6E11">
        <w:rPr>
          <w:lang w:val="cs-CZ"/>
        </w:rPr>
        <w:t>Další doporučení</w:t>
      </w:r>
    </w:p>
    <w:p w:rsidR="00753625" w:rsidRPr="00E91209" w:rsidRDefault="00BC6E11" w:rsidP="00D95020">
      <w:pPr>
        <w:pStyle w:val="H23G"/>
        <w:rPr>
          <w:lang w:val="cs-CZ"/>
        </w:rPr>
      </w:pPr>
      <w:r>
        <w:rPr>
          <w:lang w:val="cs-CZ"/>
        </w:rPr>
        <w:tab/>
      </w:r>
      <w:r>
        <w:rPr>
          <w:lang w:val="cs-CZ"/>
        </w:rPr>
        <w:tab/>
        <w:t>Ratifikace dalších smluv</w:t>
      </w:r>
      <w:r w:rsidR="00753625" w:rsidRPr="00E91209">
        <w:rPr>
          <w:lang w:val="cs-CZ"/>
        </w:rPr>
        <w:t xml:space="preserve"> </w:t>
      </w:r>
    </w:p>
    <w:p w:rsidR="00753625" w:rsidRPr="00E91209" w:rsidRDefault="00753625" w:rsidP="00753625">
      <w:pPr>
        <w:pStyle w:val="SingleTxtG"/>
        <w:rPr>
          <w:b/>
          <w:bCs/>
          <w:lang w:val="cs-CZ"/>
        </w:rPr>
      </w:pPr>
      <w:r w:rsidRPr="00E91209">
        <w:rPr>
          <w:lang w:val="cs-CZ"/>
        </w:rPr>
        <w:t>31.</w:t>
      </w:r>
      <w:r w:rsidRPr="00E91209">
        <w:rPr>
          <w:lang w:val="cs-CZ"/>
        </w:rPr>
        <w:tab/>
      </w:r>
      <w:r w:rsidR="00BC6E11" w:rsidRPr="00BC6E11">
        <w:rPr>
          <w:b/>
          <w:bCs/>
          <w:lang w:val="cs-CZ"/>
        </w:rPr>
        <w:t xml:space="preserve">S ohledem na nedělitelnost všech lidských práv Výbor vyzývá smluvní stranu, aby zvážila ratifikaci těch mezinárodních smluv o lidských právech, které dosud neratifikovala, zejména smluv s ustanoveními, která mají přímý význam pro komunity, které mohou být vystaveny rasové diskriminaci, včetně Mezinárodní úmluvy o ochraně práv všech migrujících pracovníků a členů jejich rodin a Úmluvy </w:t>
      </w:r>
      <w:r w:rsidR="00BC6E11" w:rsidRPr="00BC6E11">
        <w:rPr>
          <w:b/>
          <w:bCs/>
          <w:lang w:val="cs-CZ"/>
        </w:rPr>
        <w:t>Mezinárodní organizace práce</w:t>
      </w:r>
      <w:r w:rsidR="00BC6E11" w:rsidRPr="00BC6E11">
        <w:rPr>
          <w:b/>
          <w:bCs/>
          <w:lang w:val="cs-CZ"/>
        </w:rPr>
        <w:t xml:space="preserve"> </w:t>
      </w:r>
      <w:r w:rsidR="00BC6E11">
        <w:rPr>
          <w:b/>
          <w:bCs/>
          <w:lang w:val="cs-CZ"/>
        </w:rPr>
        <w:t>o pracovnících v domácnosti</w:t>
      </w:r>
      <w:r w:rsidR="00BC6E11" w:rsidRPr="00BC6E11">
        <w:rPr>
          <w:b/>
          <w:bCs/>
          <w:lang w:val="cs-CZ"/>
        </w:rPr>
        <w:t xml:space="preserve"> 2011 (č. 189).</w:t>
      </w:r>
    </w:p>
    <w:p w:rsidR="00753625" w:rsidRPr="00E91209" w:rsidRDefault="00753625" w:rsidP="00D95020">
      <w:pPr>
        <w:pStyle w:val="H23G"/>
        <w:rPr>
          <w:lang w:val="cs-CZ"/>
        </w:rPr>
      </w:pPr>
      <w:r w:rsidRPr="00E91209">
        <w:rPr>
          <w:lang w:val="cs-CZ"/>
        </w:rPr>
        <w:tab/>
      </w:r>
      <w:r w:rsidRPr="00E91209">
        <w:rPr>
          <w:lang w:val="cs-CZ"/>
        </w:rPr>
        <w:tab/>
      </w:r>
      <w:r w:rsidR="00A90DF7">
        <w:rPr>
          <w:lang w:val="cs-CZ"/>
        </w:rPr>
        <w:t>A</w:t>
      </w:r>
      <w:r w:rsidR="00BC6E11">
        <w:rPr>
          <w:lang w:val="cs-CZ"/>
        </w:rPr>
        <w:t xml:space="preserve">ktivity </w:t>
      </w:r>
      <w:r w:rsidR="00A90DF7">
        <w:rPr>
          <w:lang w:val="cs-CZ"/>
        </w:rPr>
        <w:t xml:space="preserve">navazující </w:t>
      </w:r>
      <w:r w:rsidR="00BC6E11" w:rsidRPr="00BC6E11">
        <w:rPr>
          <w:lang w:val="cs-CZ"/>
        </w:rPr>
        <w:t>na Durbanskou deklaraci a akční program</w:t>
      </w:r>
    </w:p>
    <w:p w:rsidR="00753625" w:rsidRPr="00E91209" w:rsidRDefault="00753625" w:rsidP="00753625">
      <w:pPr>
        <w:pStyle w:val="SingleTxtG"/>
        <w:rPr>
          <w:b/>
          <w:bCs/>
          <w:lang w:val="cs-CZ"/>
        </w:rPr>
      </w:pPr>
      <w:r w:rsidRPr="00E91209">
        <w:rPr>
          <w:lang w:val="cs-CZ"/>
        </w:rPr>
        <w:t>32.</w:t>
      </w:r>
      <w:r w:rsidRPr="00E91209">
        <w:rPr>
          <w:lang w:val="cs-CZ"/>
        </w:rPr>
        <w:tab/>
      </w:r>
      <w:r w:rsidR="00BC6E11" w:rsidRPr="00BC6E11">
        <w:rPr>
          <w:b/>
          <w:bCs/>
          <w:lang w:val="cs-CZ"/>
        </w:rPr>
        <w:t xml:space="preserve">Ve světle svého obecného doporučení č. 33 (2009) o návaznosti na Durbanskou hodnotící konferenci Výbor doporučuje, aby </w:t>
      </w:r>
      <w:r w:rsidR="00BC6E11" w:rsidRPr="00BC6E11">
        <w:rPr>
          <w:b/>
          <w:bCs/>
          <w:lang w:val="cs-CZ"/>
        </w:rPr>
        <w:t xml:space="preserve">smluvní strana </w:t>
      </w:r>
      <w:r w:rsidR="00BC6E11" w:rsidRPr="00BC6E11">
        <w:rPr>
          <w:b/>
          <w:bCs/>
          <w:lang w:val="cs-CZ"/>
        </w:rPr>
        <w:t xml:space="preserve">při implementaci Úmluvy do svého vnitrostátního právního řádu uvedla v platnost </w:t>
      </w:r>
      <w:r w:rsidR="00BC6E11">
        <w:rPr>
          <w:b/>
          <w:bCs/>
          <w:lang w:val="cs-CZ"/>
        </w:rPr>
        <w:t>Durbanskou deklaraci a Program o</w:t>
      </w:r>
      <w:r w:rsidR="00BC6E11" w:rsidRPr="00BC6E11">
        <w:rPr>
          <w:b/>
          <w:bCs/>
          <w:lang w:val="cs-CZ"/>
        </w:rPr>
        <w:t>patření přijaté v září 2001 Světovou konferencí proti rasismu, rasové diskriminaci, xenofobii a související nesnášenlivosti, s přihlédnutím k výslednému dokumentu Durbanské hodnotící konference, která se konala v Ženevě v dubnu 2009. Výbor požaduje, aby smluvní strana z</w:t>
      </w:r>
      <w:r w:rsidR="00BC6E11">
        <w:rPr>
          <w:b/>
          <w:bCs/>
          <w:lang w:val="cs-CZ"/>
        </w:rPr>
        <w:t>ahrnula do své příští periodické zprávy</w:t>
      </w:r>
      <w:r w:rsidR="00BC6E11" w:rsidRPr="00BC6E11">
        <w:rPr>
          <w:b/>
          <w:bCs/>
          <w:lang w:val="cs-CZ"/>
        </w:rPr>
        <w:t xml:space="preserve"> konkrétní informace o akčních plánech a dalších opatřeních přijatých k implementaci Durbanské deklarace a akčního programu na národní úrovni.</w:t>
      </w:r>
    </w:p>
    <w:p w:rsidR="00753625" w:rsidRPr="00E91209" w:rsidRDefault="00753625" w:rsidP="00D95020">
      <w:pPr>
        <w:pStyle w:val="H23G"/>
        <w:rPr>
          <w:lang w:val="cs-CZ"/>
        </w:rPr>
      </w:pPr>
      <w:r w:rsidRPr="00E91209">
        <w:rPr>
          <w:lang w:val="cs-CZ"/>
        </w:rPr>
        <w:tab/>
      </w:r>
      <w:r w:rsidRPr="00E91209">
        <w:rPr>
          <w:lang w:val="cs-CZ"/>
        </w:rPr>
        <w:tab/>
      </w:r>
      <w:r w:rsidR="00BC6E11">
        <w:rPr>
          <w:lang w:val="cs-CZ"/>
        </w:rPr>
        <w:t>Mezinárodní</w:t>
      </w:r>
      <w:r w:rsidRPr="00E91209">
        <w:rPr>
          <w:lang w:val="cs-CZ"/>
        </w:rPr>
        <w:t xml:space="preserve"> </w:t>
      </w:r>
      <w:r w:rsidR="00BC6E11">
        <w:rPr>
          <w:lang w:val="cs-CZ"/>
        </w:rPr>
        <w:t>dekáda</w:t>
      </w:r>
      <w:r w:rsidRPr="00E91209">
        <w:rPr>
          <w:lang w:val="cs-CZ"/>
        </w:rPr>
        <w:t xml:space="preserve"> </w:t>
      </w:r>
      <w:r w:rsidR="00BC6E11">
        <w:rPr>
          <w:lang w:val="cs-CZ"/>
        </w:rPr>
        <w:t>lidí afrického původu</w:t>
      </w:r>
      <w:r w:rsidRPr="00E91209">
        <w:rPr>
          <w:lang w:val="cs-CZ"/>
        </w:rPr>
        <w:t xml:space="preserve"> </w:t>
      </w:r>
    </w:p>
    <w:p w:rsidR="00753625" w:rsidRPr="00E91209" w:rsidRDefault="00753625" w:rsidP="00753625">
      <w:pPr>
        <w:pStyle w:val="SingleTxtG"/>
        <w:rPr>
          <w:b/>
          <w:bCs/>
          <w:lang w:val="cs-CZ"/>
        </w:rPr>
      </w:pPr>
      <w:r w:rsidRPr="00E91209">
        <w:rPr>
          <w:lang w:val="cs-CZ"/>
        </w:rPr>
        <w:t>33.</w:t>
      </w:r>
      <w:r w:rsidRPr="00E91209">
        <w:rPr>
          <w:lang w:val="cs-CZ"/>
        </w:rPr>
        <w:tab/>
      </w:r>
      <w:r w:rsidR="00BC6E11" w:rsidRPr="00BC6E11">
        <w:rPr>
          <w:b/>
          <w:bCs/>
          <w:lang w:val="cs-CZ"/>
        </w:rPr>
        <w:t>S ohledem na rezoluci Valn</w:t>
      </w:r>
      <w:r w:rsidR="00BC6E11">
        <w:rPr>
          <w:b/>
          <w:bCs/>
          <w:lang w:val="cs-CZ"/>
        </w:rPr>
        <w:t>ého shromáždění 68/237, kterou s</w:t>
      </w:r>
      <w:r w:rsidR="00BC6E11" w:rsidRPr="00BC6E11">
        <w:rPr>
          <w:b/>
          <w:bCs/>
          <w:lang w:val="cs-CZ"/>
        </w:rPr>
        <w:t>hromáždění vyhlásilo Mezinárodní dekádu pro lidi afrického původu</w:t>
      </w:r>
      <w:r w:rsidR="00BC6E11">
        <w:rPr>
          <w:b/>
          <w:bCs/>
          <w:lang w:val="cs-CZ"/>
        </w:rPr>
        <w:t xml:space="preserve"> </w:t>
      </w:r>
      <w:r w:rsidR="00BC6E11" w:rsidRPr="00BC6E11">
        <w:rPr>
          <w:b/>
          <w:bCs/>
          <w:lang w:val="cs-CZ"/>
        </w:rPr>
        <w:t>2015–2024</w:t>
      </w:r>
      <w:r w:rsidR="00BC6E11" w:rsidRPr="00BC6E11">
        <w:rPr>
          <w:b/>
          <w:bCs/>
          <w:lang w:val="cs-CZ"/>
        </w:rPr>
        <w:t>, a rezo</w:t>
      </w:r>
      <w:r w:rsidR="00BC6E11">
        <w:rPr>
          <w:b/>
          <w:bCs/>
          <w:lang w:val="cs-CZ"/>
        </w:rPr>
        <w:t>luci s</w:t>
      </w:r>
      <w:r w:rsidR="00BC6E11" w:rsidRPr="00BC6E11">
        <w:rPr>
          <w:b/>
          <w:bCs/>
          <w:lang w:val="cs-CZ"/>
        </w:rPr>
        <w:t>hromáždění 69/16 o programu činností k realizaci Dekády, Výbor doporuč</w:t>
      </w:r>
      <w:r w:rsidR="00BC6E11">
        <w:rPr>
          <w:b/>
          <w:bCs/>
          <w:lang w:val="cs-CZ"/>
        </w:rPr>
        <w:t xml:space="preserve">uje, aby smluvní strana připravila a </w:t>
      </w:r>
      <w:r w:rsidR="00C43C62">
        <w:rPr>
          <w:b/>
          <w:bCs/>
          <w:lang w:val="cs-CZ"/>
        </w:rPr>
        <w:t>naplnila</w:t>
      </w:r>
      <w:r w:rsidR="00BC6E11" w:rsidRPr="00BC6E11">
        <w:rPr>
          <w:b/>
          <w:bCs/>
          <w:lang w:val="cs-CZ"/>
        </w:rPr>
        <w:t xml:space="preserve"> vhodný program opatření a politik. Výbor požaduje, aby smluvní strana zahrnula do své příští zprávy přesné informace o konkrétních opatřeních přijatých v tomto rámci, s přihlédnutím ke svému obecnému doporučení č. 34 (2011) o rasové diskriminaci osob afrického původu.</w:t>
      </w:r>
    </w:p>
    <w:p w:rsidR="00753625" w:rsidRPr="00E91209" w:rsidRDefault="00753625" w:rsidP="00D95020">
      <w:pPr>
        <w:pStyle w:val="H23G"/>
        <w:rPr>
          <w:lang w:val="cs-CZ"/>
        </w:rPr>
      </w:pPr>
      <w:r w:rsidRPr="00E91209">
        <w:rPr>
          <w:lang w:val="cs-CZ"/>
        </w:rPr>
        <w:tab/>
      </w:r>
      <w:r w:rsidRPr="00E91209">
        <w:rPr>
          <w:lang w:val="cs-CZ"/>
        </w:rPr>
        <w:tab/>
      </w:r>
      <w:r w:rsidR="008A564C">
        <w:rPr>
          <w:lang w:val="cs-CZ"/>
        </w:rPr>
        <w:t>K</w:t>
      </w:r>
      <w:r w:rsidRPr="00E91209">
        <w:rPr>
          <w:lang w:val="cs-CZ"/>
        </w:rPr>
        <w:t>on</w:t>
      </w:r>
      <w:r w:rsidR="008A564C">
        <w:rPr>
          <w:lang w:val="cs-CZ"/>
        </w:rPr>
        <w:t>z</w:t>
      </w:r>
      <w:r w:rsidRPr="00E91209">
        <w:rPr>
          <w:lang w:val="cs-CZ"/>
        </w:rPr>
        <w:t>ulta</w:t>
      </w:r>
      <w:r w:rsidR="008A564C">
        <w:rPr>
          <w:lang w:val="cs-CZ"/>
        </w:rPr>
        <w:t>ce</w:t>
      </w:r>
      <w:r w:rsidRPr="00E91209">
        <w:rPr>
          <w:lang w:val="cs-CZ"/>
        </w:rPr>
        <w:t xml:space="preserve"> </w:t>
      </w:r>
      <w:r w:rsidR="008A564C">
        <w:rPr>
          <w:lang w:val="cs-CZ"/>
        </w:rPr>
        <w:t>s občanskou společností</w:t>
      </w:r>
    </w:p>
    <w:p w:rsidR="00753625" w:rsidRPr="00E91209" w:rsidRDefault="00753625" w:rsidP="00753625">
      <w:pPr>
        <w:pStyle w:val="SingleTxtG"/>
        <w:rPr>
          <w:b/>
          <w:bCs/>
          <w:lang w:val="cs-CZ"/>
        </w:rPr>
      </w:pPr>
      <w:r w:rsidRPr="00E91209">
        <w:rPr>
          <w:lang w:val="cs-CZ"/>
        </w:rPr>
        <w:t>34.</w:t>
      </w:r>
      <w:r w:rsidRPr="00E91209">
        <w:rPr>
          <w:lang w:val="cs-CZ"/>
        </w:rPr>
        <w:tab/>
      </w:r>
      <w:r w:rsidR="008A564C" w:rsidRPr="008A564C">
        <w:rPr>
          <w:b/>
          <w:bCs/>
          <w:lang w:val="cs-CZ"/>
        </w:rPr>
        <w:t xml:space="preserve">Výbor doporučuje, aby smluvní strana pokračovala v konzultacích a prohlubování dialogu s organizacemi občanské společnosti působícími v oblasti ochrany lidských práv, zejména těmi, které pracují v boji proti rasové diskriminaci, v souvislosti s přípravou příští periodické zprávy a v návaznosti na </w:t>
      </w:r>
      <w:r w:rsidR="008A564C">
        <w:rPr>
          <w:b/>
          <w:bCs/>
          <w:lang w:val="cs-CZ"/>
        </w:rPr>
        <w:t>současná závěrečná</w:t>
      </w:r>
      <w:r w:rsidR="008A564C" w:rsidRPr="008A564C">
        <w:rPr>
          <w:b/>
          <w:bCs/>
          <w:lang w:val="cs-CZ"/>
        </w:rPr>
        <w:t xml:space="preserve"> </w:t>
      </w:r>
      <w:r w:rsidR="008A564C">
        <w:rPr>
          <w:b/>
          <w:bCs/>
          <w:lang w:val="cs-CZ"/>
        </w:rPr>
        <w:t>doporučení</w:t>
      </w:r>
      <w:r w:rsidR="008A564C" w:rsidRPr="008A564C">
        <w:rPr>
          <w:b/>
          <w:bCs/>
          <w:lang w:val="cs-CZ"/>
        </w:rPr>
        <w:t>.</w:t>
      </w:r>
    </w:p>
    <w:p w:rsidR="00753625" w:rsidRPr="00E91209" w:rsidRDefault="00753625" w:rsidP="00D95020">
      <w:pPr>
        <w:pStyle w:val="H23G"/>
        <w:rPr>
          <w:lang w:val="cs-CZ"/>
        </w:rPr>
      </w:pPr>
      <w:r w:rsidRPr="00E91209">
        <w:rPr>
          <w:lang w:val="cs-CZ"/>
        </w:rPr>
        <w:tab/>
      </w:r>
      <w:r w:rsidRPr="00E91209">
        <w:rPr>
          <w:lang w:val="cs-CZ"/>
        </w:rPr>
        <w:tab/>
      </w:r>
      <w:r w:rsidR="008A564C">
        <w:rPr>
          <w:lang w:val="cs-CZ"/>
        </w:rPr>
        <w:t>Šíření</w:t>
      </w:r>
      <w:r w:rsidRPr="00E91209">
        <w:rPr>
          <w:lang w:val="cs-CZ"/>
        </w:rPr>
        <w:t xml:space="preserve"> i</w:t>
      </w:r>
      <w:r w:rsidR="008A564C">
        <w:rPr>
          <w:lang w:val="cs-CZ"/>
        </w:rPr>
        <w:t>nformací</w:t>
      </w:r>
    </w:p>
    <w:p w:rsidR="00753625" w:rsidRPr="00E91209" w:rsidRDefault="00753625" w:rsidP="00753625">
      <w:pPr>
        <w:pStyle w:val="SingleTxtG"/>
        <w:rPr>
          <w:b/>
          <w:bCs/>
          <w:lang w:val="cs-CZ"/>
        </w:rPr>
      </w:pPr>
      <w:r w:rsidRPr="00E91209">
        <w:rPr>
          <w:lang w:val="cs-CZ"/>
        </w:rPr>
        <w:t>35.</w:t>
      </w:r>
      <w:r w:rsidRPr="00E91209">
        <w:rPr>
          <w:lang w:val="cs-CZ"/>
        </w:rPr>
        <w:tab/>
      </w:r>
      <w:r w:rsidR="008A564C" w:rsidRPr="008A564C">
        <w:rPr>
          <w:b/>
          <w:bCs/>
          <w:lang w:val="cs-CZ"/>
        </w:rPr>
        <w:t xml:space="preserve">Výbor doporučuje, aby zprávy smluvní strany byly snadno dostupné a přístupné veřejnosti v době jejich předložení a aby závěrečná </w:t>
      </w:r>
      <w:r w:rsidR="008A564C">
        <w:rPr>
          <w:b/>
          <w:bCs/>
          <w:lang w:val="cs-CZ"/>
        </w:rPr>
        <w:t>doporučení</w:t>
      </w:r>
      <w:r w:rsidR="008A564C" w:rsidRPr="008A564C">
        <w:rPr>
          <w:b/>
          <w:bCs/>
          <w:lang w:val="cs-CZ"/>
        </w:rPr>
        <w:t xml:space="preserve"> Výboru k těmto zprávám byla obdobně zpřístupněna všem státním org</w:t>
      </w:r>
      <w:r w:rsidR="008A564C">
        <w:rPr>
          <w:b/>
          <w:bCs/>
          <w:lang w:val="cs-CZ"/>
        </w:rPr>
        <w:t>ánům pověřeným prováděním Úmluvy</w:t>
      </w:r>
      <w:r w:rsidR="008A564C" w:rsidRPr="008A564C">
        <w:rPr>
          <w:b/>
          <w:bCs/>
          <w:lang w:val="cs-CZ"/>
        </w:rPr>
        <w:t>, včetně obcí, a zveřejněná na webových stránkách příslušných ministerstev, v úředním a případně v dalších běžně používaných jazycích.</w:t>
      </w:r>
    </w:p>
    <w:p w:rsidR="00753625" w:rsidRPr="00E91209" w:rsidRDefault="008A564C" w:rsidP="00D95020">
      <w:pPr>
        <w:pStyle w:val="H23G"/>
        <w:rPr>
          <w:lang w:val="cs-CZ"/>
        </w:rPr>
      </w:pPr>
      <w:r>
        <w:rPr>
          <w:lang w:val="cs-CZ"/>
        </w:rPr>
        <w:tab/>
      </w:r>
      <w:r>
        <w:rPr>
          <w:lang w:val="cs-CZ"/>
        </w:rPr>
        <w:tab/>
      </w:r>
      <w:r w:rsidRPr="008A564C">
        <w:rPr>
          <w:lang w:val="cs-CZ"/>
        </w:rPr>
        <w:t>Společný základní dokument</w:t>
      </w:r>
    </w:p>
    <w:p w:rsidR="00753625" w:rsidRPr="00E91209" w:rsidRDefault="00753625" w:rsidP="00753625">
      <w:pPr>
        <w:pStyle w:val="SingleTxtG"/>
        <w:rPr>
          <w:b/>
          <w:bCs/>
          <w:lang w:val="cs-CZ"/>
        </w:rPr>
      </w:pPr>
      <w:r w:rsidRPr="00E91209">
        <w:rPr>
          <w:lang w:val="cs-CZ"/>
        </w:rPr>
        <w:t>36.</w:t>
      </w:r>
      <w:r w:rsidRPr="00E91209">
        <w:rPr>
          <w:lang w:val="cs-CZ"/>
        </w:rPr>
        <w:tab/>
      </w:r>
      <w:r w:rsidR="008A564C" w:rsidRPr="008A564C">
        <w:rPr>
          <w:b/>
          <w:bCs/>
          <w:lang w:val="cs-CZ"/>
        </w:rPr>
        <w:t xml:space="preserve">Výbor vyzývá smluvní stranu, aby aktualizovala svůj společný základní dokument, který pochází z 25. ledna 2010, v souladu s harmonizovanými pokyny pro podávání zpráv </w:t>
      </w:r>
      <w:r w:rsidR="00A90DF7">
        <w:rPr>
          <w:b/>
          <w:bCs/>
          <w:lang w:val="cs-CZ"/>
        </w:rPr>
        <w:t>o plněné</w:t>
      </w:r>
      <w:r w:rsidR="008A564C" w:rsidRPr="008A564C">
        <w:rPr>
          <w:b/>
          <w:bCs/>
          <w:lang w:val="cs-CZ"/>
        </w:rPr>
        <w:t xml:space="preserve"> mezinárodních smluv o lidských právech, zejména s těmi, které se týkají společného základního dokumentu, přijatého na pátém </w:t>
      </w:r>
      <w:r w:rsidR="00A90DF7">
        <w:rPr>
          <w:b/>
          <w:bCs/>
          <w:lang w:val="cs-CZ"/>
        </w:rPr>
        <w:t xml:space="preserve">mezivýborovém </w:t>
      </w:r>
      <w:r w:rsidR="008A564C" w:rsidRPr="008A564C">
        <w:rPr>
          <w:b/>
          <w:bCs/>
          <w:lang w:val="cs-CZ"/>
        </w:rPr>
        <w:lastRenderedPageBreak/>
        <w:t xml:space="preserve">zasedání </w:t>
      </w:r>
      <w:r w:rsidR="00A90DF7">
        <w:rPr>
          <w:b/>
          <w:bCs/>
          <w:lang w:val="cs-CZ"/>
        </w:rPr>
        <w:t xml:space="preserve">lidskoprávních smluvních </w:t>
      </w:r>
      <w:r w:rsidR="008A564C" w:rsidRPr="008A564C">
        <w:rPr>
          <w:b/>
          <w:bCs/>
          <w:lang w:val="cs-CZ"/>
        </w:rPr>
        <w:t>výboru konané</w:t>
      </w:r>
      <w:r w:rsidR="00A90DF7">
        <w:rPr>
          <w:b/>
          <w:bCs/>
          <w:lang w:val="cs-CZ"/>
        </w:rPr>
        <w:t>m</w:t>
      </w:r>
      <w:r w:rsidR="008A564C" w:rsidRPr="008A564C">
        <w:rPr>
          <w:b/>
          <w:bCs/>
          <w:lang w:val="cs-CZ"/>
        </w:rPr>
        <w:t xml:space="preserve"> v červnu 2006 (HRI/GEN/2/Rev.6, kap. I). Ve světle rezoluce Valného shromáždění 68/268 Výbor vyzývá smluvní stranu, aby dodržela limit 42 400 slov pro takov</w:t>
      </w:r>
      <w:r w:rsidR="00A90DF7">
        <w:rPr>
          <w:b/>
          <w:bCs/>
          <w:lang w:val="cs-CZ"/>
        </w:rPr>
        <w:t>ý dokument</w:t>
      </w:r>
      <w:r w:rsidR="008A564C" w:rsidRPr="008A564C">
        <w:rPr>
          <w:b/>
          <w:bCs/>
          <w:lang w:val="cs-CZ"/>
        </w:rPr>
        <w:t>.</w:t>
      </w:r>
    </w:p>
    <w:p w:rsidR="00753625" w:rsidRPr="00E91209" w:rsidRDefault="00753625" w:rsidP="00D95020">
      <w:pPr>
        <w:pStyle w:val="H23G"/>
        <w:rPr>
          <w:lang w:val="cs-CZ"/>
        </w:rPr>
      </w:pPr>
      <w:r w:rsidRPr="00E91209">
        <w:rPr>
          <w:lang w:val="cs-CZ"/>
        </w:rPr>
        <w:tab/>
      </w:r>
      <w:r w:rsidRPr="00E91209">
        <w:rPr>
          <w:lang w:val="cs-CZ"/>
        </w:rPr>
        <w:tab/>
      </w:r>
      <w:r w:rsidR="00A90DF7" w:rsidRPr="00A90DF7">
        <w:rPr>
          <w:lang w:val="cs-CZ"/>
        </w:rPr>
        <w:t xml:space="preserve">Následná opatření k současným závěrečným </w:t>
      </w:r>
      <w:r w:rsidR="00A90DF7">
        <w:rPr>
          <w:lang w:val="cs-CZ"/>
        </w:rPr>
        <w:t>doporučením</w:t>
      </w:r>
    </w:p>
    <w:p w:rsidR="00753625" w:rsidRPr="00E91209" w:rsidRDefault="00753625" w:rsidP="00753625">
      <w:pPr>
        <w:pStyle w:val="SingleTxtG"/>
        <w:rPr>
          <w:b/>
          <w:bCs/>
          <w:lang w:val="cs-CZ"/>
        </w:rPr>
      </w:pPr>
      <w:r w:rsidRPr="00E91209">
        <w:rPr>
          <w:lang w:val="cs-CZ"/>
        </w:rPr>
        <w:t>37.</w:t>
      </w:r>
      <w:r w:rsidRPr="00E91209">
        <w:rPr>
          <w:lang w:val="cs-CZ"/>
        </w:rPr>
        <w:tab/>
      </w:r>
      <w:r w:rsidR="00C43C62">
        <w:rPr>
          <w:b/>
          <w:bCs/>
          <w:lang w:val="cs-CZ"/>
        </w:rPr>
        <w:t>V souladu s článkem 9 odst. 1</w:t>
      </w:r>
      <w:r w:rsidR="00C43C62" w:rsidRPr="00C43C62">
        <w:rPr>
          <w:b/>
          <w:bCs/>
          <w:lang w:val="cs-CZ"/>
        </w:rPr>
        <w:t xml:space="preserve"> Úmluvy a pravidlem 65 svého jednacího řádu Výbor žádá smluvní stranu, aby do jednoho roku od přijetí těchto závěrečných </w:t>
      </w:r>
      <w:r w:rsidR="00C43C62">
        <w:rPr>
          <w:b/>
          <w:bCs/>
          <w:lang w:val="cs-CZ"/>
        </w:rPr>
        <w:t xml:space="preserve">doporučení poskytla informace o svém plnění </w:t>
      </w:r>
      <w:r w:rsidR="00C43C62" w:rsidRPr="00C43C62">
        <w:rPr>
          <w:b/>
          <w:bCs/>
          <w:lang w:val="cs-CZ"/>
        </w:rPr>
        <w:t>doporučení obsažených v odstavc</w:t>
      </w:r>
      <w:r w:rsidR="00C43C62">
        <w:rPr>
          <w:b/>
          <w:bCs/>
          <w:lang w:val="cs-CZ"/>
        </w:rPr>
        <w:t>ích</w:t>
      </w:r>
      <w:r w:rsidR="00C43C62" w:rsidRPr="00C43C62">
        <w:rPr>
          <w:b/>
          <w:bCs/>
          <w:lang w:val="cs-CZ"/>
        </w:rPr>
        <w:t xml:space="preserve"> 10 (národní instituce pro lidská práva), 16 (b) (zóny bez dávek na bydlení) a 20 (nucená sterilizace) výše.</w:t>
      </w:r>
    </w:p>
    <w:p w:rsidR="00753625" w:rsidRPr="00E91209" w:rsidRDefault="00753625" w:rsidP="00D95020">
      <w:pPr>
        <w:pStyle w:val="H23G"/>
        <w:rPr>
          <w:lang w:val="cs-CZ"/>
        </w:rPr>
      </w:pPr>
      <w:r w:rsidRPr="00E91209">
        <w:rPr>
          <w:lang w:val="cs-CZ"/>
        </w:rPr>
        <w:tab/>
      </w:r>
      <w:r w:rsidRPr="00E91209">
        <w:rPr>
          <w:lang w:val="cs-CZ"/>
        </w:rPr>
        <w:tab/>
      </w:r>
      <w:r w:rsidR="00C43C62" w:rsidRPr="00C43C62">
        <w:rPr>
          <w:lang w:val="cs-CZ"/>
        </w:rPr>
        <w:t>Odstavce zvláštní důležitosti</w:t>
      </w:r>
    </w:p>
    <w:p w:rsidR="00753625" w:rsidRPr="00E91209" w:rsidRDefault="00753625" w:rsidP="00753625">
      <w:pPr>
        <w:pStyle w:val="SingleTxtG"/>
        <w:rPr>
          <w:b/>
          <w:bCs/>
          <w:lang w:val="cs-CZ"/>
        </w:rPr>
      </w:pPr>
      <w:r w:rsidRPr="00E91209">
        <w:rPr>
          <w:lang w:val="cs-CZ"/>
        </w:rPr>
        <w:t>38.</w:t>
      </w:r>
      <w:r w:rsidRPr="00E91209">
        <w:rPr>
          <w:lang w:val="cs-CZ"/>
        </w:rPr>
        <w:tab/>
      </w:r>
      <w:r w:rsidR="00C43C62" w:rsidRPr="00C43C62">
        <w:rPr>
          <w:b/>
          <w:bCs/>
          <w:lang w:val="cs-CZ"/>
        </w:rPr>
        <w:t>Výbor by rád upozornil smluvní stranu na zvláštní důležitost doporučení obsažených v odstavcích 12 (rasistické nenávistné projevy), 14 (rasově motivované trestné činy), 16 (situace Romů), 18 (b) (segregované školy) a 22 (</w:t>
      </w:r>
      <w:r w:rsidR="00C43C62">
        <w:rPr>
          <w:b/>
          <w:bCs/>
          <w:lang w:val="cs-CZ"/>
        </w:rPr>
        <w:t>zajišťování</w:t>
      </w:r>
      <w:r w:rsidR="00C43C62" w:rsidRPr="00C43C62">
        <w:rPr>
          <w:b/>
          <w:bCs/>
          <w:lang w:val="cs-CZ"/>
        </w:rPr>
        <w:t xml:space="preserve"> dětí) výše a žádá smluvní stranu, aby ve své příští periodické zprávě poskytla podrobné informace o konkrétních opatřeních přijatých k realizaci těchto doporučení.</w:t>
      </w:r>
    </w:p>
    <w:p w:rsidR="00753625" w:rsidRPr="00E91209" w:rsidRDefault="00753625" w:rsidP="00D95020">
      <w:pPr>
        <w:pStyle w:val="H23G"/>
        <w:rPr>
          <w:lang w:val="cs-CZ"/>
        </w:rPr>
      </w:pPr>
      <w:r w:rsidRPr="00E91209">
        <w:rPr>
          <w:lang w:val="cs-CZ"/>
        </w:rPr>
        <w:tab/>
      </w:r>
      <w:r w:rsidRPr="00E91209">
        <w:rPr>
          <w:lang w:val="cs-CZ"/>
        </w:rPr>
        <w:tab/>
      </w:r>
      <w:r w:rsidR="00C43C62">
        <w:rPr>
          <w:lang w:val="cs-CZ"/>
        </w:rPr>
        <w:t>Příprava</w:t>
      </w:r>
      <w:r w:rsidRPr="00E91209">
        <w:rPr>
          <w:lang w:val="cs-CZ"/>
        </w:rPr>
        <w:t xml:space="preserve"> </w:t>
      </w:r>
      <w:r w:rsidR="00C43C62">
        <w:rPr>
          <w:lang w:val="cs-CZ"/>
        </w:rPr>
        <w:t xml:space="preserve">další </w:t>
      </w:r>
      <w:r w:rsidRPr="00E91209">
        <w:rPr>
          <w:lang w:val="cs-CZ"/>
        </w:rPr>
        <w:t>periodic</w:t>
      </w:r>
      <w:r w:rsidR="00C43C62">
        <w:rPr>
          <w:lang w:val="cs-CZ"/>
        </w:rPr>
        <w:t>k</w:t>
      </w:r>
      <w:bookmarkStart w:id="0" w:name="_GoBack"/>
      <w:bookmarkEnd w:id="0"/>
      <w:r w:rsidR="00C43C62">
        <w:rPr>
          <w:lang w:val="cs-CZ"/>
        </w:rPr>
        <w:t xml:space="preserve">é zprávy </w:t>
      </w:r>
    </w:p>
    <w:p w:rsidR="00753625" w:rsidRPr="00E91209" w:rsidRDefault="00753625" w:rsidP="00753625">
      <w:pPr>
        <w:pStyle w:val="SingleTxtG"/>
        <w:rPr>
          <w:b/>
          <w:bCs/>
          <w:lang w:val="cs-CZ"/>
        </w:rPr>
      </w:pPr>
      <w:r w:rsidRPr="00E91209">
        <w:rPr>
          <w:lang w:val="cs-CZ"/>
        </w:rPr>
        <w:t>39.</w:t>
      </w:r>
      <w:r w:rsidRPr="00E91209">
        <w:rPr>
          <w:lang w:val="cs-CZ"/>
        </w:rPr>
        <w:tab/>
      </w:r>
      <w:r w:rsidR="003B7C1C" w:rsidRPr="003B7C1C">
        <w:rPr>
          <w:b/>
          <w:bCs/>
          <w:lang w:val="cs-CZ"/>
        </w:rPr>
        <w:t>Výbor doporučuje, aby smluvní strana předložila sv</w:t>
      </w:r>
      <w:r w:rsidR="003B7C1C">
        <w:rPr>
          <w:b/>
          <w:bCs/>
          <w:lang w:val="cs-CZ"/>
        </w:rPr>
        <w:t>ou spojenou čtrnáctou a patnáctou periodickou</w:t>
      </w:r>
      <w:r w:rsidR="003B7C1C" w:rsidRPr="003B7C1C">
        <w:rPr>
          <w:b/>
          <w:bCs/>
          <w:lang w:val="cs-CZ"/>
        </w:rPr>
        <w:t xml:space="preserve"> zprávy jako jediný dokument do 24. března 2022 s přihlédnutím k pokynům pro podávání zpráv přijatým výborem na jeho 71. zasedání (CERD/C/2007/1 ) a zabývá se všemi body vznesenými v těchto závěrečných připomínkách. Ve světle rezoluce Valného shromáždění 68/268 Výbor vyzývá smluvní stranu, aby dodržela limit 21 200 slov pro periodické zprávy a 42 400 slov pro společný základní dokument.</w:t>
      </w:r>
    </w:p>
    <w:p w:rsidR="00B907E9" w:rsidRPr="00E91209" w:rsidRDefault="00753625" w:rsidP="00753625">
      <w:pPr>
        <w:pStyle w:val="SingleTxtG"/>
        <w:spacing w:before="240"/>
        <w:jc w:val="center"/>
        <w:rPr>
          <w:lang w:val="cs-CZ"/>
        </w:rPr>
      </w:pPr>
      <w:r w:rsidRPr="00E91209">
        <w:rPr>
          <w:u w:val="single"/>
          <w:lang w:val="cs-CZ"/>
        </w:rPr>
        <w:tab/>
      </w:r>
      <w:r w:rsidRPr="00E91209">
        <w:rPr>
          <w:u w:val="single"/>
          <w:lang w:val="cs-CZ"/>
        </w:rPr>
        <w:tab/>
      </w:r>
      <w:r w:rsidRPr="00E91209">
        <w:rPr>
          <w:u w:val="single"/>
          <w:lang w:val="cs-CZ"/>
        </w:rPr>
        <w:tab/>
      </w:r>
    </w:p>
    <w:sectPr w:rsidR="00B907E9" w:rsidRPr="00E91209" w:rsidSect="00CB1FB9">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02" w:rsidRPr="00A0297D" w:rsidRDefault="00C71402" w:rsidP="00A0297D">
      <w:pPr>
        <w:pStyle w:val="Zpat"/>
      </w:pPr>
    </w:p>
  </w:endnote>
  <w:endnote w:type="continuationSeparator" w:id="0">
    <w:p w:rsidR="00C71402" w:rsidRPr="00A0297D" w:rsidRDefault="00C71402" w:rsidP="00A0297D">
      <w:pPr>
        <w:pStyle w:val="Zpa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4D" w:rsidRDefault="004F694D" w:rsidP="00B907E9">
    <w:pPr>
      <w:pStyle w:val="Zpat"/>
      <w:tabs>
        <w:tab w:val="right" w:pos="9638"/>
      </w:tabs>
    </w:pPr>
    <w:r w:rsidRPr="004F694D">
      <w:rPr>
        <w:b/>
        <w:bCs/>
        <w:sz w:val="18"/>
      </w:rPr>
      <w:fldChar w:fldCharType="begin"/>
    </w:r>
    <w:r w:rsidRPr="004F694D">
      <w:rPr>
        <w:b/>
        <w:bCs/>
        <w:sz w:val="18"/>
      </w:rPr>
      <w:instrText xml:space="preserve"> PAGE  \* MERGEFORMAT </w:instrText>
    </w:r>
    <w:r w:rsidRPr="004F694D">
      <w:rPr>
        <w:b/>
        <w:bCs/>
        <w:sz w:val="18"/>
      </w:rPr>
      <w:fldChar w:fldCharType="separate"/>
    </w:r>
    <w:r w:rsidR="00CC4A4D">
      <w:rPr>
        <w:b/>
        <w:bCs/>
        <w:noProof/>
        <w:sz w:val="18"/>
      </w:rPr>
      <w:t>8</w:t>
    </w:r>
    <w:r w:rsidRPr="004F694D">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4D" w:rsidRDefault="004F694D" w:rsidP="004F694D">
    <w:pPr>
      <w:pStyle w:val="Zpat"/>
      <w:tabs>
        <w:tab w:val="right" w:pos="9638"/>
      </w:tabs>
    </w:pPr>
    <w:r>
      <w:tab/>
    </w:r>
    <w:r w:rsidRPr="004F694D">
      <w:rPr>
        <w:b/>
        <w:bCs/>
        <w:sz w:val="18"/>
      </w:rPr>
      <w:fldChar w:fldCharType="begin"/>
    </w:r>
    <w:r w:rsidRPr="004F694D">
      <w:rPr>
        <w:b/>
        <w:bCs/>
        <w:sz w:val="18"/>
      </w:rPr>
      <w:instrText xml:space="preserve"> PAGE  \* MERGEFORMAT </w:instrText>
    </w:r>
    <w:r w:rsidRPr="004F694D">
      <w:rPr>
        <w:b/>
        <w:bCs/>
        <w:sz w:val="18"/>
      </w:rPr>
      <w:fldChar w:fldCharType="separate"/>
    </w:r>
    <w:r w:rsidR="00CC4A4D">
      <w:rPr>
        <w:b/>
        <w:bCs/>
        <w:noProof/>
        <w:sz w:val="18"/>
      </w:rPr>
      <w:t>7</w:t>
    </w:r>
    <w:r w:rsidRPr="004F694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B3" w:rsidRDefault="007028B3" w:rsidP="007028B3">
    <w:pPr>
      <w:pStyle w:val="Zpat"/>
    </w:pPr>
    <w:r>
      <w:rPr>
        <w:noProof/>
        <w:lang w:val="cs-CZ" w:eastAsia="cs-CZ"/>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028B3" w:rsidRDefault="007028B3" w:rsidP="007028B3">
    <w:pPr>
      <w:pStyle w:val="Zpat"/>
      <w:ind w:right="1134"/>
      <w:rPr>
        <w:sz w:val="20"/>
      </w:rPr>
    </w:pPr>
    <w:r>
      <w:rPr>
        <w:sz w:val="20"/>
      </w:rPr>
      <w:t>GE.19-16095(E)</w:t>
    </w:r>
  </w:p>
  <w:p w:rsidR="007028B3" w:rsidRPr="007028B3" w:rsidRDefault="007028B3" w:rsidP="007028B3">
    <w:pPr>
      <w:pStyle w:val="Zpat"/>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cs-CZ" w:eastAsia="cs-CZ"/>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ERD/C/CZE/CO/12-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ERD/C/CZE/CO/12-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02" w:rsidRPr="00A0297D" w:rsidRDefault="00C71402" w:rsidP="00A0297D">
      <w:pPr>
        <w:tabs>
          <w:tab w:val="right" w:pos="2155"/>
        </w:tabs>
        <w:spacing w:after="80" w:line="240" w:lineRule="auto"/>
        <w:ind w:left="680"/>
      </w:pPr>
      <w:r>
        <w:rPr>
          <w:u w:val="single"/>
        </w:rPr>
        <w:tab/>
      </w:r>
    </w:p>
  </w:footnote>
  <w:footnote w:type="continuationSeparator" w:id="0">
    <w:p w:rsidR="00C71402" w:rsidRPr="00A0297D" w:rsidRDefault="00C71402" w:rsidP="00A0297D">
      <w:pPr>
        <w:tabs>
          <w:tab w:val="right" w:pos="2155"/>
        </w:tabs>
        <w:spacing w:after="80" w:line="240" w:lineRule="auto"/>
        <w:ind w:left="680"/>
      </w:pPr>
      <w:r>
        <w:rPr>
          <w:u w:val="single"/>
        </w:rPr>
        <w:tab/>
      </w:r>
    </w:p>
  </w:footnote>
  <w:footnote w:id="1">
    <w:p w:rsidR="00B046BD" w:rsidRPr="00E91209" w:rsidRDefault="00B046BD">
      <w:pPr>
        <w:pStyle w:val="Textpoznpodarou"/>
        <w:rPr>
          <w:lang w:val="cs-CZ"/>
        </w:rPr>
      </w:pPr>
      <w:r w:rsidRPr="00E91209">
        <w:rPr>
          <w:rStyle w:val="Znakapoznpodarou"/>
          <w:lang w:val="cs-CZ"/>
        </w:rPr>
        <w:tab/>
      </w:r>
      <w:r w:rsidRPr="00E91209">
        <w:rPr>
          <w:rStyle w:val="Znakapoznpodarou"/>
          <w:sz w:val="20"/>
          <w:vertAlign w:val="baseline"/>
          <w:lang w:val="cs-CZ"/>
        </w:rPr>
        <w:t>*</w:t>
      </w:r>
      <w:r w:rsidRPr="00E91209">
        <w:rPr>
          <w:rStyle w:val="Znakapoznpodarou"/>
          <w:sz w:val="20"/>
          <w:vertAlign w:val="baseline"/>
          <w:lang w:val="cs-CZ"/>
        </w:rPr>
        <w:tab/>
      </w:r>
      <w:r w:rsidR="00E91209" w:rsidRPr="00E91209">
        <w:rPr>
          <w:sz w:val="20"/>
          <w:lang w:val="cs-CZ"/>
        </w:rPr>
        <w:t xml:space="preserve">Přijato výborem </w:t>
      </w:r>
      <w:r w:rsidR="00E91209">
        <w:rPr>
          <w:sz w:val="20"/>
          <w:lang w:val="cs-CZ"/>
        </w:rPr>
        <w:t xml:space="preserve">na devadesátém devátém zasedání </w:t>
      </w:r>
      <w:r w:rsidR="00E91209" w:rsidRPr="00E91209">
        <w:rPr>
          <w:sz w:val="20"/>
          <w:lang w:val="cs-CZ"/>
        </w:rPr>
        <w:t>(5.–29. srpna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4D" w:rsidRDefault="004F694D" w:rsidP="004F694D">
    <w:pPr>
      <w:pStyle w:val="Zhlav"/>
    </w:pPr>
    <w:r>
      <w:t>CERD/C/CZE/CO/12-13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4D" w:rsidRDefault="004F694D" w:rsidP="004F694D">
    <w:pPr>
      <w:pStyle w:val="Zhlav"/>
      <w:jc w:val="right"/>
    </w:pPr>
    <w:r>
      <w:t>CERD/C/CZE/CO/12-13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8" w:nlCheck="1" w:checkStyle="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2A6"/>
    <w:rsid w:val="00002128"/>
    <w:rsid w:val="00046E92"/>
    <w:rsid w:val="00051A80"/>
    <w:rsid w:val="00082C8B"/>
    <w:rsid w:val="000F4527"/>
    <w:rsid w:val="00151CE7"/>
    <w:rsid w:val="00163DC0"/>
    <w:rsid w:val="0017568D"/>
    <w:rsid w:val="00175B04"/>
    <w:rsid w:val="00191B9B"/>
    <w:rsid w:val="00192523"/>
    <w:rsid w:val="001C1EC7"/>
    <w:rsid w:val="001E1E51"/>
    <w:rsid w:val="00247E2C"/>
    <w:rsid w:val="0025001F"/>
    <w:rsid w:val="002D6C53"/>
    <w:rsid w:val="002E5F7C"/>
    <w:rsid w:val="002F5595"/>
    <w:rsid w:val="00307688"/>
    <w:rsid w:val="00334F6A"/>
    <w:rsid w:val="00342AC8"/>
    <w:rsid w:val="003A12A6"/>
    <w:rsid w:val="003B4550"/>
    <w:rsid w:val="003B7C1C"/>
    <w:rsid w:val="003E16CE"/>
    <w:rsid w:val="00461253"/>
    <w:rsid w:val="004A74BE"/>
    <w:rsid w:val="004D4906"/>
    <w:rsid w:val="004F694D"/>
    <w:rsid w:val="005042C2"/>
    <w:rsid w:val="00506EE4"/>
    <w:rsid w:val="00516702"/>
    <w:rsid w:val="00525A72"/>
    <w:rsid w:val="00557F19"/>
    <w:rsid w:val="005F6DA2"/>
    <w:rsid w:val="0063702B"/>
    <w:rsid w:val="00671529"/>
    <w:rsid w:val="00697DF1"/>
    <w:rsid w:val="006C73B9"/>
    <w:rsid w:val="007028B3"/>
    <w:rsid w:val="007268F9"/>
    <w:rsid w:val="00735147"/>
    <w:rsid w:val="00753625"/>
    <w:rsid w:val="007C52B0"/>
    <w:rsid w:val="007F19C8"/>
    <w:rsid w:val="00883988"/>
    <w:rsid w:val="008A564C"/>
    <w:rsid w:val="008A6E21"/>
    <w:rsid w:val="008B3B5C"/>
    <w:rsid w:val="008E0F96"/>
    <w:rsid w:val="009411B4"/>
    <w:rsid w:val="009D0139"/>
    <w:rsid w:val="009F5CDC"/>
    <w:rsid w:val="00A0297D"/>
    <w:rsid w:val="00A775CF"/>
    <w:rsid w:val="00A90DF7"/>
    <w:rsid w:val="00B046BD"/>
    <w:rsid w:val="00B06045"/>
    <w:rsid w:val="00B84C72"/>
    <w:rsid w:val="00B907E9"/>
    <w:rsid w:val="00BA7874"/>
    <w:rsid w:val="00BC6E11"/>
    <w:rsid w:val="00C01462"/>
    <w:rsid w:val="00C235BC"/>
    <w:rsid w:val="00C35A27"/>
    <w:rsid w:val="00C43C62"/>
    <w:rsid w:val="00C71402"/>
    <w:rsid w:val="00C81C4B"/>
    <w:rsid w:val="00CB1FB9"/>
    <w:rsid w:val="00CC4A4D"/>
    <w:rsid w:val="00D95020"/>
    <w:rsid w:val="00DA7116"/>
    <w:rsid w:val="00DF62FB"/>
    <w:rsid w:val="00E02C2B"/>
    <w:rsid w:val="00E83E7B"/>
    <w:rsid w:val="00E91209"/>
    <w:rsid w:val="00EA099D"/>
    <w:rsid w:val="00ED6C48"/>
    <w:rsid w:val="00EF1552"/>
    <w:rsid w:val="00EF4744"/>
    <w:rsid w:val="00F0661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7E146"/>
  <w15:docId w15:val="{5E3BD1C9-1E05-4732-9413-4441C888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688"/>
    <w:pPr>
      <w:suppressAutoHyphens/>
      <w:spacing w:after="0" w:line="240" w:lineRule="atLeast"/>
    </w:pPr>
    <w:rPr>
      <w:rFonts w:ascii="Times New Roman" w:eastAsia="Times New Roman" w:hAnsi="Times New Roman" w:cs="Times New Roman"/>
      <w:sz w:val="20"/>
      <w:szCs w:val="20"/>
      <w:lang w:eastAsia="en-US"/>
    </w:rPr>
  </w:style>
  <w:style w:type="paragraph" w:styleId="Nadpis1">
    <w:name w:val="heading 1"/>
    <w:aliases w:val="Table_G"/>
    <w:basedOn w:val="SingleTxtG"/>
    <w:next w:val="SingleTxtG"/>
    <w:link w:val="Nadpis1Char"/>
    <w:semiHidden/>
    <w:rsid w:val="007268F9"/>
    <w:pPr>
      <w:spacing w:after="0" w:line="240" w:lineRule="auto"/>
      <w:ind w:right="0"/>
      <w:jc w:val="left"/>
      <w:outlineLvl w:val="0"/>
    </w:pPr>
  </w:style>
  <w:style w:type="paragraph" w:styleId="Nadpis2">
    <w:name w:val="heading 2"/>
    <w:basedOn w:val="Normln"/>
    <w:next w:val="Normln"/>
    <w:link w:val="Nadpis2Char"/>
    <w:semiHidden/>
    <w:rsid w:val="007268F9"/>
    <w:pPr>
      <w:spacing w:line="240" w:lineRule="auto"/>
      <w:outlineLvl w:val="1"/>
    </w:pPr>
    <w:rPr>
      <w:rFonts w:eastAsia="SimSun"/>
      <w:lang w:eastAsia="zh-CN"/>
    </w:rPr>
  </w:style>
  <w:style w:type="paragraph" w:styleId="Nadpis3">
    <w:name w:val="heading 3"/>
    <w:basedOn w:val="Normln"/>
    <w:next w:val="Normln"/>
    <w:link w:val="Nadpis3Char"/>
    <w:semiHidden/>
    <w:rsid w:val="007268F9"/>
    <w:pPr>
      <w:spacing w:line="240" w:lineRule="auto"/>
      <w:outlineLvl w:val="2"/>
    </w:pPr>
    <w:rPr>
      <w:rFonts w:eastAsia="SimSun"/>
      <w:lang w:eastAsia="zh-CN"/>
    </w:rPr>
  </w:style>
  <w:style w:type="paragraph" w:styleId="Nadpis4">
    <w:name w:val="heading 4"/>
    <w:basedOn w:val="Normln"/>
    <w:next w:val="Normln"/>
    <w:link w:val="Nadpis4Char"/>
    <w:semiHidden/>
    <w:rsid w:val="007268F9"/>
    <w:pPr>
      <w:spacing w:line="240" w:lineRule="auto"/>
      <w:outlineLvl w:val="3"/>
    </w:pPr>
    <w:rPr>
      <w:rFonts w:eastAsia="SimSun"/>
      <w:lang w:eastAsia="zh-CN"/>
    </w:rPr>
  </w:style>
  <w:style w:type="paragraph" w:styleId="Nadpis5">
    <w:name w:val="heading 5"/>
    <w:basedOn w:val="Normln"/>
    <w:next w:val="Normln"/>
    <w:link w:val="Nadpis5Char"/>
    <w:semiHidden/>
    <w:rsid w:val="007268F9"/>
    <w:pPr>
      <w:spacing w:line="240" w:lineRule="auto"/>
      <w:outlineLvl w:val="4"/>
    </w:pPr>
    <w:rPr>
      <w:rFonts w:eastAsia="SimSun"/>
      <w:lang w:eastAsia="zh-CN"/>
    </w:rPr>
  </w:style>
  <w:style w:type="paragraph" w:styleId="Nadpis6">
    <w:name w:val="heading 6"/>
    <w:basedOn w:val="Normln"/>
    <w:next w:val="Normln"/>
    <w:link w:val="Nadpis6Char"/>
    <w:semiHidden/>
    <w:rsid w:val="007268F9"/>
    <w:pPr>
      <w:spacing w:line="240" w:lineRule="auto"/>
      <w:outlineLvl w:val="5"/>
    </w:pPr>
    <w:rPr>
      <w:rFonts w:eastAsia="SimSun"/>
      <w:lang w:eastAsia="zh-CN"/>
    </w:rPr>
  </w:style>
  <w:style w:type="paragraph" w:styleId="Nadpis7">
    <w:name w:val="heading 7"/>
    <w:basedOn w:val="Normln"/>
    <w:next w:val="Normln"/>
    <w:link w:val="Nadpis7Char"/>
    <w:semiHidden/>
    <w:rsid w:val="007268F9"/>
    <w:pPr>
      <w:spacing w:line="240" w:lineRule="auto"/>
      <w:outlineLvl w:val="6"/>
    </w:pPr>
    <w:rPr>
      <w:rFonts w:eastAsia="SimSun"/>
      <w:lang w:eastAsia="zh-CN"/>
    </w:rPr>
  </w:style>
  <w:style w:type="paragraph" w:styleId="Nadpis8">
    <w:name w:val="heading 8"/>
    <w:basedOn w:val="Normln"/>
    <w:next w:val="Normln"/>
    <w:link w:val="Nadpis8Char"/>
    <w:semiHidden/>
    <w:rsid w:val="007268F9"/>
    <w:pPr>
      <w:spacing w:line="240" w:lineRule="auto"/>
      <w:outlineLvl w:val="7"/>
    </w:pPr>
    <w:rPr>
      <w:rFonts w:eastAsia="SimSun"/>
      <w:lang w:eastAsia="zh-CN"/>
    </w:rPr>
  </w:style>
  <w:style w:type="paragraph" w:styleId="Nadpis9">
    <w:name w:val="heading 9"/>
    <w:basedOn w:val="Normln"/>
    <w:next w:val="Normln"/>
    <w:link w:val="Nadpis9Char"/>
    <w:semiHidden/>
    <w:rsid w:val="007268F9"/>
    <w:pPr>
      <w:spacing w:line="240" w:lineRule="auto"/>
      <w:outlineLvl w:val="8"/>
    </w:pPr>
    <w:rPr>
      <w:rFonts w:eastAsia="SimSu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6_G"/>
    <w:basedOn w:val="Normln"/>
    <w:link w:val="ZhlavChar"/>
    <w:semiHidden/>
    <w:rsid w:val="007268F9"/>
    <w:pPr>
      <w:pBdr>
        <w:bottom w:val="single" w:sz="4" w:space="4" w:color="auto"/>
      </w:pBdr>
      <w:spacing w:line="240" w:lineRule="auto"/>
    </w:pPr>
    <w:rPr>
      <w:rFonts w:eastAsia="SimSun"/>
      <w:b/>
      <w:sz w:val="18"/>
      <w:lang w:eastAsia="zh-CN"/>
    </w:rPr>
  </w:style>
  <w:style w:type="character" w:customStyle="1" w:styleId="ZhlavChar">
    <w:name w:val="Záhlaví Char"/>
    <w:aliases w:val="6_G Char"/>
    <w:basedOn w:val="Standardnpsmoodstavce"/>
    <w:link w:val="Zhlav"/>
    <w:semiHidden/>
    <w:rsid w:val="003B4550"/>
    <w:rPr>
      <w:rFonts w:ascii="Times New Roman" w:hAnsi="Times New Roman" w:cs="Times New Roman"/>
      <w:b/>
      <w:sz w:val="18"/>
      <w:szCs w:val="20"/>
    </w:rPr>
  </w:style>
  <w:style w:type="paragraph" w:styleId="Zpat">
    <w:name w:val="footer"/>
    <w:aliases w:val="3_G"/>
    <w:basedOn w:val="Normln"/>
    <w:link w:val="ZpatChar"/>
    <w:rsid w:val="007268F9"/>
    <w:pPr>
      <w:spacing w:line="240" w:lineRule="auto"/>
    </w:pPr>
    <w:rPr>
      <w:rFonts w:eastAsia="SimSun"/>
      <w:sz w:val="16"/>
      <w:lang w:eastAsia="zh-CN"/>
    </w:rPr>
  </w:style>
  <w:style w:type="character" w:customStyle="1" w:styleId="ZpatChar">
    <w:name w:val="Zápatí Char"/>
    <w:aliases w:val="3_G Char"/>
    <w:basedOn w:val="Standardnpsmoodstavce"/>
    <w:link w:val="Zpat"/>
    <w:rsid w:val="00247E2C"/>
    <w:rPr>
      <w:rFonts w:ascii="Times New Roman" w:eastAsia="SimSun" w:hAnsi="Times New Roman" w:cs="Times New Roman"/>
      <w:sz w:val="16"/>
      <w:szCs w:val="20"/>
    </w:rPr>
  </w:style>
  <w:style w:type="paragraph" w:customStyle="1" w:styleId="HMG">
    <w:name w:val="_ H __M_G"/>
    <w:basedOn w:val="Normln"/>
    <w:next w:val="Normln"/>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ln"/>
    <w:next w:val="Normln"/>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ln"/>
    <w:rsid w:val="007268F9"/>
    <w:pPr>
      <w:spacing w:after="120"/>
      <w:ind w:left="1134" w:right="1134"/>
      <w:jc w:val="both"/>
    </w:pPr>
    <w:rPr>
      <w:rFonts w:eastAsia="SimSun"/>
      <w:lang w:eastAsia="zh-CN"/>
    </w:rPr>
  </w:style>
  <w:style w:type="paragraph" w:customStyle="1" w:styleId="SLG">
    <w:name w:val="__S_L_G"/>
    <w:basedOn w:val="Normln"/>
    <w:next w:val="Normln"/>
    <w:rsid w:val="007268F9"/>
    <w:pPr>
      <w:keepNext/>
      <w:keepLines/>
      <w:spacing w:before="240" w:after="240" w:line="580" w:lineRule="exact"/>
      <w:ind w:left="1134" w:right="1134"/>
    </w:pPr>
    <w:rPr>
      <w:b/>
      <w:sz w:val="56"/>
    </w:rPr>
  </w:style>
  <w:style w:type="paragraph" w:customStyle="1" w:styleId="SMG">
    <w:name w:val="__S_M_G"/>
    <w:basedOn w:val="Normln"/>
    <w:next w:val="Normln"/>
    <w:rsid w:val="007268F9"/>
    <w:pPr>
      <w:keepNext/>
      <w:keepLines/>
      <w:spacing w:before="240" w:after="240" w:line="420" w:lineRule="exact"/>
      <w:ind w:left="1134" w:right="1134"/>
    </w:pPr>
    <w:rPr>
      <w:b/>
      <w:sz w:val="40"/>
    </w:rPr>
  </w:style>
  <w:style w:type="paragraph" w:customStyle="1" w:styleId="SSG">
    <w:name w:val="__S_S_G"/>
    <w:basedOn w:val="Normln"/>
    <w:next w:val="Normln"/>
    <w:rsid w:val="007268F9"/>
    <w:pPr>
      <w:keepNext/>
      <w:keepLines/>
      <w:spacing w:before="240" w:after="240" w:line="300" w:lineRule="exact"/>
      <w:ind w:left="1134" w:right="1134"/>
    </w:pPr>
    <w:rPr>
      <w:b/>
      <w:sz w:val="28"/>
    </w:rPr>
  </w:style>
  <w:style w:type="paragraph" w:customStyle="1" w:styleId="XLargeG">
    <w:name w:val="__XLarge_G"/>
    <w:basedOn w:val="Normln"/>
    <w:next w:val="Normln"/>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ln"/>
    <w:rsid w:val="007268F9"/>
    <w:pPr>
      <w:numPr>
        <w:numId w:val="1"/>
      </w:numPr>
      <w:spacing w:after="120"/>
      <w:ind w:right="1134"/>
      <w:jc w:val="both"/>
    </w:pPr>
  </w:style>
  <w:style w:type="paragraph" w:customStyle="1" w:styleId="Bullet2G">
    <w:name w:val="_Bullet 2_G"/>
    <w:basedOn w:val="Normln"/>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Bezseznamu"/>
    <w:semiHidden/>
    <w:rsid w:val="007268F9"/>
    <w:pPr>
      <w:numPr>
        <w:numId w:val="5"/>
      </w:numPr>
    </w:pPr>
  </w:style>
  <w:style w:type="numbering" w:styleId="1ai">
    <w:name w:val="Outline List 1"/>
    <w:basedOn w:val="Bezseznamu"/>
    <w:semiHidden/>
    <w:rsid w:val="007268F9"/>
    <w:pPr>
      <w:numPr>
        <w:numId w:val="6"/>
      </w:numPr>
    </w:pPr>
  </w:style>
  <w:style w:type="character" w:styleId="Odkaznavysvtlivky">
    <w:name w:val="endnote reference"/>
    <w:aliases w:val="1_G"/>
    <w:rsid w:val="007268F9"/>
    <w:rPr>
      <w:rFonts w:ascii="Times New Roman" w:hAnsi="Times New Roman"/>
      <w:sz w:val="18"/>
      <w:vertAlign w:val="superscript"/>
    </w:rPr>
  </w:style>
  <w:style w:type="paragraph" w:styleId="Textpoznpodarou">
    <w:name w:val="footnote text"/>
    <w:aliases w:val="5_G"/>
    <w:basedOn w:val="Normln"/>
    <w:link w:val="TextpoznpodarouChar"/>
    <w:rsid w:val="007268F9"/>
    <w:pPr>
      <w:tabs>
        <w:tab w:val="right" w:pos="1021"/>
      </w:tabs>
      <w:spacing w:line="220" w:lineRule="exact"/>
      <w:ind w:left="1134" w:right="1134" w:hanging="1134"/>
    </w:pPr>
    <w:rPr>
      <w:rFonts w:eastAsia="SimSun"/>
      <w:sz w:val="18"/>
      <w:lang w:eastAsia="zh-CN"/>
    </w:rPr>
  </w:style>
  <w:style w:type="character" w:customStyle="1" w:styleId="TextpoznpodarouChar">
    <w:name w:val="Text pozn. pod čarou Char"/>
    <w:aliases w:val="5_G Char"/>
    <w:basedOn w:val="Standardnpsmoodstavce"/>
    <w:link w:val="Textpoznpodarou"/>
    <w:rsid w:val="007268F9"/>
    <w:rPr>
      <w:rFonts w:ascii="Times New Roman" w:eastAsia="SimSun" w:hAnsi="Times New Roman" w:cs="Times New Roman"/>
      <w:sz w:val="18"/>
      <w:szCs w:val="20"/>
    </w:rPr>
  </w:style>
  <w:style w:type="paragraph" w:styleId="Textvysvtlivek">
    <w:name w:val="endnote text"/>
    <w:aliases w:val="2_G"/>
    <w:basedOn w:val="Textpoznpodarou"/>
    <w:link w:val="TextvysvtlivekChar"/>
    <w:rsid w:val="007268F9"/>
  </w:style>
  <w:style w:type="character" w:customStyle="1" w:styleId="TextvysvtlivekChar">
    <w:name w:val="Text vysvětlivek Char"/>
    <w:aliases w:val="2_G Char"/>
    <w:basedOn w:val="Standardnpsmoodstavce"/>
    <w:link w:val="Textvysvtlivek"/>
    <w:rsid w:val="007268F9"/>
    <w:rPr>
      <w:rFonts w:ascii="Times New Roman" w:eastAsia="SimSun" w:hAnsi="Times New Roman" w:cs="Times New Roman"/>
      <w:sz w:val="18"/>
      <w:szCs w:val="20"/>
    </w:rPr>
  </w:style>
  <w:style w:type="character" w:styleId="Znakapoznpodarou">
    <w:name w:val="footnote reference"/>
    <w:aliases w:val="4_G"/>
    <w:rsid w:val="007268F9"/>
    <w:rPr>
      <w:rFonts w:ascii="Times New Roman" w:hAnsi="Times New Roman"/>
      <w:sz w:val="18"/>
      <w:vertAlign w:val="superscript"/>
    </w:rPr>
  </w:style>
  <w:style w:type="character" w:customStyle="1" w:styleId="Nadpis1Char">
    <w:name w:val="Nadpis 1 Char"/>
    <w:aliases w:val="Table_G Char"/>
    <w:basedOn w:val="Standardnpsmoodstavce"/>
    <w:link w:val="Nadpis1"/>
    <w:semiHidden/>
    <w:rsid w:val="003B4550"/>
    <w:rPr>
      <w:rFonts w:ascii="Times New Roman" w:hAnsi="Times New Roman" w:cs="Times New Roman"/>
      <w:sz w:val="20"/>
      <w:szCs w:val="20"/>
    </w:rPr>
  </w:style>
  <w:style w:type="character" w:customStyle="1" w:styleId="Nadpis2Char">
    <w:name w:val="Nadpis 2 Char"/>
    <w:basedOn w:val="Standardnpsmoodstavce"/>
    <w:link w:val="Nadpis2"/>
    <w:semiHidden/>
    <w:rsid w:val="003B4550"/>
    <w:rPr>
      <w:rFonts w:ascii="Times New Roman" w:hAnsi="Times New Roman" w:cs="Times New Roman"/>
      <w:sz w:val="20"/>
      <w:szCs w:val="20"/>
    </w:rPr>
  </w:style>
  <w:style w:type="character" w:customStyle="1" w:styleId="Nadpis3Char">
    <w:name w:val="Nadpis 3 Char"/>
    <w:basedOn w:val="Standardnpsmoodstavce"/>
    <w:link w:val="Nadpis3"/>
    <w:semiHidden/>
    <w:rsid w:val="003B4550"/>
    <w:rPr>
      <w:rFonts w:ascii="Times New Roman" w:hAnsi="Times New Roman" w:cs="Times New Roman"/>
      <w:sz w:val="20"/>
      <w:szCs w:val="20"/>
    </w:rPr>
  </w:style>
  <w:style w:type="character" w:customStyle="1" w:styleId="Nadpis4Char">
    <w:name w:val="Nadpis 4 Char"/>
    <w:basedOn w:val="Standardnpsmoodstavce"/>
    <w:link w:val="Nadpis4"/>
    <w:semiHidden/>
    <w:rsid w:val="003B4550"/>
    <w:rPr>
      <w:rFonts w:ascii="Times New Roman" w:hAnsi="Times New Roman" w:cs="Times New Roman"/>
      <w:sz w:val="20"/>
      <w:szCs w:val="20"/>
    </w:rPr>
  </w:style>
  <w:style w:type="character" w:customStyle="1" w:styleId="Nadpis5Char">
    <w:name w:val="Nadpis 5 Char"/>
    <w:basedOn w:val="Standardnpsmoodstavce"/>
    <w:link w:val="Nadpis5"/>
    <w:semiHidden/>
    <w:rsid w:val="003B4550"/>
    <w:rPr>
      <w:rFonts w:ascii="Times New Roman" w:hAnsi="Times New Roman" w:cs="Times New Roman"/>
      <w:sz w:val="20"/>
      <w:szCs w:val="20"/>
    </w:rPr>
  </w:style>
  <w:style w:type="character" w:customStyle="1" w:styleId="Nadpis6Char">
    <w:name w:val="Nadpis 6 Char"/>
    <w:basedOn w:val="Standardnpsmoodstavce"/>
    <w:link w:val="Nadpis6"/>
    <w:semiHidden/>
    <w:rsid w:val="003B4550"/>
    <w:rPr>
      <w:rFonts w:ascii="Times New Roman" w:hAnsi="Times New Roman" w:cs="Times New Roman"/>
      <w:sz w:val="20"/>
      <w:szCs w:val="20"/>
    </w:rPr>
  </w:style>
  <w:style w:type="character" w:customStyle="1" w:styleId="Nadpis7Char">
    <w:name w:val="Nadpis 7 Char"/>
    <w:basedOn w:val="Standardnpsmoodstavce"/>
    <w:link w:val="Nadpis7"/>
    <w:semiHidden/>
    <w:rsid w:val="003B4550"/>
    <w:rPr>
      <w:rFonts w:ascii="Times New Roman" w:hAnsi="Times New Roman" w:cs="Times New Roman"/>
      <w:sz w:val="20"/>
      <w:szCs w:val="20"/>
    </w:rPr>
  </w:style>
  <w:style w:type="character" w:customStyle="1" w:styleId="Nadpis8Char">
    <w:name w:val="Nadpis 8 Char"/>
    <w:basedOn w:val="Standardnpsmoodstavce"/>
    <w:link w:val="Nadpis8"/>
    <w:semiHidden/>
    <w:rsid w:val="003B4550"/>
    <w:rPr>
      <w:rFonts w:ascii="Times New Roman" w:hAnsi="Times New Roman" w:cs="Times New Roman"/>
      <w:sz w:val="20"/>
      <w:szCs w:val="20"/>
    </w:rPr>
  </w:style>
  <w:style w:type="character" w:customStyle="1" w:styleId="Nadpis9Char">
    <w:name w:val="Nadpis 9 Char"/>
    <w:basedOn w:val="Standardnpsmoodstavce"/>
    <w:link w:val="Nadpis9"/>
    <w:semiHidden/>
    <w:rsid w:val="003B4550"/>
    <w:rPr>
      <w:rFonts w:ascii="Times New Roman" w:hAnsi="Times New Roman" w:cs="Times New Roman"/>
      <w:sz w:val="20"/>
      <w:szCs w:val="20"/>
    </w:rPr>
  </w:style>
  <w:style w:type="character" w:styleId="slostrnky">
    <w:name w:val="page number"/>
    <w:aliases w:val="7_G"/>
    <w:semiHidden/>
    <w:rsid w:val="007268F9"/>
    <w:rPr>
      <w:rFonts w:ascii="Times New Roman" w:hAnsi="Times New Roman"/>
      <w:b/>
      <w:sz w:val="18"/>
    </w:rPr>
  </w:style>
  <w:style w:type="character" w:styleId="Nzevknihy">
    <w:name w:val="Book Title"/>
    <w:basedOn w:val="Standardnpsmoodstavce"/>
    <w:uiPriority w:val="33"/>
    <w:semiHidden/>
    <w:rsid w:val="007268F9"/>
    <w:rPr>
      <w:b/>
      <w:bCs/>
      <w:smallCaps/>
      <w:spacing w:val="5"/>
    </w:rPr>
  </w:style>
  <w:style w:type="table" w:styleId="Mkatabulky">
    <w:name w:val="Table Grid"/>
    <w:basedOn w:val="Normlntabulka"/>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076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768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C631-BF05-4C24-899F-AD499291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CERD.dotm</Template>
  <TotalTime>170</TotalTime>
  <Pages>8</Pages>
  <Words>3601</Words>
  <Characters>20531</Characters>
  <Application>Microsoft Office Word</Application>
  <DocSecurity>0</DocSecurity>
  <Lines>293</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CERD/C/CZE/CO/12-13</vt:lpstr>
      <vt:lpstr>CERD/C/CZE/CO/12-13</vt:lpstr>
    </vt:vector>
  </TitlesOfParts>
  <Company>DCM</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CERD/C/CZE/CO/12-13</dc:title>
  <dc:subject>1916095</dc:subject>
  <dc:creator>Indra</dc:creator>
  <cp:keywords/>
  <dc:description/>
  <cp:lastModifiedBy>Machačka Jakub</cp:lastModifiedBy>
  <cp:revision>11</cp:revision>
  <dcterms:created xsi:type="dcterms:W3CDTF">2019-09-19T12:49:00Z</dcterms:created>
  <dcterms:modified xsi:type="dcterms:W3CDTF">2022-01-24T18:11:00Z</dcterms:modified>
</cp:coreProperties>
</file>