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Tr="009E6CB7">
        <w:trPr>
          <w:cantSplit/>
          <w:trHeight w:hRule="exact" w:val="851"/>
        </w:trPr>
        <w:tc>
          <w:tcPr>
            <w:tcW w:w="1276" w:type="dxa"/>
            <w:tcBorders>
              <w:bottom w:val="single" w:sz="4" w:space="0" w:color="auto"/>
            </w:tcBorders>
            <w:vAlign w:val="bottom"/>
          </w:tcPr>
          <w:p w:rsidR="009E6CB7" w:rsidRDefault="009E6CB7" w:rsidP="009E6CB7">
            <w:pPr>
              <w:spacing w:after="80"/>
            </w:pPr>
            <w:bookmarkStart w:id="0" w:name="_GoBack"/>
            <w:bookmarkEnd w:id="0"/>
          </w:p>
        </w:tc>
        <w:tc>
          <w:tcPr>
            <w:tcW w:w="2268" w:type="dxa"/>
            <w:tcBorders>
              <w:bottom w:val="single" w:sz="4" w:space="0" w:color="auto"/>
            </w:tcBorders>
            <w:vAlign w:val="bottom"/>
          </w:tcPr>
          <w:p w:rsidR="009E6CB7" w:rsidRPr="00B97172" w:rsidRDefault="009E6CB7" w:rsidP="009E6CB7">
            <w:pPr>
              <w:spacing w:after="80" w:line="300" w:lineRule="exact"/>
              <w:rPr>
                <w:b/>
                <w:sz w:val="24"/>
                <w:szCs w:val="24"/>
              </w:rPr>
            </w:pPr>
            <w:r>
              <w:rPr>
                <w:sz w:val="28"/>
                <w:szCs w:val="28"/>
              </w:rPr>
              <w:t>Organizace spojených národů</w:t>
            </w:r>
          </w:p>
        </w:tc>
        <w:tc>
          <w:tcPr>
            <w:tcW w:w="6095" w:type="dxa"/>
            <w:gridSpan w:val="2"/>
            <w:tcBorders>
              <w:bottom w:val="single" w:sz="4" w:space="0" w:color="auto"/>
            </w:tcBorders>
            <w:vAlign w:val="bottom"/>
          </w:tcPr>
          <w:p w:rsidR="009E6CB7" w:rsidRPr="00D47EEA" w:rsidRDefault="0046210E" w:rsidP="0046210E">
            <w:pPr>
              <w:jc w:val="right"/>
            </w:pPr>
            <w:r>
              <w:rPr>
                <w:sz w:val="40"/>
              </w:rPr>
              <w:t>E</w:t>
            </w:r>
            <w:r>
              <w:t>/C.12/CZE/CO/2</w:t>
            </w:r>
          </w:p>
        </w:tc>
      </w:tr>
      <w:tr w:rsidR="009E6CB7" w:rsidTr="009E6CB7">
        <w:trPr>
          <w:cantSplit/>
          <w:trHeight w:hRule="exact" w:val="2835"/>
        </w:trPr>
        <w:tc>
          <w:tcPr>
            <w:tcW w:w="1276" w:type="dxa"/>
            <w:tcBorders>
              <w:top w:val="single" w:sz="4" w:space="0" w:color="auto"/>
              <w:bottom w:val="single" w:sz="12" w:space="0" w:color="auto"/>
            </w:tcBorders>
          </w:tcPr>
          <w:p w:rsidR="009E6CB7" w:rsidRDefault="00DA1893" w:rsidP="009E6CB7">
            <w:pPr>
              <w:spacing w:before="120"/>
            </w:pPr>
            <w:r>
              <w:rPr>
                <w:noProof/>
                <w:lang w:eastAsia="cs-CZ"/>
              </w:rPr>
              <w:drawing>
                <wp:inline distT="0" distB="0" distL="0" distR="0">
                  <wp:extent cx="715645" cy="588645"/>
                  <wp:effectExtent l="0" t="0" r="8255" b="1905"/>
                  <wp:docPr id="1" name="obrázek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45C4" w:rsidRDefault="009E6CB7" w:rsidP="002F73A3">
            <w:pPr>
              <w:spacing w:before="120" w:line="420" w:lineRule="exact"/>
              <w:rPr>
                <w:b/>
                <w:sz w:val="40"/>
                <w:szCs w:val="40"/>
              </w:rPr>
            </w:pPr>
            <w:r>
              <w:rPr>
                <w:b/>
                <w:sz w:val="40"/>
                <w:szCs w:val="40"/>
              </w:rPr>
              <w:t>Hospodářská a sociální rada</w:t>
            </w:r>
          </w:p>
          <w:p w:rsidR="007145C4" w:rsidRPr="00164A78" w:rsidRDefault="007145C4" w:rsidP="007145C4">
            <w:pPr>
              <w:spacing w:line="420" w:lineRule="exact"/>
              <w:jc w:val="center"/>
              <w:rPr>
                <w:b/>
                <w:sz w:val="28"/>
                <w:szCs w:val="28"/>
              </w:rPr>
            </w:pPr>
          </w:p>
        </w:tc>
        <w:tc>
          <w:tcPr>
            <w:tcW w:w="2835" w:type="dxa"/>
            <w:tcBorders>
              <w:top w:val="single" w:sz="4" w:space="0" w:color="auto"/>
              <w:bottom w:val="single" w:sz="12" w:space="0" w:color="auto"/>
            </w:tcBorders>
          </w:tcPr>
          <w:p w:rsidR="009E6CB7" w:rsidRDefault="0046210E" w:rsidP="0046210E">
            <w:pPr>
              <w:spacing w:before="240" w:line="240" w:lineRule="exact"/>
            </w:pPr>
            <w:r>
              <w:t>Distr.: Všeobecná</w:t>
            </w:r>
          </w:p>
          <w:p w:rsidR="0046210E" w:rsidRDefault="000E47BC" w:rsidP="0046210E">
            <w:pPr>
              <w:spacing w:line="240" w:lineRule="exact"/>
            </w:pPr>
            <w:r>
              <w:t>pondělí 23. června 2014</w:t>
            </w:r>
          </w:p>
          <w:p w:rsidR="0046210E" w:rsidRDefault="0046210E" w:rsidP="0046210E">
            <w:pPr>
              <w:spacing w:line="240" w:lineRule="exact"/>
            </w:pPr>
          </w:p>
          <w:p w:rsidR="0046210E" w:rsidRDefault="0046210E" w:rsidP="0046210E">
            <w:pPr>
              <w:spacing w:line="240" w:lineRule="exact"/>
            </w:pPr>
            <w:r>
              <w:t>Originál: anglický</w:t>
            </w:r>
          </w:p>
        </w:tc>
      </w:tr>
    </w:tbl>
    <w:p w:rsidR="0046210E" w:rsidRPr="0046210E" w:rsidRDefault="0046210E" w:rsidP="0046210E">
      <w:pPr>
        <w:spacing w:before="120"/>
        <w:rPr>
          <w:rFonts w:cs="Angsana New"/>
        </w:rPr>
      </w:pPr>
      <w:r>
        <w:rPr>
          <w:b/>
          <w:sz w:val="24"/>
          <w:szCs w:val="24"/>
        </w:rPr>
        <w:t>Výbor pro hospodářská, sociální a kulturní práva</w:t>
      </w:r>
      <w:r>
        <w:rPr>
          <w:noProof/>
          <w:lang w:eastAsia="cs-CZ"/>
        </w:rPr>
        <w:drawing>
          <wp:anchor distT="0" distB="0" distL="114300" distR="114300" simplePos="0" relativeHeight="251657728" behindDoc="0" locked="0" layoutInCell="1" allowOverlap="0">
            <wp:simplePos x="0" y="0"/>
            <wp:positionH relativeFrom="margin">
              <wp:posOffset>5493385</wp:posOffset>
            </wp:positionH>
            <wp:positionV relativeFrom="margin">
              <wp:posOffset>7919720</wp:posOffset>
            </wp:positionV>
            <wp:extent cx="638175" cy="638175"/>
            <wp:effectExtent l="0" t="0" r="9525" b="9525"/>
            <wp:wrapNone/>
            <wp:docPr id="3" name="obrázek 2" descr="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p w:rsidR="00734AE1" w:rsidRPr="00834110" w:rsidRDefault="0046210E" w:rsidP="0046210E">
      <w:pPr>
        <w:pStyle w:val="HChG"/>
        <w:rPr>
          <w:b w:val="0"/>
          <w:bCs/>
          <w:sz w:val="20"/>
        </w:rPr>
      </w:pPr>
      <w:r>
        <w:tab/>
      </w:r>
      <w:r>
        <w:tab/>
        <w:t xml:space="preserve">Závěrečná doporučení ke </w:t>
      </w:r>
      <w:r>
        <w:rPr>
          <w:rFonts w:ascii="Times New Roman Bold" w:hAnsi="Times New Roman Bold"/>
          <w:color w:val="000000"/>
        </w:rPr>
        <w:t>druhé periodické zprávě</w:t>
      </w:r>
      <w:r>
        <w:t xml:space="preserve"> </w:t>
      </w:r>
      <w:r>
        <w:br/>
        <w:t>České republiky</w:t>
      </w:r>
      <w:r>
        <w:rPr>
          <w:rStyle w:val="Znakapoznpodarou"/>
          <w:b w:val="0"/>
          <w:bCs/>
          <w:sz w:val="20"/>
          <w:vertAlign w:val="baseline"/>
          <w:lang w:val="en-US"/>
        </w:rPr>
        <w:footnoteReference w:customMarkFollows="1" w:id="2"/>
        <w:t>*</w:t>
      </w:r>
    </w:p>
    <w:p w:rsidR="0046210E" w:rsidRPr="00834110" w:rsidRDefault="00734AE1" w:rsidP="00734AE1">
      <w:pPr>
        <w:pStyle w:val="SingleTxtG"/>
        <w:numPr>
          <w:ilvl w:val="2"/>
          <w:numId w:val="30"/>
        </w:numPr>
      </w:pPr>
      <w:r>
        <w:t>Výbor pro hospodářská, sociální a kulturní práva na svém 19. a 20. zasedání (E/C.12/2014/SR.19 a 20) konaném 9. května 2014 posoudil druhou periodickou zprávu České republiky o provádění Mezinárodního paktu o hospodářských, sociálních a</w:t>
      </w:r>
      <w:r w:rsidR="00A839AA">
        <w:t> </w:t>
      </w:r>
      <w:r>
        <w:t>kulturních právech (E/C.12/CZE/2) a na svém 40. zasedání (E/C.12/2014/SR.40) konaném dne 23. května 2014 přijal následující závěrečná doporučení.</w:t>
      </w:r>
    </w:p>
    <w:p w:rsidR="0046210E" w:rsidRPr="00834110" w:rsidRDefault="0046210E" w:rsidP="006328D5">
      <w:pPr>
        <w:pStyle w:val="H1G"/>
      </w:pPr>
      <w:r>
        <w:tab/>
        <w:t>A.</w:t>
      </w:r>
      <w:r>
        <w:tab/>
        <w:t>Úvod</w:t>
      </w:r>
    </w:p>
    <w:p w:rsidR="0046210E" w:rsidRPr="00834110" w:rsidRDefault="0046210E" w:rsidP="006D5367">
      <w:pPr>
        <w:pStyle w:val="SingleTxtG"/>
        <w:numPr>
          <w:ilvl w:val="2"/>
          <w:numId w:val="30"/>
        </w:numPr>
      </w:pPr>
      <w:r>
        <w:t>Výbor vítá předložení druhé periodické zprávy České republiky i písemných odpovědí na seznam otázek (E/C.12/CZE/Q/2/Add.1) a podrobných statistických údajů, které jsou v nich uvedeny. Výbor dále vítá příležitost jednat s meziresortní delegací smluvní strany na vysoké úrovni a oceňuje otevřený a konstruktivní dialog.</w:t>
      </w:r>
    </w:p>
    <w:p w:rsidR="0046210E" w:rsidRPr="00834110" w:rsidRDefault="0046210E" w:rsidP="006328D5">
      <w:pPr>
        <w:pStyle w:val="H1G"/>
      </w:pPr>
      <w:r>
        <w:tab/>
        <w:t>B.</w:t>
      </w:r>
      <w:r>
        <w:tab/>
        <w:t>Pozitivní aspekty</w:t>
      </w:r>
    </w:p>
    <w:p w:rsidR="0046210E" w:rsidRPr="00834110" w:rsidRDefault="0046210E" w:rsidP="006D5367">
      <w:pPr>
        <w:pStyle w:val="SingleTxtG"/>
        <w:numPr>
          <w:ilvl w:val="2"/>
          <w:numId w:val="30"/>
        </w:numPr>
      </w:pPr>
      <w:r>
        <w:t>Výbor vítá, že smluvní strana ratifikovala:</w:t>
      </w:r>
    </w:p>
    <w:p w:rsidR="0046210E" w:rsidRPr="00834110" w:rsidRDefault="007602A7" w:rsidP="007602A7">
      <w:pPr>
        <w:pStyle w:val="SingleTxtG"/>
        <w:ind w:firstLine="567"/>
      </w:pPr>
      <w:r>
        <w:t>(a)</w:t>
      </w:r>
      <w:r>
        <w:tab/>
        <w:t>Opční protokol k Úmluvě o právech dítěte týkající se prodeje dětí, dětské prostituce a dětské pornografie dne 26. srpna 2013;</w:t>
      </w:r>
    </w:p>
    <w:p w:rsidR="0046210E" w:rsidRPr="00834110" w:rsidRDefault="007602A7" w:rsidP="007602A7">
      <w:pPr>
        <w:pStyle w:val="SingleTxtG"/>
        <w:ind w:firstLine="567"/>
      </w:pPr>
      <w:r>
        <w:t>(b)</w:t>
      </w:r>
      <w:r>
        <w:tab/>
        <w:t>Úmluvu o právech osob se zdravotním postižením dne 28. září 2009;</w:t>
      </w:r>
    </w:p>
    <w:p w:rsidR="0046210E" w:rsidRPr="00834110" w:rsidRDefault="007602A7" w:rsidP="007602A7">
      <w:pPr>
        <w:pStyle w:val="SingleTxtG"/>
        <w:ind w:firstLine="567"/>
      </w:pPr>
      <w:r>
        <w:t>(c)</w:t>
      </w:r>
      <w:r>
        <w:tab/>
        <w:t>Opční protokol k Úmluvě proti mučení a jinému krutému, nelidskému či ponižujícímu zacházení nebo trestání dne 10. července 2006;</w:t>
      </w:r>
    </w:p>
    <w:p w:rsidR="0046210E" w:rsidRPr="00834110" w:rsidRDefault="007602A7" w:rsidP="007602A7">
      <w:pPr>
        <w:pStyle w:val="SingleTxtG"/>
        <w:ind w:firstLine="567"/>
      </w:pPr>
      <w:r>
        <w:t>(d)</w:t>
      </w:r>
      <w:r>
        <w:tab/>
        <w:t>Druhý opční protokol k Mezinárodnímu paktu o občanských a politických právech, jehož cílem je zrušení trestu smrti, dne 15. června 2004.</w:t>
      </w:r>
    </w:p>
    <w:p w:rsidR="0046210E" w:rsidRPr="00834110" w:rsidRDefault="0046210E" w:rsidP="006D5367">
      <w:pPr>
        <w:pStyle w:val="SingleTxtG"/>
        <w:numPr>
          <w:ilvl w:val="2"/>
          <w:numId w:val="30"/>
        </w:numPr>
      </w:pPr>
      <w:r>
        <w:t>Výbor vítá následující legislativní a politická opatření přijatá smluvní stranou:</w:t>
      </w:r>
    </w:p>
    <w:p w:rsidR="0046210E" w:rsidRPr="00834110" w:rsidRDefault="003504F8" w:rsidP="007602A7">
      <w:pPr>
        <w:pStyle w:val="SingleTxtG"/>
        <w:ind w:firstLine="567"/>
      </w:pPr>
      <w:r>
        <w:t>(a)</w:t>
      </w:r>
      <w:r>
        <w:tab/>
        <w:t>přijetí trestního zákoníku</w:t>
      </w:r>
      <w:r w:rsidR="007602A7">
        <w:t xml:space="preserve"> z roku 2009, který trestá rasově motivované trestné činy,</w:t>
      </w:r>
    </w:p>
    <w:p w:rsidR="0046210E" w:rsidRPr="00834110" w:rsidRDefault="007602A7" w:rsidP="007602A7">
      <w:pPr>
        <w:pStyle w:val="SingleTxtG"/>
        <w:ind w:firstLine="567"/>
      </w:pPr>
      <w:r>
        <w:lastRenderedPageBreak/>
        <w:t>(b)</w:t>
      </w:r>
      <w:r>
        <w:tab/>
        <w:t>přijetí opatření k reformě vzdělávání a odborné přípravy umožňujících získávání dovedností odpovídajících požadavkům trhu práce,</w:t>
      </w:r>
    </w:p>
    <w:p w:rsidR="0046210E" w:rsidRPr="00834110" w:rsidRDefault="007602A7" w:rsidP="007602A7">
      <w:pPr>
        <w:pStyle w:val="SingleTxtG"/>
        <w:ind w:firstLine="567"/>
      </w:pPr>
      <w:r>
        <w:t>(c)</w:t>
      </w:r>
      <w:r>
        <w:tab/>
        <w:t>zvýšení minimální mzdy v srpnu 2013,</w:t>
      </w:r>
    </w:p>
    <w:p w:rsidR="0046210E" w:rsidRPr="00834110" w:rsidRDefault="007602A7" w:rsidP="007602A7">
      <w:pPr>
        <w:pStyle w:val="SingleTxtG"/>
        <w:ind w:firstLine="567"/>
      </w:pPr>
      <w:r>
        <w:t>(d)</w:t>
      </w:r>
      <w:r>
        <w:tab/>
        <w:t>rozšíření kapacit úřadů práce za účelem provádění aktivní politiky zaměstnanosti,</w:t>
      </w:r>
    </w:p>
    <w:p w:rsidR="0046210E" w:rsidRPr="00834110" w:rsidRDefault="007602A7" w:rsidP="007602A7">
      <w:pPr>
        <w:pStyle w:val="SingleTxtG"/>
        <w:ind w:firstLine="567"/>
      </w:pPr>
      <w:r>
        <w:t>(e)</w:t>
      </w:r>
      <w:r>
        <w:tab/>
        <w:t>přijetí první Koncepce prevence a řešení problematiky bezdomovectví do roku 2020 v srpnu 2013.</w:t>
      </w:r>
    </w:p>
    <w:p w:rsidR="0046210E" w:rsidRPr="00834110" w:rsidRDefault="0046210E" w:rsidP="006328D5">
      <w:pPr>
        <w:pStyle w:val="H1G"/>
        <w:rPr>
          <w:bCs/>
        </w:rPr>
      </w:pPr>
      <w:r>
        <w:tab/>
        <w:t>C.</w:t>
      </w:r>
      <w:r>
        <w:tab/>
        <w:t>Hlavní výhrady a doporučení</w:t>
      </w:r>
    </w:p>
    <w:p w:rsidR="0046210E" w:rsidRPr="00834110" w:rsidRDefault="0046210E" w:rsidP="006328D5">
      <w:pPr>
        <w:pStyle w:val="H23G"/>
      </w:pPr>
      <w:r>
        <w:tab/>
      </w:r>
      <w:r>
        <w:tab/>
        <w:t>Vnitrostátní uplatňování Paktu</w:t>
      </w:r>
    </w:p>
    <w:p w:rsidR="0046210E" w:rsidRPr="00834110" w:rsidRDefault="0046210E" w:rsidP="006D5367">
      <w:pPr>
        <w:pStyle w:val="SingleTxtG"/>
        <w:numPr>
          <w:ilvl w:val="2"/>
          <w:numId w:val="30"/>
        </w:numPr>
      </w:pPr>
      <w:r>
        <w:t>Pokud jde o informace poskytnuté smluvní stranou o rozhodnutích Ústavního soudu, Nejvyššího správního soudu a Nejvyššího soudu v případech týkajících se hospodářských, sociálních a kulturních práv, Výbor lituje, že smluvní strana nespecifikovala, které případy vycházejí z ustanovení Paktu. Výbor dále lituje nedostatku informací o rozhodnutích přijatých nižšími soudy a správními instancemi, která by se odvolávala na Pakt (čl. 2, odst.</w:t>
      </w:r>
      <w:r w:rsidR="00352A7E">
        <w:t> </w:t>
      </w:r>
      <w:r>
        <w:t>1).</w:t>
      </w:r>
    </w:p>
    <w:p w:rsidR="0046210E" w:rsidRPr="00834110" w:rsidRDefault="0046210E" w:rsidP="00C2068B">
      <w:pPr>
        <w:pStyle w:val="SingleTxtG"/>
        <w:rPr>
          <w:b/>
          <w:bCs/>
        </w:rPr>
      </w:pPr>
      <w:r>
        <w:rPr>
          <w:b/>
          <w:bCs/>
        </w:rPr>
        <w:t>Výbor doporučuje, aby smluvní strana v příští periodické zprávě poskytla informace o rozhodnutích přijatých soudy všech stupňů a administrativními instancemi, jež se odvolávají na Pakt. Výbor také doporučuje, aby smluvní strana zvyšovala informovanost členů justičních orgánů i široké veřejnosti o Paktu a vymahatelnosti hospodářských, sociálních a kulturních práv. Výbor upozo</w:t>
      </w:r>
      <w:r w:rsidR="00CA7EC8">
        <w:rPr>
          <w:b/>
          <w:bCs/>
        </w:rPr>
        <w:t xml:space="preserve">rňuje smluvní stranu na obecný komentář </w:t>
      </w:r>
      <w:r>
        <w:rPr>
          <w:b/>
          <w:bCs/>
        </w:rPr>
        <w:t>č. 9 (1998) týkající se vnitrostátního uplatňování Paktu.</w:t>
      </w:r>
    </w:p>
    <w:p w:rsidR="0046210E" w:rsidRPr="00834110" w:rsidRDefault="0046210E" w:rsidP="006328D5">
      <w:pPr>
        <w:pStyle w:val="H23G"/>
      </w:pPr>
      <w:r>
        <w:tab/>
      </w:r>
      <w:r>
        <w:tab/>
        <w:t>Listina základních práv a svobod</w:t>
      </w:r>
    </w:p>
    <w:p w:rsidR="0046210E" w:rsidRPr="00834110" w:rsidRDefault="0046210E" w:rsidP="006D5367">
      <w:pPr>
        <w:pStyle w:val="SingleTxtG"/>
        <w:numPr>
          <w:ilvl w:val="2"/>
          <w:numId w:val="30"/>
        </w:numPr>
      </w:pPr>
      <w:r>
        <w:t>Výbor se znepokojením konstatuje, že některé prvky práv zakotvených v Paktu, například práv uvedených v článku 11, nejsou obsaženy v Listině základních práv a svobod smluvní strany (čl. 2, odst.</w:t>
      </w:r>
      <w:r w:rsidR="00352A7E">
        <w:t> </w:t>
      </w:r>
      <w:r>
        <w:t>1).</w:t>
      </w:r>
    </w:p>
    <w:p w:rsidR="0046210E" w:rsidRPr="00834110" w:rsidRDefault="0046210E" w:rsidP="00C2068B">
      <w:pPr>
        <w:pStyle w:val="SingleTxtG"/>
        <w:rPr>
          <w:b/>
        </w:rPr>
      </w:pPr>
      <w:r>
        <w:rPr>
          <w:b/>
        </w:rPr>
        <w:t>S odvoláním na prohlášení smluvní strany, že na hospodářská, sociální a kulturní práva klade vláda stejný důraz jako na občanská a politická práva, Výbor doporučuje, aby smluvní strana začlenila všechna hospodářská, sociální a kulturní práva do své Listiny základních práv a svobod.</w:t>
      </w:r>
    </w:p>
    <w:p w:rsidR="0046210E" w:rsidRPr="00834110" w:rsidRDefault="0046210E" w:rsidP="006328D5">
      <w:pPr>
        <w:pStyle w:val="H23G"/>
      </w:pPr>
      <w:r>
        <w:tab/>
      </w:r>
      <w:r>
        <w:tab/>
        <w:t>Vnitrostátní lidskoprávní instituce</w:t>
      </w:r>
    </w:p>
    <w:p w:rsidR="0046210E" w:rsidRPr="00834110" w:rsidRDefault="0046210E" w:rsidP="006D5367">
      <w:pPr>
        <w:pStyle w:val="SingleTxtG"/>
        <w:numPr>
          <w:ilvl w:val="2"/>
          <w:numId w:val="30"/>
        </w:numPr>
      </w:pPr>
      <w:r>
        <w:t xml:space="preserve">Výbor je znepokojen, že smluvní strana nemá vnitrostátní lidskoprávní instituci, která by byla plně v souladu se zásadami týkajícími se postavení vnitrostátních lidskoprávních institucí (Pařížské </w:t>
      </w:r>
      <w:r w:rsidR="00CA7EC8">
        <w:t>principy</w:t>
      </w:r>
      <w:r>
        <w:t>) (čl. 2, odst.</w:t>
      </w:r>
      <w:r w:rsidR="00352A7E">
        <w:t> </w:t>
      </w:r>
      <w:r>
        <w:t>1).</w:t>
      </w:r>
    </w:p>
    <w:p w:rsidR="0046210E" w:rsidRPr="00834110" w:rsidRDefault="0046210E" w:rsidP="00C2068B">
      <w:pPr>
        <w:pStyle w:val="SingleTxtG"/>
        <w:rPr>
          <w:rFonts w:cs="Angsana New"/>
          <w:b/>
        </w:rPr>
      </w:pPr>
      <w:r>
        <w:rPr>
          <w:b/>
        </w:rPr>
        <w:t xml:space="preserve">Výbor doporučuje, aby smluvní strana urychlila revizi mandátu a pravomocí ombudsmana vyplývajících ze zákona č. 349/1999 Sb. ze dne 8. prosince 1999 ve znění pozdějších předpisů s cílem uvést je do souladu s Pařížskými </w:t>
      </w:r>
      <w:r w:rsidR="00033219">
        <w:rPr>
          <w:b/>
        </w:rPr>
        <w:t>principy</w:t>
      </w:r>
      <w:r>
        <w:rPr>
          <w:b/>
        </w:rPr>
        <w:t xml:space="preserve"> (rezoluce Valného shromáždění č. 48/134, příloha</w:t>
      </w:r>
      <w:r>
        <w:rPr>
          <w:b/>
          <w:bCs/>
        </w:rPr>
        <w:t>)</w:t>
      </w:r>
      <w:r>
        <w:rPr>
          <w:b/>
        </w:rPr>
        <w:t>. Dále doporučuje, aby smluvní strana zajistila, že ombudsman bude mít pravomoci v záležitostech týkajících se hospodářských, sociálních a kulturních práv</w:t>
      </w:r>
      <w:r>
        <w:rPr>
          <w:b/>
          <w:bCs/>
        </w:rPr>
        <w:t>.</w:t>
      </w:r>
      <w:r>
        <w:rPr>
          <w:b/>
        </w:rPr>
        <w:t xml:space="preserve"> Výbor navíc doporučuje, aby smluvní strana podnikla kroky k získání akreditace pro úřad ombudsmana od Mezinárodního koordinačního výboru národních institucí pro podporu a ochranu lidských práv.</w:t>
      </w:r>
    </w:p>
    <w:p w:rsidR="0046210E" w:rsidRPr="00834110" w:rsidRDefault="0046210E" w:rsidP="006328D5">
      <w:pPr>
        <w:pStyle w:val="H23G"/>
        <w:rPr>
          <w:rFonts w:cs="Angsana New"/>
          <w:bCs/>
        </w:rPr>
      </w:pPr>
      <w:r>
        <w:lastRenderedPageBreak/>
        <w:tab/>
      </w:r>
      <w:r>
        <w:tab/>
        <w:t>Nepřípustnost diskriminace</w:t>
      </w:r>
    </w:p>
    <w:p w:rsidR="0046210E" w:rsidRPr="00834110" w:rsidRDefault="0046210E" w:rsidP="006D5367">
      <w:pPr>
        <w:pStyle w:val="SingleTxtG"/>
        <w:numPr>
          <w:ilvl w:val="2"/>
          <w:numId w:val="30"/>
        </w:numPr>
        <w:rPr>
          <w:rFonts w:cs="Angsana New"/>
          <w:bCs/>
        </w:rPr>
      </w:pPr>
      <w:r>
        <w:t>Výbor se znepokojením konstatuje, že ačkoli Listina základních práv a svobod zakazuje diskriminaci na základě široké škály důvodů, příslušný prováděcí zákon, antidiskriminační zákon č. 198/2009 Sb. ze dne 23. dubna 2008, je restriktivnější. Výbor je rovněž znepokojen nízkým počtem hlášených případů diskriminace, což může být důsledkem tohoto rozporu (č. 2, odst.</w:t>
      </w:r>
      <w:r w:rsidR="00352A7E">
        <w:t> </w:t>
      </w:r>
      <w:r>
        <w:t>2).</w:t>
      </w:r>
    </w:p>
    <w:p w:rsidR="0046210E" w:rsidRPr="00834110" w:rsidRDefault="0046210E" w:rsidP="00C2068B">
      <w:pPr>
        <w:pStyle w:val="SingleTxtG"/>
        <w:rPr>
          <w:rFonts w:cs="Angsana New"/>
          <w:b/>
        </w:rPr>
      </w:pPr>
      <w:r>
        <w:rPr>
          <w:b/>
        </w:rPr>
        <w:t xml:space="preserve">Výbor doporučuje, aby smluvní strana </w:t>
      </w:r>
      <w:r w:rsidR="00033219">
        <w:rPr>
          <w:b/>
        </w:rPr>
        <w:t>novelizovala</w:t>
      </w:r>
      <w:r>
        <w:rPr>
          <w:b/>
        </w:rPr>
        <w:t xml:space="preserve"> antidiskriminační zákon s</w:t>
      </w:r>
      <w:r w:rsidR="00352A7E">
        <w:rPr>
          <w:b/>
        </w:rPr>
        <w:t> </w:t>
      </w:r>
      <w:r>
        <w:rPr>
          <w:b/>
        </w:rPr>
        <w:t>následujícími cíli:</w:t>
      </w:r>
    </w:p>
    <w:p w:rsidR="0046210E" w:rsidRPr="00834110" w:rsidRDefault="006B12FC" w:rsidP="0025775A">
      <w:pPr>
        <w:pStyle w:val="SingleTxtG"/>
        <w:ind w:firstLine="567"/>
        <w:rPr>
          <w:b/>
          <w:bCs/>
        </w:rPr>
      </w:pPr>
      <w:r>
        <w:rPr>
          <w:b/>
          <w:bCs/>
        </w:rPr>
        <w:t>(a)</w:t>
      </w:r>
      <w:r>
        <w:rPr>
          <w:b/>
          <w:bCs/>
        </w:rPr>
        <w:tab/>
        <w:t>rozšířit důvody diskriminace výslovně zakázané zákonem v souladu s</w:t>
      </w:r>
      <w:r w:rsidR="00352A7E">
        <w:rPr>
          <w:b/>
          <w:bCs/>
        </w:rPr>
        <w:t> </w:t>
      </w:r>
      <w:r>
        <w:rPr>
          <w:b/>
          <w:bCs/>
        </w:rPr>
        <w:t xml:space="preserve">článkem 2 odstavcem 2 Paktu a vzít v úvahu </w:t>
      </w:r>
      <w:r w:rsidR="00033219">
        <w:rPr>
          <w:b/>
          <w:bCs/>
        </w:rPr>
        <w:t>obecný</w:t>
      </w:r>
      <w:r>
        <w:rPr>
          <w:b/>
          <w:bCs/>
        </w:rPr>
        <w:t xml:space="preserve"> </w:t>
      </w:r>
      <w:r w:rsidR="00033219">
        <w:rPr>
          <w:b/>
          <w:bCs/>
        </w:rPr>
        <w:t>komentář</w:t>
      </w:r>
      <w:r>
        <w:rPr>
          <w:b/>
          <w:bCs/>
        </w:rPr>
        <w:t xml:space="preserve"> Výboru č. 20</w:t>
      </w:r>
      <w:r w:rsidR="00352A7E">
        <w:rPr>
          <w:b/>
          <w:bCs/>
        </w:rPr>
        <w:t> </w:t>
      </w:r>
      <w:r>
        <w:rPr>
          <w:b/>
          <w:bCs/>
        </w:rPr>
        <w:t>(2009) týkající se nepřípustnosti diskriminace v oblasti hospodářských, sociálních a</w:t>
      </w:r>
      <w:r w:rsidR="00352A7E">
        <w:rPr>
          <w:b/>
          <w:bCs/>
        </w:rPr>
        <w:t> </w:t>
      </w:r>
      <w:r w:rsidR="00033219">
        <w:rPr>
          <w:b/>
          <w:bCs/>
        </w:rPr>
        <w:t>kulturních prá</w:t>
      </w:r>
      <w:r>
        <w:rPr>
          <w:b/>
          <w:bCs/>
        </w:rPr>
        <w:t>v,</w:t>
      </w:r>
    </w:p>
    <w:p w:rsidR="0046210E" w:rsidRPr="00834110" w:rsidRDefault="006B12FC" w:rsidP="006B12FC">
      <w:pPr>
        <w:pStyle w:val="SingleTxtG"/>
        <w:ind w:firstLine="567"/>
        <w:rPr>
          <w:b/>
          <w:bCs/>
        </w:rPr>
      </w:pPr>
      <w:r>
        <w:rPr>
          <w:b/>
          <w:bCs/>
        </w:rPr>
        <w:t>(b)</w:t>
      </w:r>
      <w:r>
        <w:rPr>
          <w:b/>
          <w:bCs/>
        </w:rPr>
        <w:tab/>
        <w:t>začlenit práva vyplývající z Paktu, která v současné době nejsou zahrnuta do antidiskriminačního zákona, jako například právo na stávku nebo právo požívat výhody vědeckého pokroku a jeho aplikací,</w:t>
      </w:r>
    </w:p>
    <w:p w:rsidR="0046210E" w:rsidRPr="00834110" w:rsidRDefault="006B12FC" w:rsidP="006B12FC">
      <w:pPr>
        <w:pStyle w:val="SingleTxtG"/>
        <w:ind w:firstLine="567"/>
        <w:rPr>
          <w:b/>
          <w:bCs/>
        </w:rPr>
      </w:pPr>
      <w:r>
        <w:rPr>
          <w:b/>
          <w:bCs/>
        </w:rPr>
        <w:t>(c)</w:t>
      </w:r>
      <w:r>
        <w:rPr>
          <w:b/>
          <w:bCs/>
        </w:rPr>
        <w:tab/>
        <w:t>zajistit pro oběti diskriminace další nápravné prostředky, např. správní opravné prostředky, které by byly dosažitelné, cenově dostupné, včasné a účinné.</w:t>
      </w:r>
    </w:p>
    <w:p w:rsidR="0046210E" w:rsidRPr="00834110" w:rsidRDefault="0046210E" w:rsidP="006D5367">
      <w:pPr>
        <w:pStyle w:val="SingleTxtG"/>
        <w:rPr>
          <w:b/>
          <w:bCs/>
        </w:rPr>
      </w:pPr>
      <w:r>
        <w:rPr>
          <w:b/>
          <w:bCs/>
        </w:rPr>
        <w:t>Výbor dále doporučuje, aby smluvní strana zvyšovala informovanost veřejnosti o</w:t>
      </w:r>
      <w:r w:rsidR="00352A7E">
        <w:rPr>
          <w:b/>
          <w:bCs/>
        </w:rPr>
        <w:t> </w:t>
      </w:r>
      <w:r>
        <w:rPr>
          <w:b/>
          <w:bCs/>
        </w:rPr>
        <w:t>zákazu diskriminace a možnostech nápravy.</w:t>
      </w:r>
    </w:p>
    <w:p w:rsidR="0046210E" w:rsidRPr="00834110" w:rsidRDefault="0046210E" w:rsidP="006328D5">
      <w:pPr>
        <w:pStyle w:val="H23G"/>
      </w:pPr>
      <w:r>
        <w:tab/>
      </w:r>
      <w:r>
        <w:tab/>
        <w:t>Diskriminace Romů</w:t>
      </w:r>
    </w:p>
    <w:p w:rsidR="0046210E" w:rsidRPr="00834110" w:rsidRDefault="0046210E" w:rsidP="006D5367">
      <w:pPr>
        <w:pStyle w:val="SingleTxtG"/>
        <w:numPr>
          <w:ilvl w:val="2"/>
          <w:numId w:val="30"/>
        </w:numPr>
      </w:pPr>
      <w:r>
        <w:t>Výbor je znepokojen, že navzdory četným plánům a strategiím uplatňovaným smluvní stranou zažívají Romové i nadále rozsáhlou diskriminaci, mimo jiné v oblasti zaměstnání, vzdělávání, zdravotní péče a bydlení. Výbor také lituje nedostatku spolehlivých informací o situaci romských komunit ve státě smluvní strany. Výbor je dále znepokojen zjištěními průzkumu provedeného Sociologickým ústavem Akademie věd, že soužití romské a neromské populace je většinou respondentů vnímáno jako „špatné“ (čl. 2, odst.</w:t>
      </w:r>
      <w:r w:rsidR="00352A7E">
        <w:t> </w:t>
      </w:r>
      <w:r>
        <w:t>2).</w:t>
      </w:r>
    </w:p>
    <w:p w:rsidR="0046210E" w:rsidRPr="00834110" w:rsidRDefault="0046210E" w:rsidP="006D5367">
      <w:pPr>
        <w:pStyle w:val="SingleTxtG"/>
        <w:rPr>
          <w:b/>
          <w:bCs/>
        </w:rPr>
      </w:pPr>
      <w:r>
        <w:rPr>
          <w:b/>
          <w:bCs/>
        </w:rPr>
        <w:t>Výbor doporučuje, aby smluvní strana při řešení problémů diskriminace Romů uplatnila přístup založený na dodržování lidských práv, mimo jiné následovně:</w:t>
      </w:r>
    </w:p>
    <w:p w:rsidR="0046210E" w:rsidRPr="00834110" w:rsidRDefault="006B12FC" w:rsidP="006B12FC">
      <w:pPr>
        <w:pStyle w:val="SingleTxtG"/>
        <w:ind w:firstLine="567"/>
        <w:rPr>
          <w:b/>
          <w:bCs/>
        </w:rPr>
      </w:pPr>
      <w:r>
        <w:rPr>
          <w:b/>
          <w:bCs/>
        </w:rPr>
        <w:t>(a)</w:t>
      </w:r>
      <w:r>
        <w:rPr>
          <w:b/>
          <w:bCs/>
        </w:rPr>
        <w:tab/>
        <w:t>shromažďováním údajů o situaci Romů na základě sebeurčení,</w:t>
      </w:r>
    </w:p>
    <w:p w:rsidR="0046210E" w:rsidRPr="00834110" w:rsidRDefault="006B12FC" w:rsidP="006B12FC">
      <w:pPr>
        <w:pStyle w:val="SingleTxtG"/>
        <w:ind w:firstLine="567"/>
        <w:rPr>
          <w:b/>
          <w:bCs/>
        </w:rPr>
      </w:pPr>
      <w:r>
        <w:rPr>
          <w:b/>
          <w:bCs/>
        </w:rPr>
        <w:t>(b)</w:t>
      </w:r>
      <w:r>
        <w:rPr>
          <w:b/>
          <w:bCs/>
        </w:rPr>
        <w:tab/>
        <w:t>jasným vymezením odpovědností a přidělením odpovídajících prostředků, mimo jiné z veřejného rozpočtu, na provádění akčních plánů a strategií a</w:t>
      </w:r>
      <w:r w:rsidR="00352A7E">
        <w:rPr>
          <w:b/>
          <w:bCs/>
        </w:rPr>
        <w:t> </w:t>
      </w:r>
      <w:r>
        <w:rPr>
          <w:b/>
          <w:bCs/>
        </w:rPr>
        <w:t>pravidelným posuzováním účinnosti přijatých opatření,</w:t>
      </w:r>
    </w:p>
    <w:p w:rsidR="0046210E" w:rsidRPr="00834110" w:rsidRDefault="006B12FC" w:rsidP="006B12FC">
      <w:pPr>
        <w:pStyle w:val="SingleTxtG"/>
        <w:ind w:firstLine="567"/>
        <w:rPr>
          <w:b/>
          <w:bCs/>
        </w:rPr>
      </w:pPr>
      <w:r>
        <w:rPr>
          <w:b/>
          <w:bCs/>
        </w:rPr>
        <w:t>(c)</w:t>
      </w:r>
      <w:r>
        <w:rPr>
          <w:b/>
          <w:bCs/>
        </w:rPr>
        <w:tab/>
        <w:t>opakováním úspěšných iniciativ začleňování v dalších částech země,</w:t>
      </w:r>
    </w:p>
    <w:p w:rsidR="0046210E" w:rsidRPr="00834110" w:rsidRDefault="006B12FC" w:rsidP="006B12FC">
      <w:pPr>
        <w:pStyle w:val="SingleTxtG"/>
        <w:ind w:firstLine="567"/>
        <w:rPr>
          <w:b/>
          <w:bCs/>
        </w:rPr>
      </w:pPr>
      <w:r>
        <w:rPr>
          <w:b/>
          <w:bCs/>
        </w:rPr>
        <w:t>(d)</w:t>
      </w:r>
      <w:r>
        <w:rPr>
          <w:b/>
          <w:bCs/>
        </w:rPr>
        <w:tab/>
        <w:t>přijímáním opatření zaměřených na řešení nedůvěry Romů k veřejným institucím, mimo jiné zvyšováním povědomí o jejich hospodářských, sociálních a</w:t>
      </w:r>
      <w:r w:rsidR="00352A7E">
        <w:rPr>
          <w:b/>
          <w:bCs/>
        </w:rPr>
        <w:t> </w:t>
      </w:r>
      <w:r>
        <w:rPr>
          <w:b/>
          <w:bCs/>
        </w:rPr>
        <w:t>kulturních právech a zapojováním zástupců Romů do nalézání řešení,</w:t>
      </w:r>
    </w:p>
    <w:p w:rsidR="0046210E" w:rsidRPr="00834110" w:rsidRDefault="0025775A" w:rsidP="006B12FC">
      <w:pPr>
        <w:pStyle w:val="SingleTxtG"/>
        <w:ind w:firstLine="567"/>
        <w:rPr>
          <w:b/>
          <w:bCs/>
        </w:rPr>
      </w:pPr>
      <w:r>
        <w:rPr>
          <w:b/>
          <w:bCs/>
        </w:rPr>
        <w:t>(e)</w:t>
      </w:r>
      <w:r>
        <w:rPr>
          <w:b/>
          <w:bCs/>
        </w:rPr>
        <w:tab/>
        <w:t>překonáváním negativních předsudků a stereotypů, které patří k</w:t>
      </w:r>
      <w:r w:rsidR="00352A7E">
        <w:rPr>
          <w:b/>
          <w:bCs/>
        </w:rPr>
        <w:t> </w:t>
      </w:r>
      <w:r>
        <w:rPr>
          <w:b/>
          <w:bCs/>
        </w:rPr>
        <w:t>základním příčinám systematické diskriminace, jíž Romové čelí, a rasové diskriminace v oblastech jako je zaměstnání a bydlení.</w:t>
      </w:r>
    </w:p>
    <w:p w:rsidR="0046210E" w:rsidRPr="00834110" w:rsidRDefault="0046210E" w:rsidP="006328D5">
      <w:pPr>
        <w:pStyle w:val="H23G"/>
      </w:pPr>
      <w:r>
        <w:tab/>
      </w:r>
      <w:r>
        <w:tab/>
        <w:t xml:space="preserve">Diskriminace </w:t>
      </w:r>
      <w:r w:rsidR="00033219">
        <w:t>migrantů</w:t>
      </w:r>
    </w:p>
    <w:p w:rsidR="0046210E" w:rsidRPr="00834110" w:rsidRDefault="0046210E" w:rsidP="006D5367">
      <w:pPr>
        <w:pStyle w:val="SingleTxtG"/>
        <w:numPr>
          <w:ilvl w:val="2"/>
          <w:numId w:val="30"/>
        </w:numPr>
      </w:pPr>
      <w:r>
        <w:t xml:space="preserve">Výbor bere na vědomí opatření přijatá smluvní stranou pro boj proti rasově motivovaným zločinům a extremismu, ale je znepokojen trestnými činy založenými na diskriminaci páchanými na </w:t>
      </w:r>
      <w:r w:rsidR="00033219">
        <w:t>migrantech</w:t>
      </w:r>
      <w:r>
        <w:t xml:space="preserve"> v několika oblastech, zejména v následujících:</w:t>
      </w:r>
    </w:p>
    <w:p w:rsidR="0046210E" w:rsidRPr="00834110" w:rsidRDefault="0025775A" w:rsidP="0025775A">
      <w:pPr>
        <w:pStyle w:val="SingleTxtG"/>
        <w:ind w:firstLine="567"/>
      </w:pPr>
      <w:r>
        <w:lastRenderedPageBreak/>
        <w:t>(a)</w:t>
      </w:r>
      <w:r>
        <w:tab/>
        <w:t xml:space="preserve">zaměstnání, kde je </w:t>
      </w:r>
      <w:r w:rsidR="00033219">
        <w:t>migrantům</w:t>
      </w:r>
      <w:r>
        <w:t xml:space="preserve"> často odmítáno uzavření písemné smlouvy a je jim vyplácena nižší než minimální mzda,</w:t>
      </w:r>
    </w:p>
    <w:p w:rsidR="0046210E" w:rsidRPr="00834110" w:rsidRDefault="0025775A" w:rsidP="0025775A">
      <w:pPr>
        <w:pStyle w:val="SingleTxtG"/>
        <w:ind w:firstLine="567"/>
      </w:pPr>
      <w:r>
        <w:t>(b)</w:t>
      </w:r>
      <w:r>
        <w:tab/>
        <w:t xml:space="preserve">uplatňování jejich odborových práv, při kterém údajně nejsou schopni </w:t>
      </w:r>
      <w:r w:rsidR="00033219">
        <w:t>ucházet se o</w:t>
      </w:r>
      <w:r>
        <w:t xml:space="preserve"> ochranu svých hospodářských a sociálních zájmů,</w:t>
      </w:r>
    </w:p>
    <w:p w:rsidR="0046210E" w:rsidRPr="00834110" w:rsidRDefault="0025775A" w:rsidP="00734AE1">
      <w:pPr>
        <w:pStyle w:val="SingleTxtG"/>
        <w:ind w:firstLine="567"/>
      </w:pPr>
      <w:r>
        <w:t>(c)</w:t>
      </w:r>
      <w:r>
        <w:tab/>
        <w:t xml:space="preserve">bydlení, kde majitelé nejsou ochotni pronajímat byty </w:t>
      </w:r>
      <w:r w:rsidR="00033219">
        <w:t>migrantům</w:t>
      </w:r>
      <w:r>
        <w:t>, kterým je také často účtováno vyšší nájemné, než jsou tržní ceny podřadného ubytování (čl. 2, odst.</w:t>
      </w:r>
      <w:r w:rsidR="00352A7E">
        <w:t> </w:t>
      </w:r>
      <w:r>
        <w:t>2).</w:t>
      </w:r>
    </w:p>
    <w:p w:rsidR="0046210E" w:rsidRPr="00834110" w:rsidRDefault="0046210E" w:rsidP="006D5367">
      <w:pPr>
        <w:pStyle w:val="SingleTxtG"/>
        <w:rPr>
          <w:b/>
          <w:bCs/>
        </w:rPr>
      </w:pPr>
      <w:r>
        <w:rPr>
          <w:b/>
          <w:bCs/>
        </w:rPr>
        <w:t>Výbor doporučuje, aby smluvní strana:</w:t>
      </w:r>
    </w:p>
    <w:p w:rsidR="0046210E" w:rsidRPr="00834110" w:rsidRDefault="0025775A" w:rsidP="0025775A">
      <w:pPr>
        <w:pStyle w:val="SingleTxtG"/>
        <w:ind w:firstLine="567"/>
        <w:rPr>
          <w:b/>
          <w:bCs/>
        </w:rPr>
      </w:pPr>
      <w:r>
        <w:rPr>
          <w:b/>
          <w:bCs/>
        </w:rPr>
        <w:t>(a)</w:t>
      </w:r>
      <w:r>
        <w:rPr>
          <w:b/>
          <w:bCs/>
        </w:rPr>
        <w:tab/>
        <w:t>zvyšovala povědomí o protiprávní povaze všech projevů diskriminace a</w:t>
      </w:r>
      <w:r w:rsidR="00352A7E">
        <w:rPr>
          <w:b/>
          <w:bCs/>
        </w:rPr>
        <w:t> </w:t>
      </w:r>
      <w:r>
        <w:rPr>
          <w:b/>
          <w:bCs/>
        </w:rPr>
        <w:t xml:space="preserve">dostupných opravných prostředcích mezi </w:t>
      </w:r>
      <w:r w:rsidR="00033219">
        <w:rPr>
          <w:b/>
          <w:bCs/>
        </w:rPr>
        <w:t>migranty</w:t>
      </w:r>
      <w:r>
        <w:rPr>
          <w:b/>
          <w:bCs/>
        </w:rPr>
        <w:t>, kteří jsou oběťmi diskriminace,</w:t>
      </w:r>
    </w:p>
    <w:p w:rsidR="0046210E" w:rsidRPr="00834110" w:rsidRDefault="0025775A" w:rsidP="0025775A">
      <w:pPr>
        <w:pStyle w:val="SingleTxtG"/>
        <w:ind w:firstLine="567"/>
        <w:rPr>
          <w:b/>
          <w:bCs/>
        </w:rPr>
      </w:pPr>
      <w:r>
        <w:rPr>
          <w:b/>
          <w:bCs/>
        </w:rPr>
        <w:t>(b)</w:t>
      </w:r>
      <w:r>
        <w:rPr>
          <w:b/>
          <w:bCs/>
        </w:rPr>
        <w:tab/>
        <w:t>přijímala účinná opatření k prosazování právních předpisů proti diskriminaci v oblasti zaměstnání, včetně monitorování pracovních podmínek v</w:t>
      </w:r>
      <w:r w:rsidR="00352A7E">
        <w:rPr>
          <w:b/>
          <w:bCs/>
        </w:rPr>
        <w:t> </w:t>
      </w:r>
      <w:r>
        <w:rPr>
          <w:b/>
          <w:bCs/>
        </w:rPr>
        <w:t xml:space="preserve">sektorech, ve kterých jsou </w:t>
      </w:r>
      <w:r w:rsidR="00033219">
        <w:rPr>
          <w:b/>
          <w:bCs/>
        </w:rPr>
        <w:t>migranti</w:t>
      </w:r>
      <w:r>
        <w:rPr>
          <w:b/>
          <w:bCs/>
        </w:rPr>
        <w:t xml:space="preserve"> ohroženi porušováním jejich pracovních práv,</w:t>
      </w:r>
    </w:p>
    <w:p w:rsidR="0046210E" w:rsidRPr="00834110" w:rsidRDefault="0025775A" w:rsidP="0025775A">
      <w:pPr>
        <w:pStyle w:val="SingleTxtG"/>
        <w:ind w:firstLine="567"/>
        <w:rPr>
          <w:b/>
          <w:bCs/>
        </w:rPr>
      </w:pPr>
      <w:r>
        <w:rPr>
          <w:b/>
          <w:bCs/>
        </w:rPr>
        <w:t>(c)</w:t>
      </w:r>
      <w:r>
        <w:rPr>
          <w:b/>
          <w:bCs/>
        </w:rPr>
        <w:tab/>
        <w:t xml:space="preserve">přijímala opatření k zajištění toho, aby pracovníci z řad </w:t>
      </w:r>
      <w:r w:rsidR="00033219">
        <w:rPr>
          <w:b/>
          <w:bCs/>
        </w:rPr>
        <w:t>migrantů</w:t>
      </w:r>
      <w:r>
        <w:rPr>
          <w:b/>
          <w:bCs/>
        </w:rPr>
        <w:t xml:space="preserve"> mohli účinně uplatňovat své právo účastnit se odborové činnosti a získat ochranu odborů v případě zneužívání a porušování svých práv,</w:t>
      </w:r>
    </w:p>
    <w:p w:rsidR="0046210E" w:rsidRPr="00834110" w:rsidRDefault="0025775A" w:rsidP="0025775A">
      <w:pPr>
        <w:pStyle w:val="SingleTxtG"/>
        <w:ind w:firstLine="567"/>
        <w:rPr>
          <w:b/>
          <w:bCs/>
        </w:rPr>
      </w:pPr>
      <w:r>
        <w:rPr>
          <w:b/>
          <w:bCs/>
        </w:rPr>
        <w:t>(d)</w:t>
      </w:r>
      <w:r>
        <w:rPr>
          <w:b/>
          <w:bCs/>
        </w:rPr>
        <w:tab/>
        <w:t>vyšetřovala obvinění z jakékoli formy diskriminace, pokud jde o přístup k bydlení, včetně výše nájemného a podmínek bydlení.</w:t>
      </w:r>
    </w:p>
    <w:p w:rsidR="0046210E" w:rsidRPr="00834110" w:rsidRDefault="0046210E" w:rsidP="006328D5">
      <w:pPr>
        <w:pStyle w:val="H23G"/>
      </w:pPr>
      <w:r>
        <w:tab/>
      </w:r>
      <w:r>
        <w:tab/>
        <w:t>Rozdíly v odměňování mezi pohlavími</w:t>
      </w:r>
    </w:p>
    <w:p w:rsidR="0046210E" w:rsidRPr="00834110" w:rsidRDefault="0046210E" w:rsidP="006D5367">
      <w:pPr>
        <w:pStyle w:val="SingleTxtG"/>
        <w:numPr>
          <w:ilvl w:val="2"/>
          <w:numId w:val="30"/>
        </w:numPr>
      </w:pPr>
      <w:r>
        <w:t>Výbor je znepokojen rozdíly v odměňování mezi pohlavími ve smluvní</w:t>
      </w:r>
      <w:r w:rsidR="00033219">
        <w:t>m státě</w:t>
      </w:r>
      <w:r>
        <w:t xml:space="preserve"> v důsledku vertikální a horizontální segregace podle pohlaví na trhu práce a nadměrného zastoupení žen v zaměstnání na částečný úvazek i přes úspěchy žen ve vysokoškolském vzdělávání a provádění politiky rovnosti </w:t>
      </w:r>
      <w:r w:rsidR="00033219">
        <w:t>žen</w:t>
      </w:r>
      <w:r w:rsidR="00033219" w:rsidRPr="00033219">
        <w:t xml:space="preserve"> </w:t>
      </w:r>
      <w:r>
        <w:t xml:space="preserve">a </w:t>
      </w:r>
      <w:r w:rsidR="00033219">
        <w:t>mužů</w:t>
      </w:r>
      <w:r>
        <w:t>. Výbor je také znepokojen, že smluvní strana nezavedla dočasná zvláštní opatření k uspíšení zastoupení žen v oblasti zaměstnanosti i přesto, že tato opatření stanoví legislativa smluvní strany (čl. 3).</w:t>
      </w:r>
    </w:p>
    <w:p w:rsidR="0046210E" w:rsidRPr="00834110" w:rsidRDefault="0046210E" w:rsidP="006D5367">
      <w:pPr>
        <w:pStyle w:val="SingleTxtG"/>
        <w:rPr>
          <w:b/>
          <w:bCs/>
        </w:rPr>
      </w:pPr>
      <w:r>
        <w:rPr>
          <w:b/>
          <w:bCs/>
        </w:rPr>
        <w:t>Výbor doporučuje, aby smluvní strana:</w:t>
      </w:r>
    </w:p>
    <w:p w:rsidR="0046210E" w:rsidRPr="00834110" w:rsidRDefault="00D476F5" w:rsidP="00D476F5">
      <w:pPr>
        <w:pStyle w:val="SingleTxtG"/>
        <w:ind w:firstLine="567"/>
        <w:rPr>
          <w:b/>
          <w:bCs/>
        </w:rPr>
      </w:pPr>
      <w:r>
        <w:rPr>
          <w:b/>
          <w:bCs/>
        </w:rPr>
        <w:t>(a)</w:t>
      </w:r>
      <w:r>
        <w:rPr>
          <w:b/>
          <w:bCs/>
        </w:rPr>
        <w:tab/>
        <w:t>přijala aktivní opatření k zajištění rovných pracovních příležitostí pro muže i ženy podporou úsilí o získávání vzdělání a odborné přípravy v oblastech, ve kterých tradičně převládá jedno nebo druhé pohlaví,</w:t>
      </w:r>
    </w:p>
    <w:p w:rsidR="0046210E" w:rsidRPr="00834110" w:rsidRDefault="00D476F5" w:rsidP="00D476F5">
      <w:pPr>
        <w:pStyle w:val="SingleTxtG"/>
        <w:ind w:firstLine="567"/>
        <w:rPr>
          <w:b/>
          <w:bCs/>
        </w:rPr>
      </w:pPr>
      <w:r>
        <w:rPr>
          <w:b/>
          <w:bCs/>
        </w:rPr>
        <w:t>(b)</w:t>
      </w:r>
      <w:r>
        <w:rPr>
          <w:b/>
          <w:bCs/>
        </w:rPr>
        <w:tab/>
        <w:t>provedla průzkum a klasifikaci typů práce, které jsou pokládány za rovnocenné,</w:t>
      </w:r>
    </w:p>
    <w:p w:rsidR="0046210E" w:rsidRPr="00834110" w:rsidRDefault="00D476F5" w:rsidP="00D476F5">
      <w:pPr>
        <w:pStyle w:val="SingleTxtG"/>
        <w:ind w:firstLine="567"/>
        <w:rPr>
          <w:b/>
          <w:bCs/>
        </w:rPr>
      </w:pPr>
      <w:r>
        <w:rPr>
          <w:b/>
          <w:bCs/>
        </w:rPr>
        <w:t>(c)</w:t>
      </w:r>
      <w:r>
        <w:rPr>
          <w:b/>
          <w:bCs/>
        </w:rPr>
        <w:tab/>
        <w:t>prováděla informační kampaně s cílem změnit vnímání genderových rolí ve společnosti a usnadnit ženám po přerušení kariéry opětovný vstup na trh práce,</w:t>
      </w:r>
    </w:p>
    <w:p w:rsidR="0046210E" w:rsidRPr="00834110" w:rsidRDefault="00D476F5" w:rsidP="00D476F5">
      <w:pPr>
        <w:pStyle w:val="SingleTxtG"/>
        <w:ind w:firstLine="567"/>
        <w:rPr>
          <w:b/>
          <w:bCs/>
        </w:rPr>
      </w:pPr>
      <w:r>
        <w:rPr>
          <w:b/>
          <w:bCs/>
        </w:rPr>
        <w:t>(d)</w:t>
      </w:r>
      <w:r>
        <w:rPr>
          <w:b/>
          <w:bCs/>
        </w:rPr>
        <w:tab/>
        <w:t>rozšířila nabídku cenově dostupných služeb denní péče,</w:t>
      </w:r>
    </w:p>
    <w:p w:rsidR="0046210E" w:rsidRPr="00834110" w:rsidRDefault="00D476F5" w:rsidP="00D476F5">
      <w:pPr>
        <w:pStyle w:val="SingleTxtG"/>
        <w:ind w:firstLine="567"/>
        <w:rPr>
          <w:b/>
          <w:bCs/>
        </w:rPr>
      </w:pPr>
      <w:r>
        <w:rPr>
          <w:b/>
          <w:bCs/>
        </w:rPr>
        <w:t>(e)</w:t>
      </w:r>
      <w:r>
        <w:rPr>
          <w:b/>
          <w:bCs/>
        </w:rPr>
        <w:tab/>
        <w:t>zavedla dočasná zvláštní opatření pro zvýšení zastoupení žen v pozicích s</w:t>
      </w:r>
      <w:r w:rsidR="00352A7E">
        <w:rPr>
          <w:b/>
          <w:bCs/>
        </w:rPr>
        <w:t> </w:t>
      </w:r>
      <w:r>
        <w:rPr>
          <w:b/>
          <w:bCs/>
        </w:rPr>
        <w:t>rozhodovací pravomocí ve veřejném sektoru.</w:t>
      </w:r>
    </w:p>
    <w:p w:rsidR="0046210E" w:rsidRPr="00834110" w:rsidRDefault="0046210E" w:rsidP="006D5367">
      <w:pPr>
        <w:pStyle w:val="SingleTxtG"/>
        <w:rPr>
          <w:b/>
          <w:bCs/>
        </w:rPr>
      </w:pPr>
      <w:r>
        <w:rPr>
          <w:b/>
          <w:bCs/>
        </w:rPr>
        <w:t>Výbor upozo</w:t>
      </w:r>
      <w:r w:rsidR="00FE3773">
        <w:rPr>
          <w:b/>
          <w:bCs/>
        </w:rPr>
        <w:t xml:space="preserve">rňuje smluvní stranu na obecný komentář </w:t>
      </w:r>
      <w:r>
        <w:rPr>
          <w:b/>
          <w:bCs/>
        </w:rPr>
        <w:t>č. 16 (2005) týkající se rovných práv mužů a žen při požívání všech hospodářských, sociálních a kulturních práv.</w:t>
      </w:r>
    </w:p>
    <w:p w:rsidR="0046210E" w:rsidRPr="00834110" w:rsidRDefault="0046210E" w:rsidP="006328D5">
      <w:pPr>
        <w:pStyle w:val="H23G"/>
        <w:rPr>
          <w:rFonts w:cs="Angsana New"/>
        </w:rPr>
      </w:pPr>
      <w:r>
        <w:tab/>
      </w:r>
      <w:r>
        <w:tab/>
        <w:t>Nezaměstnanost</w:t>
      </w:r>
    </w:p>
    <w:p w:rsidR="0046210E" w:rsidRPr="00834110" w:rsidRDefault="0046210E" w:rsidP="006D5367">
      <w:pPr>
        <w:pStyle w:val="SingleTxtG"/>
        <w:numPr>
          <w:ilvl w:val="2"/>
          <w:numId w:val="30"/>
        </w:numPr>
      </w:pPr>
      <w:r>
        <w:t>Výbor je znepokojen tím, že nezaměstnanost, zejména mezi mladými lidmi, je i</w:t>
      </w:r>
      <w:r w:rsidR="00352A7E">
        <w:t> </w:t>
      </w:r>
      <w:r>
        <w:t>nadále značná navzdory opatřením přijatým smluvní stranou (čl. 7).</w:t>
      </w:r>
    </w:p>
    <w:p w:rsidR="0046210E" w:rsidRPr="00834110" w:rsidRDefault="0046210E" w:rsidP="006D5367">
      <w:pPr>
        <w:pStyle w:val="SingleTxtG"/>
        <w:rPr>
          <w:b/>
          <w:bCs/>
        </w:rPr>
      </w:pPr>
      <w:r>
        <w:rPr>
          <w:b/>
          <w:bCs/>
        </w:rPr>
        <w:lastRenderedPageBreak/>
        <w:t>Výbor doporučuje, aby smluvní strana pokračovala ve svém úsilí o zvýšení podpory uchazečů o zaměstnání, zejména mladých lidí. Také doporučuje, aby smluvní strana posoudila dopad ekonomických a fiskálních opatření přijatých během finanční a</w:t>
      </w:r>
      <w:r w:rsidR="00352A7E">
        <w:rPr>
          <w:b/>
          <w:bCs/>
        </w:rPr>
        <w:t> </w:t>
      </w:r>
      <w:r>
        <w:rPr>
          <w:b/>
          <w:bCs/>
        </w:rPr>
        <w:t>hospodářské krize na trhu práce a zejména na uplatňování práva na práci. Výbor upozo</w:t>
      </w:r>
      <w:r w:rsidR="00FE3773">
        <w:rPr>
          <w:b/>
          <w:bCs/>
        </w:rPr>
        <w:t xml:space="preserve">rňuje smluvní stranu na obecný komentář </w:t>
      </w:r>
      <w:r>
        <w:rPr>
          <w:b/>
          <w:bCs/>
        </w:rPr>
        <w:t>č. 18 (2005) týkající se práva na práci.</w:t>
      </w:r>
    </w:p>
    <w:p w:rsidR="0046210E" w:rsidRPr="00834110" w:rsidRDefault="0046210E" w:rsidP="006328D5">
      <w:pPr>
        <w:pStyle w:val="H23G"/>
      </w:pPr>
      <w:r>
        <w:tab/>
      </w:r>
      <w:r>
        <w:tab/>
        <w:t>Minimální mzda</w:t>
      </w:r>
    </w:p>
    <w:p w:rsidR="0046210E" w:rsidRPr="00834110" w:rsidRDefault="0046210E" w:rsidP="006D5367">
      <w:pPr>
        <w:pStyle w:val="SingleTxtG"/>
        <w:numPr>
          <w:ilvl w:val="2"/>
          <w:numId w:val="30"/>
        </w:numPr>
      </w:pPr>
      <w:r>
        <w:t>Výbor se znepokojením konstatuje, že i když byla v rámci tripartitních jednání stanovena částka minimální mzdy, legislativa smluvní strany nezaručuje právo na odměnu, která by pracovníkům a jejich rodinám umožňovala důstojné živobytí (čl. 7).</w:t>
      </w:r>
    </w:p>
    <w:p w:rsidR="0046210E" w:rsidRPr="00834110" w:rsidRDefault="0046210E" w:rsidP="006D5367">
      <w:pPr>
        <w:pStyle w:val="SingleTxtG"/>
        <w:rPr>
          <w:b/>
          <w:bCs/>
        </w:rPr>
      </w:pPr>
      <w:r>
        <w:rPr>
          <w:b/>
          <w:bCs/>
        </w:rPr>
        <w:t>Výbor doporučuje, aby smluvní strana ve své legislativě zaručila právo na odměnu, která by jak pracovníkům, tak jejich rodinám umožňovala důstojné živobytí, v</w:t>
      </w:r>
      <w:r w:rsidR="007462C3">
        <w:rPr>
          <w:b/>
          <w:bCs/>
        </w:rPr>
        <w:t> </w:t>
      </w:r>
      <w:r>
        <w:rPr>
          <w:b/>
          <w:bCs/>
        </w:rPr>
        <w:t>souladu s ustanoveními článku 7 (a) Paktu.</w:t>
      </w:r>
    </w:p>
    <w:p w:rsidR="0046210E" w:rsidRPr="00834110" w:rsidRDefault="0046210E" w:rsidP="006328D5">
      <w:pPr>
        <w:pStyle w:val="H23G"/>
      </w:pPr>
      <w:r>
        <w:tab/>
      </w:r>
      <w:r>
        <w:tab/>
        <w:t>Sociální zabezpečení</w:t>
      </w:r>
    </w:p>
    <w:p w:rsidR="0046210E" w:rsidRPr="00834110" w:rsidRDefault="0046210E" w:rsidP="006D5367">
      <w:pPr>
        <w:pStyle w:val="SingleTxtG"/>
        <w:numPr>
          <w:ilvl w:val="2"/>
          <w:numId w:val="30"/>
        </w:numPr>
      </w:pPr>
      <w:r>
        <w:t xml:space="preserve">Výbor je znepokojen škrty dávek sociálního zabezpečení zavedenými smluvní stranou v rámci programu úsporných opatření navzdory tvrzení smluvní strany, že některé škrty jsou dočasné a budou zrušeny. Výbor je také znepokojen tím, že ochrana osob, jejichž dávky byly zrušeny, vychází z přístupu založeného na </w:t>
      </w:r>
      <w:r w:rsidR="00FE3773">
        <w:t>hmotné nouzi</w:t>
      </w:r>
      <w:r>
        <w:t xml:space="preserve"> s přísnými kvalifikačními podmínkami, velmi nízkou úrovní příjmu pro vznik nároku na sociální dávky a nízkými částkami těchto dávek, které nejsou v souladu s článkem 9 Paktu. Výbor je dále znepokojen tím, že například škrty </w:t>
      </w:r>
      <w:r w:rsidR="00FE3773">
        <w:t>nepojistných</w:t>
      </w:r>
      <w:r>
        <w:t xml:space="preserve"> dávek pro rodiny </w:t>
      </w:r>
      <w:r w:rsidR="00FE3773">
        <w:t xml:space="preserve">s dětmi </w:t>
      </w:r>
      <w:r>
        <w:t>s velmi nízkými příjmy mají velmi negativní dopad na životní podmínky. Výbor je navíc znepokojen tím, že přiměřenost opatření byla primárně posuzována na základě souhrnných statistických údajů, které neposkytují jednoznačné informace o účincích škrtů na ohrožené skupiny obyvatel (čl. 9).</w:t>
      </w:r>
    </w:p>
    <w:p w:rsidR="0046210E" w:rsidRPr="00834110" w:rsidRDefault="0046210E" w:rsidP="006D5367">
      <w:pPr>
        <w:pStyle w:val="SingleTxtG"/>
        <w:rPr>
          <w:b/>
          <w:bCs/>
        </w:rPr>
      </w:pPr>
      <w:r>
        <w:rPr>
          <w:b/>
          <w:bCs/>
        </w:rPr>
        <w:t>Výbor doporučuje, aby smluvní strana: (a) co nejdříve zrušila škrty dávek sociálního zabezpečení; (b) přehodnotila škrty dávek z</w:t>
      </w:r>
      <w:r w:rsidR="00FE3773">
        <w:rPr>
          <w:b/>
          <w:bCs/>
        </w:rPr>
        <w:t> nepojistných systémů</w:t>
      </w:r>
      <w:r>
        <w:rPr>
          <w:b/>
          <w:bCs/>
        </w:rPr>
        <w:t>, pokud se týkají nejvíce znevýhodněných a opomíjených skupin obyvatel, a (c) při posuzování dopadu škrtů na dávky vycházela z přístupu založeného na lidských právech. Výbor se odvolává na dopis týkající se úsporných opatření, který všem smluvním stranám Paktu zaslal předseda Výboru dn</w:t>
      </w:r>
      <w:r w:rsidR="00FE3773">
        <w:rPr>
          <w:b/>
          <w:bCs/>
        </w:rPr>
        <w:t xml:space="preserve">e 16. května 2012, a na obecný komentář </w:t>
      </w:r>
      <w:r>
        <w:rPr>
          <w:b/>
          <w:bCs/>
        </w:rPr>
        <w:t>č. 19</w:t>
      </w:r>
      <w:r w:rsidR="007462C3">
        <w:rPr>
          <w:b/>
          <w:bCs/>
        </w:rPr>
        <w:t> </w:t>
      </w:r>
      <w:r>
        <w:rPr>
          <w:b/>
          <w:bCs/>
        </w:rPr>
        <w:t>(2007) týkající se práva na sociální zabezpečení.</w:t>
      </w:r>
    </w:p>
    <w:p w:rsidR="0046210E" w:rsidRPr="00834110" w:rsidRDefault="0046210E" w:rsidP="006328D5">
      <w:pPr>
        <w:pStyle w:val="H23G"/>
      </w:pPr>
      <w:r>
        <w:tab/>
      </w:r>
      <w:r>
        <w:tab/>
        <w:t xml:space="preserve">Zdravotní pojištění </w:t>
      </w:r>
      <w:r w:rsidR="00FE3773">
        <w:t>migrantů</w:t>
      </w:r>
    </w:p>
    <w:p w:rsidR="0046210E" w:rsidRPr="00834110" w:rsidRDefault="0046210E" w:rsidP="006D5367">
      <w:pPr>
        <w:pStyle w:val="SingleTxtG"/>
        <w:numPr>
          <w:ilvl w:val="2"/>
          <w:numId w:val="30"/>
        </w:numPr>
      </w:pPr>
      <w:r>
        <w:t xml:space="preserve">Výbor je znepokojen tím, že </w:t>
      </w:r>
      <w:r w:rsidR="00FE3773">
        <w:t>migranti</w:t>
      </w:r>
      <w:r>
        <w:t xml:space="preserve">, kteří nemají povolení k trvalému pobytu, včetně rodinných příslušníků </w:t>
      </w:r>
      <w:r w:rsidR="00FE3773">
        <w:t>migrantů</w:t>
      </w:r>
      <w:r>
        <w:t xml:space="preserve"> se statutem trvalého pobytu,</w:t>
      </w:r>
      <w:r w:rsidR="00FE3773">
        <w:t xml:space="preserve"> nemají nárok na účast v systémech</w:t>
      </w:r>
      <w:r>
        <w:t xml:space="preserve"> </w:t>
      </w:r>
      <w:r w:rsidR="00FE3773">
        <w:t xml:space="preserve">veřejného </w:t>
      </w:r>
      <w:r>
        <w:t xml:space="preserve">zdravotního pojištění smluvní strany. Výbor je dále znepokojen zprávami o tom, že </w:t>
      </w:r>
      <w:r w:rsidR="00FE3773">
        <w:t>migrantům</w:t>
      </w:r>
      <w:r>
        <w:t xml:space="preserve"> je odmítána registrace do programů soukromého zdravotního pojištění nebo že je od nich vyžadována platba příliš vysokého pojistného, což je v rozporu s ustanoveními Paktu a s antidiskriminačním zákonem smluvní strany (čl. 9).</w:t>
      </w:r>
    </w:p>
    <w:p w:rsidR="0046210E" w:rsidRPr="00834110" w:rsidRDefault="0046210E" w:rsidP="006D5367">
      <w:pPr>
        <w:pStyle w:val="SingleTxtG"/>
        <w:rPr>
          <w:b/>
          <w:bCs/>
        </w:rPr>
      </w:pPr>
      <w:r>
        <w:rPr>
          <w:b/>
          <w:bCs/>
        </w:rPr>
        <w:t>Výbor doporučuje, aby smluvní strana zpřístupnila systém</w:t>
      </w:r>
      <w:r w:rsidR="00FE3773">
        <w:rPr>
          <w:b/>
          <w:bCs/>
        </w:rPr>
        <w:t xml:space="preserve"> veřejného</w:t>
      </w:r>
      <w:r>
        <w:rPr>
          <w:b/>
          <w:bCs/>
        </w:rPr>
        <w:t xml:space="preserve"> příspěvkového zdravotního pojištění všem, bez jakékoli diskriminace. Výbor dále naléhavě žádá smluvní stranu, aby zajistila, že poskytovatelé soukromého pojištění nebudou odmítat přístup do jimi provozovaných systémů ani nebudou ukládat nepřiměřené podmínky způsobilosti, s cílem zajistit právo na rovnocennou, přiměřenou, cenově přijatelnou a</w:t>
      </w:r>
      <w:r w:rsidR="007462C3">
        <w:rPr>
          <w:b/>
          <w:bCs/>
        </w:rPr>
        <w:t> </w:t>
      </w:r>
      <w:r>
        <w:rPr>
          <w:b/>
          <w:bCs/>
        </w:rPr>
        <w:t>dostupnou zdravotní péči pro všechny. Výbor doporučuje, aby smluvní strana prošetřila stížnosti na porušování práva na zdravotní pojištění a v příslušných případech uložila sankce.</w:t>
      </w:r>
    </w:p>
    <w:p w:rsidR="0046210E" w:rsidRPr="00834110" w:rsidRDefault="0046210E" w:rsidP="006328D5">
      <w:pPr>
        <w:pStyle w:val="H23G"/>
      </w:pPr>
      <w:r>
        <w:lastRenderedPageBreak/>
        <w:tab/>
      </w:r>
      <w:r>
        <w:tab/>
        <w:t>Sociální bydlení</w:t>
      </w:r>
    </w:p>
    <w:p w:rsidR="0046210E" w:rsidRPr="00834110" w:rsidRDefault="0046210E" w:rsidP="006D5367">
      <w:pPr>
        <w:pStyle w:val="SingleTxtG"/>
        <w:numPr>
          <w:ilvl w:val="2"/>
          <w:numId w:val="30"/>
        </w:numPr>
      </w:pPr>
      <w:r>
        <w:t xml:space="preserve">Výbor je znepokojen tím, že smluvní strana dosud nezavedla komplexní systém sociálního bydlení ani nepřijala zákon o sociálním bydlení. Výbor je také znepokojen </w:t>
      </w:r>
      <w:r w:rsidR="00FE3773">
        <w:t>značným počtem</w:t>
      </w:r>
      <w:r>
        <w:t xml:space="preserve"> osob bez domova ve státě smluvní strany (čl. 11).</w:t>
      </w:r>
    </w:p>
    <w:p w:rsidR="0046210E" w:rsidRPr="00834110" w:rsidRDefault="0046210E" w:rsidP="006D5367">
      <w:pPr>
        <w:pStyle w:val="SingleTxtG"/>
        <w:rPr>
          <w:b/>
          <w:bCs/>
        </w:rPr>
      </w:pPr>
      <w:r>
        <w:rPr>
          <w:b/>
          <w:bCs/>
        </w:rPr>
        <w:t>Výbor doporučuje, aby smluvní strana urychlila přijetí zákona o sociálním bydlení a</w:t>
      </w:r>
      <w:r w:rsidR="007462C3">
        <w:rPr>
          <w:b/>
          <w:bCs/>
        </w:rPr>
        <w:t> </w:t>
      </w:r>
      <w:r>
        <w:rPr>
          <w:b/>
          <w:bCs/>
        </w:rPr>
        <w:t>zavedení komplexního systému sociálního bydlení a zajistila, aby tento zákon a</w:t>
      </w:r>
      <w:r w:rsidR="007462C3">
        <w:rPr>
          <w:b/>
          <w:bCs/>
        </w:rPr>
        <w:t> </w:t>
      </w:r>
      <w:r>
        <w:rPr>
          <w:b/>
          <w:bCs/>
        </w:rPr>
        <w:t>systém:</w:t>
      </w:r>
    </w:p>
    <w:p w:rsidR="0046210E" w:rsidRPr="00834110" w:rsidRDefault="00830787" w:rsidP="00830787">
      <w:pPr>
        <w:pStyle w:val="SingleTxtG"/>
        <w:ind w:firstLine="567"/>
        <w:rPr>
          <w:b/>
          <w:bCs/>
        </w:rPr>
      </w:pPr>
      <w:r>
        <w:rPr>
          <w:b/>
          <w:bCs/>
        </w:rPr>
        <w:t>(a)</w:t>
      </w:r>
      <w:r>
        <w:rPr>
          <w:b/>
          <w:bCs/>
        </w:rPr>
        <w:tab/>
        <w:t>vycházely z práva každého jednotlivce na přiměřené a cenově dostupné bydlení s jasně vymezenými standardy kvality a obyvatelnosti,</w:t>
      </w:r>
    </w:p>
    <w:p w:rsidR="0046210E" w:rsidRPr="00834110" w:rsidRDefault="00830787" w:rsidP="00830787">
      <w:pPr>
        <w:pStyle w:val="SingleTxtG"/>
        <w:ind w:firstLine="567"/>
        <w:rPr>
          <w:b/>
          <w:bCs/>
        </w:rPr>
      </w:pPr>
      <w:r>
        <w:rPr>
          <w:b/>
          <w:bCs/>
        </w:rPr>
        <w:t>(b)</w:t>
      </w:r>
      <w:r>
        <w:rPr>
          <w:b/>
          <w:bCs/>
        </w:rPr>
        <w:tab/>
        <w:t xml:space="preserve">poskytovaly náležitou prioritu znevýhodněným a opomíjeným skupinám obyvatel a osobám žijícím v azylových domech nebo v nejistých a nepříznivých podmínkách tím, že zajistí, aby </w:t>
      </w:r>
      <w:r w:rsidR="00FE3773">
        <w:rPr>
          <w:b/>
          <w:bCs/>
        </w:rPr>
        <w:t>kritéria způsobilosti nevedla k jejich vyloučení,</w:t>
      </w:r>
    </w:p>
    <w:p w:rsidR="0046210E" w:rsidRPr="00834110" w:rsidRDefault="00830787" w:rsidP="00830787">
      <w:pPr>
        <w:pStyle w:val="SingleTxtG"/>
        <w:ind w:firstLine="567"/>
        <w:rPr>
          <w:b/>
          <w:bCs/>
        </w:rPr>
      </w:pPr>
      <w:r>
        <w:rPr>
          <w:b/>
          <w:bCs/>
        </w:rPr>
        <w:t>(c)</w:t>
      </w:r>
      <w:r>
        <w:rPr>
          <w:b/>
          <w:bCs/>
        </w:rPr>
        <w:tab/>
        <w:t xml:space="preserve">nevedly k segregaci na základě rasy nebo </w:t>
      </w:r>
      <w:r w:rsidR="00FE3773">
        <w:rPr>
          <w:b/>
          <w:bCs/>
        </w:rPr>
        <w:t>ekonomické</w:t>
      </w:r>
      <w:r>
        <w:rPr>
          <w:b/>
          <w:bCs/>
        </w:rPr>
        <w:t xml:space="preserve"> či sociální situace, ani k jiným důvodům diskriminace zakázané Paktem,</w:t>
      </w:r>
    </w:p>
    <w:p w:rsidR="0046210E" w:rsidRPr="00834110" w:rsidRDefault="00830787" w:rsidP="00830787">
      <w:pPr>
        <w:pStyle w:val="SingleTxtG"/>
        <w:ind w:firstLine="567"/>
        <w:rPr>
          <w:b/>
          <w:bCs/>
        </w:rPr>
      </w:pPr>
      <w:r>
        <w:rPr>
          <w:b/>
          <w:bCs/>
        </w:rPr>
        <w:t>(d)</w:t>
      </w:r>
      <w:r>
        <w:rPr>
          <w:b/>
          <w:bCs/>
        </w:rPr>
        <w:tab/>
        <w:t>zajistily zdroje, které budou úměrné neuspokojeným potřebám sociálního bydlení, účinné monitorování situace v oblasti bydlení ve státě smluvní strany a rámec odpovědnosti při provádění politik a plánů.</w:t>
      </w:r>
    </w:p>
    <w:p w:rsidR="0046210E" w:rsidRPr="00834110" w:rsidRDefault="0046210E" w:rsidP="006D5367">
      <w:pPr>
        <w:pStyle w:val="SingleTxtG"/>
        <w:rPr>
          <w:b/>
          <w:bCs/>
        </w:rPr>
      </w:pPr>
      <w:r>
        <w:rPr>
          <w:b/>
          <w:bCs/>
        </w:rPr>
        <w:t>Výbor upozo</w:t>
      </w:r>
      <w:r w:rsidR="00FE3773">
        <w:rPr>
          <w:b/>
          <w:bCs/>
        </w:rPr>
        <w:t xml:space="preserve">rňuje smluvní stranu na obecný komentář </w:t>
      </w:r>
      <w:r>
        <w:rPr>
          <w:b/>
          <w:bCs/>
        </w:rPr>
        <w:t>č. 4 (1991) týkající se práva na přiměřené bydlení.</w:t>
      </w:r>
    </w:p>
    <w:p w:rsidR="0046210E" w:rsidRPr="00834110" w:rsidRDefault="0046210E" w:rsidP="006328D5">
      <w:pPr>
        <w:pStyle w:val="H23G"/>
      </w:pPr>
      <w:r>
        <w:tab/>
      </w:r>
      <w:r>
        <w:tab/>
        <w:t>Nucené vystěhování</w:t>
      </w:r>
    </w:p>
    <w:p w:rsidR="0046210E" w:rsidRPr="00834110" w:rsidRDefault="0046210E" w:rsidP="006D5367">
      <w:pPr>
        <w:pStyle w:val="SingleTxtG"/>
        <w:numPr>
          <w:ilvl w:val="2"/>
          <w:numId w:val="30"/>
        </w:numPr>
      </w:pPr>
      <w:r>
        <w:t>Výbor je znepokojen skutečností, že podle právních předpisů smluvní strany lze provádět nucené vystěhování i v případě, že nájemníci zůstanou bez domova. Výbor je dále znepokojen zprávami o nuceném vystěhování, které se týká i Romů, prováděném bez řádného soudního řízení (čl. 11).</w:t>
      </w:r>
    </w:p>
    <w:p w:rsidR="0046210E" w:rsidRPr="00834110" w:rsidRDefault="0046210E" w:rsidP="006D5367">
      <w:pPr>
        <w:pStyle w:val="SingleTxtG"/>
        <w:rPr>
          <w:b/>
          <w:bCs/>
        </w:rPr>
      </w:pPr>
      <w:r>
        <w:rPr>
          <w:b/>
          <w:bCs/>
        </w:rPr>
        <w:t xml:space="preserve">Výbor doporučuje, aby smluvní strana přehodnotila své právní předpisy a postupy tak, aby lidé při vystěhování nezůstali bez domova nebo aby nebyli ohroženi porušováním jiných lidských práv a aby v případech, kdy dotyční nejsou schopni zabezpečit své potřeby, smluvní strana zajistila přiměřené alternativní bydlení. Také doporučuje, aby smluvní strana zajistila, že vystěhování bude prováděno </w:t>
      </w:r>
      <w:r w:rsidR="00FE3773">
        <w:rPr>
          <w:b/>
          <w:bCs/>
        </w:rPr>
        <w:t>v soulad se</w:t>
      </w:r>
      <w:r>
        <w:rPr>
          <w:b/>
          <w:bCs/>
        </w:rPr>
        <w:t xml:space="preserve"> zákon</w:t>
      </w:r>
      <w:r w:rsidR="00FE3773">
        <w:rPr>
          <w:b/>
          <w:bCs/>
        </w:rPr>
        <w:t>em a</w:t>
      </w:r>
      <w:r>
        <w:rPr>
          <w:b/>
          <w:bCs/>
        </w:rPr>
        <w:t xml:space="preserve"> s mezinárodními normami pro lidská práva a že osobám </w:t>
      </w:r>
      <w:r w:rsidR="000239FF">
        <w:rPr>
          <w:b/>
          <w:bCs/>
        </w:rPr>
        <w:t>s</w:t>
      </w:r>
      <w:r>
        <w:rPr>
          <w:b/>
          <w:bCs/>
        </w:rPr>
        <w:t xml:space="preserve"> budou účinně poskytnuta </w:t>
      </w:r>
      <w:r w:rsidR="000239FF">
        <w:rPr>
          <w:b/>
          <w:bCs/>
        </w:rPr>
        <w:t>opravné prostředky proti</w:t>
      </w:r>
      <w:r w:rsidR="000239FF" w:rsidRPr="000239FF">
        <w:rPr>
          <w:b/>
          <w:bCs/>
        </w:rPr>
        <w:t xml:space="preserve"> </w:t>
      </w:r>
      <w:r w:rsidR="000239FF">
        <w:rPr>
          <w:b/>
          <w:bCs/>
        </w:rPr>
        <w:t>příkazům k vystěhování</w:t>
      </w:r>
      <w:r>
        <w:rPr>
          <w:b/>
          <w:bCs/>
        </w:rPr>
        <w:t>. Výbor upoz</w:t>
      </w:r>
      <w:r w:rsidR="000239FF">
        <w:rPr>
          <w:b/>
          <w:bCs/>
        </w:rPr>
        <w:t>orňuje smluvní stranu na obecný</w:t>
      </w:r>
      <w:r>
        <w:rPr>
          <w:b/>
          <w:bCs/>
        </w:rPr>
        <w:t xml:space="preserve"> </w:t>
      </w:r>
      <w:r w:rsidR="000239FF">
        <w:rPr>
          <w:b/>
          <w:bCs/>
        </w:rPr>
        <w:t>komentář</w:t>
      </w:r>
      <w:r>
        <w:rPr>
          <w:b/>
          <w:bCs/>
        </w:rPr>
        <w:t xml:space="preserve"> č. 7 (1997) týkající se nuceného vystěhování.</w:t>
      </w:r>
    </w:p>
    <w:p w:rsidR="0046210E" w:rsidRPr="00834110" w:rsidRDefault="0046210E" w:rsidP="006328D5">
      <w:pPr>
        <w:pStyle w:val="H23G"/>
        <w:rPr>
          <w:rFonts w:cs="Angsana New"/>
        </w:rPr>
      </w:pPr>
      <w:r>
        <w:tab/>
      </w:r>
      <w:r>
        <w:tab/>
        <w:t>Deinstitucionalizace osob s psychosociálním postižením a starších osob</w:t>
      </w:r>
    </w:p>
    <w:p w:rsidR="0046210E" w:rsidRPr="00834110" w:rsidRDefault="0046210E" w:rsidP="006D5367">
      <w:pPr>
        <w:pStyle w:val="SingleTxtG"/>
        <w:numPr>
          <w:ilvl w:val="2"/>
          <w:numId w:val="30"/>
        </w:numPr>
      </w:pPr>
      <w:r>
        <w:t xml:space="preserve">Výbor se znepokojením konstatuje, že ve státě smluvní strany dochází </w:t>
      </w:r>
      <w:r w:rsidR="000239FF">
        <w:t xml:space="preserve">k pomalému postupu deinstitucionalizace.i </w:t>
      </w:r>
      <w:r>
        <w:t>po přijetí usnesení vlády č. 127 týkajícího se „koncepce podpory transformace pobytových sociálních služe</w:t>
      </w:r>
      <w:r w:rsidR="000239FF">
        <w:t>b v jiné typy sociálních služeb</w:t>
      </w:r>
      <w:r>
        <w:t xml:space="preserve"> poskyt</w:t>
      </w:r>
      <w:r w:rsidR="000239FF">
        <w:t>ované</w:t>
      </w:r>
      <w:r>
        <w:t xml:space="preserve"> v přirozené komunitě uživatele a</w:t>
      </w:r>
      <w:r w:rsidR="007462C3">
        <w:t> </w:t>
      </w:r>
      <w:r>
        <w:t>podporující sociální začlenění uživatele do společnosti“ v roce 2007 (čl. 12 a 10)</w:t>
      </w:r>
    </w:p>
    <w:p w:rsidR="0046210E" w:rsidRPr="00834110" w:rsidRDefault="0046210E" w:rsidP="00352A7E">
      <w:pPr>
        <w:pStyle w:val="SingleTxtG"/>
        <w:keepNext/>
        <w:rPr>
          <w:b/>
          <w:bCs/>
        </w:rPr>
      </w:pPr>
      <w:r>
        <w:rPr>
          <w:b/>
          <w:bCs/>
        </w:rPr>
        <w:t>Výbor naléhavě žádá, aby smluvní strana:</w:t>
      </w:r>
    </w:p>
    <w:p w:rsidR="0046210E" w:rsidRPr="00834110" w:rsidRDefault="00724B71" w:rsidP="00724B71">
      <w:pPr>
        <w:pStyle w:val="SingleTxtG"/>
        <w:ind w:firstLine="567"/>
        <w:rPr>
          <w:rFonts w:cs="Angsana New"/>
          <w:b/>
          <w:bCs/>
        </w:rPr>
      </w:pPr>
      <w:r>
        <w:rPr>
          <w:b/>
          <w:bCs/>
        </w:rPr>
        <w:t>(a)</w:t>
      </w:r>
      <w:r>
        <w:rPr>
          <w:b/>
          <w:bCs/>
        </w:rPr>
        <w:tab/>
      </w:r>
      <w:r w:rsidR="000239FF">
        <w:rPr>
          <w:b/>
          <w:bCs/>
        </w:rPr>
        <w:t>založila</w:t>
      </w:r>
      <w:r>
        <w:rPr>
          <w:b/>
          <w:bCs/>
        </w:rPr>
        <w:t xml:space="preserve"> provádění Strategie reformy psychiatrické péče (2014–2020) </w:t>
      </w:r>
      <w:r w:rsidR="000239FF">
        <w:rPr>
          <w:b/>
          <w:bCs/>
        </w:rPr>
        <w:t xml:space="preserve">na </w:t>
      </w:r>
      <w:r>
        <w:rPr>
          <w:b/>
          <w:bCs/>
        </w:rPr>
        <w:t>zlepšení dodržování všech lidských práv osob s psychosociálním postižením, včetně jejich práva na nezávislý život a začlenění do společnosti, a</w:t>
      </w:r>
      <w:r w:rsidR="007462C3">
        <w:rPr>
          <w:b/>
          <w:bCs/>
        </w:rPr>
        <w:t> </w:t>
      </w:r>
      <w:r>
        <w:rPr>
          <w:b/>
          <w:bCs/>
        </w:rPr>
        <w:t>investovala do tohoto procesu přiměřené zdroje,</w:t>
      </w:r>
    </w:p>
    <w:p w:rsidR="0046210E" w:rsidRPr="00834110" w:rsidRDefault="00724B71" w:rsidP="00724B71">
      <w:pPr>
        <w:pStyle w:val="SingleTxtG"/>
        <w:ind w:firstLine="567"/>
        <w:rPr>
          <w:rFonts w:cs="Angsana New"/>
          <w:b/>
          <w:bCs/>
        </w:rPr>
      </w:pPr>
      <w:r>
        <w:rPr>
          <w:b/>
          <w:bCs/>
        </w:rPr>
        <w:t>(b)</w:t>
      </w:r>
      <w:r>
        <w:rPr>
          <w:b/>
          <w:bCs/>
        </w:rPr>
        <w:tab/>
        <w:t>integrovala poznatky získané z pilotních projektů při provádění úplné deinstitucionalizace,</w:t>
      </w:r>
    </w:p>
    <w:p w:rsidR="0046210E" w:rsidRPr="00834110" w:rsidRDefault="00724B71" w:rsidP="00724B71">
      <w:pPr>
        <w:pStyle w:val="SingleTxtG"/>
        <w:ind w:firstLine="567"/>
        <w:rPr>
          <w:rFonts w:cs="Angsana New"/>
          <w:b/>
          <w:bCs/>
        </w:rPr>
      </w:pPr>
      <w:r>
        <w:rPr>
          <w:b/>
          <w:bCs/>
        </w:rPr>
        <w:lastRenderedPageBreak/>
        <w:t>(c)</w:t>
      </w:r>
      <w:r>
        <w:rPr>
          <w:b/>
          <w:bCs/>
        </w:rPr>
        <w:tab/>
        <w:t>přijímala akční plány rozvoje sociálních služeb s jasným časovým harmonogramem na regionální a místní úrovni,</w:t>
      </w:r>
    </w:p>
    <w:p w:rsidR="0046210E" w:rsidRPr="00834110" w:rsidRDefault="00724B71" w:rsidP="00724B71">
      <w:pPr>
        <w:pStyle w:val="SingleTxtG"/>
        <w:ind w:firstLine="567"/>
        <w:rPr>
          <w:rFonts w:cs="Angsana New"/>
          <w:b/>
          <w:bCs/>
        </w:rPr>
      </w:pPr>
      <w:r>
        <w:rPr>
          <w:b/>
          <w:bCs/>
        </w:rPr>
        <w:t>(d)</w:t>
      </w:r>
      <w:r>
        <w:rPr>
          <w:b/>
          <w:bCs/>
        </w:rPr>
        <w:tab/>
        <w:t>rozvíjela komunitní péči o starší osoby.</w:t>
      </w:r>
    </w:p>
    <w:p w:rsidR="0046210E" w:rsidRPr="00834110" w:rsidRDefault="0046210E" w:rsidP="006328D5">
      <w:pPr>
        <w:pStyle w:val="H23G"/>
        <w:rPr>
          <w:rFonts w:cs="Angsana New"/>
        </w:rPr>
      </w:pPr>
      <w:r>
        <w:tab/>
      </w:r>
      <w:r>
        <w:tab/>
        <w:t>Inkluzivní vzdělávání dětí se zdravotním postižením</w:t>
      </w:r>
    </w:p>
    <w:p w:rsidR="0046210E" w:rsidRPr="00834110" w:rsidRDefault="0046210E" w:rsidP="006D5367">
      <w:pPr>
        <w:pStyle w:val="SingleTxtG"/>
        <w:numPr>
          <w:ilvl w:val="2"/>
          <w:numId w:val="30"/>
        </w:numPr>
      </w:pPr>
      <w:r>
        <w:t>Výbor je znepokojen tím, že děti se zdravotním postižením jsou ve státě smluvní strany i nadále primárně vzdělávány ve specializovaných institucích navzdory provádění akčního plánu vytváření rovných příležitostí pro osoby se zdravotním postižením na období 2010–2014. Výbor je také znepokojen zprávami o tom, že dětem se zdravotním postižením v běžném vzdělávání není vždy poskytováno přiměřené</w:t>
      </w:r>
      <w:r w:rsidR="000239FF">
        <w:t xml:space="preserve"> opatření k</w:t>
      </w:r>
      <w:r>
        <w:t xml:space="preserve"> přizpůsobení (čl. 13 a 2, odst.</w:t>
      </w:r>
      <w:r w:rsidR="007462C3">
        <w:t> </w:t>
      </w:r>
      <w:r>
        <w:t>2).</w:t>
      </w:r>
    </w:p>
    <w:p w:rsidR="0046210E" w:rsidRPr="00834110" w:rsidRDefault="0046210E" w:rsidP="006D5367">
      <w:pPr>
        <w:pStyle w:val="SingleTxtG"/>
        <w:rPr>
          <w:b/>
          <w:bCs/>
        </w:rPr>
      </w:pPr>
      <w:r>
        <w:rPr>
          <w:b/>
          <w:bCs/>
        </w:rPr>
        <w:t>Výbor doporučuje, aby smluvní strana zajistila, že nová koncepce lepší dostupnosti škol na všech úrovních vzdělávání pro všechny děti včetně dětí se zdravotním postižením bude plně podporovat inkluzivní vzdělávání dětí se zdravotním postižením, mimo jiné přidělováním</w:t>
      </w:r>
      <w:r w:rsidR="000239FF">
        <w:rPr>
          <w:b/>
          <w:bCs/>
        </w:rPr>
        <w:t xml:space="preserve"> zdrojů na zajištění přiměřených patření k</w:t>
      </w:r>
      <w:r>
        <w:rPr>
          <w:b/>
          <w:bCs/>
        </w:rPr>
        <w:t xml:space="preserve"> přizpůsobení i veškeré další nutné profesionální podpory a na školení učitelů. Dále doporučuje, aby inkluzivní vzdělávání, což je preferovaný model vzdělávání</w:t>
      </w:r>
      <w:r w:rsidR="000239FF">
        <w:rPr>
          <w:b/>
          <w:bCs/>
        </w:rPr>
        <w:t>, i povinnost zajistit přiměřená</w:t>
      </w:r>
      <w:r>
        <w:rPr>
          <w:b/>
          <w:bCs/>
        </w:rPr>
        <w:t xml:space="preserve"> </w:t>
      </w:r>
      <w:r w:rsidR="000239FF">
        <w:rPr>
          <w:b/>
          <w:bCs/>
        </w:rPr>
        <w:t xml:space="preserve">opatření k </w:t>
      </w:r>
      <w:r>
        <w:rPr>
          <w:b/>
          <w:bCs/>
        </w:rPr>
        <w:t>přizpůsobení byly začleněny do zákona o vzdělávání.</w:t>
      </w:r>
    </w:p>
    <w:p w:rsidR="0046210E" w:rsidRPr="00834110" w:rsidRDefault="0046210E" w:rsidP="006328D5">
      <w:pPr>
        <w:pStyle w:val="H23G"/>
      </w:pPr>
      <w:r>
        <w:tab/>
      </w:r>
      <w:r>
        <w:tab/>
        <w:t>Vzdělávání romských dětí</w:t>
      </w:r>
    </w:p>
    <w:p w:rsidR="0046210E" w:rsidRPr="00834110" w:rsidRDefault="0046210E" w:rsidP="006D5367">
      <w:pPr>
        <w:pStyle w:val="SingleTxtG"/>
        <w:numPr>
          <w:ilvl w:val="2"/>
          <w:numId w:val="30"/>
        </w:numPr>
      </w:pPr>
      <w:r>
        <w:t>Výbor je hluboce znepokojen skutečností, že romští žáci jsou stále neúměrně často umísťováni do „praktických škol“ i přesto, že byla vydána Metodická doporučení k</w:t>
      </w:r>
      <w:r w:rsidR="007462C3">
        <w:t> </w:t>
      </w:r>
      <w:r>
        <w:t>zajištění rovných příležitostí ve vzdělávání dětí se sociálním znevýhodněním. Výbor je také znepokojen vysokou mírou předčasného ukončení školní docházky u romských studentů na různých stupních vzdělávání (čl. 13 a 2, odst.</w:t>
      </w:r>
      <w:r w:rsidR="007462C3">
        <w:t> </w:t>
      </w:r>
      <w:r>
        <w:t>2).</w:t>
      </w:r>
    </w:p>
    <w:p w:rsidR="0046210E" w:rsidRPr="00834110" w:rsidRDefault="0046210E" w:rsidP="006D5367">
      <w:pPr>
        <w:pStyle w:val="SingleTxtG"/>
        <w:rPr>
          <w:b/>
          <w:bCs/>
        </w:rPr>
      </w:pPr>
      <w:r>
        <w:rPr>
          <w:b/>
          <w:bCs/>
        </w:rPr>
        <w:t>Výbor naléhavě žádá smluvní stranu, aby přijala následující opatření:</w:t>
      </w:r>
    </w:p>
    <w:p w:rsidR="0046210E" w:rsidRPr="00834110" w:rsidRDefault="00724B71" w:rsidP="00724B71">
      <w:pPr>
        <w:pStyle w:val="SingleTxtG"/>
        <w:ind w:firstLine="567"/>
        <w:rPr>
          <w:b/>
          <w:bCs/>
        </w:rPr>
      </w:pPr>
      <w:r>
        <w:rPr>
          <w:b/>
          <w:bCs/>
        </w:rPr>
        <w:t>(a)</w:t>
      </w:r>
      <w:r>
        <w:rPr>
          <w:b/>
          <w:bCs/>
        </w:rPr>
        <w:tab/>
        <w:t>zrušila postupy, které vedou k segregaci romských žáků,</w:t>
      </w:r>
    </w:p>
    <w:p w:rsidR="0046210E" w:rsidRPr="00834110" w:rsidRDefault="00724B71" w:rsidP="00724B71">
      <w:pPr>
        <w:pStyle w:val="SingleTxtG"/>
        <w:ind w:firstLine="567"/>
        <w:rPr>
          <w:b/>
          <w:bCs/>
        </w:rPr>
      </w:pPr>
      <w:r>
        <w:rPr>
          <w:b/>
          <w:bCs/>
        </w:rPr>
        <w:t>(b)</w:t>
      </w:r>
      <w:r>
        <w:rPr>
          <w:b/>
          <w:bCs/>
        </w:rPr>
        <w:tab/>
        <w:t>neprodleně ukončila praxi umísťování, včetně dočasných diagnostických pobytů, žáků bez zdravotního postižení do praktických škol a přeřazování romských žáků s neprůkaznou diagnózou z praktických škol do běžných škol,</w:t>
      </w:r>
    </w:p>
    <w:p w:rsidR="0046210E" w:rsidRPr="00834110" w:rsidRDefault="00724B71" w:rsidP="00724B71">
      <w:pPr>
        <w:pStyle w:val="SingleTxtG"/>
        <w:ind w:firstLine="567"/>
        <w:rPr>
          <w:b/>
          <w:bCs/>
        </w:rPr>
      </w:pPr>
      <w:r>
        <w:rPr>
          <w:b/>
          <w:bCs/>
        </w:rPr>
        <w:t>(c)</w:t>
      </w:r>
      <w:r>
        <w:rPr>
          <w:b/>
          <w:bCs/>
        </w:rPr>
        <w:tab/>
        <w:t>postupně zrušila praktické školy, jak je uvedeno v Národním akčním plánu inkluzivního vzdělávání,</w:t>
      </w:r>
    </w:p>
    <w:p w:rsidR="0046210E" w:rsidRPr="00834110" w:rsidRDefault="00724B71" w:rsidP="00724B71">
      <w:pPr>
        <w:pStyle w:val="SingleTxtG"/>
        <w:ind w:firstLine="567"/>
        <w:rPr>
          <w:b/>
          <w:bCs/>
        </w:rPr>
      </w:pPr>
      <w:r>
        <w:rPr>
          <w:b/>
          <w:bCs/>
        </w:rPr>
        <w:t>(d)</w:t>
      </w:r>
      <w:r>
        <w:rPr>
          <w:b/>
          <w:bCs/>
        </w:rPr>
        <w:tab/>
        <w:t>poskytovala podporu běžným školám při vzdělávání sociálně znevýhodněných žáků a romských žáků z praktických škol a podporovala jejich setrvání ve škole, mimo jiné náborem školního personálu z řad romských komunit.</w:t>
      </w:r>
    </w:p>
    <w:p w:rsidR="00AC3376" w:rsidRPr="00834110" w:rsidRDefault="00AC3376" w:rsidP="00734AE1">
      <w:pPr>
        <w:pStyle w:val="SingleTxtG"/>
        <w:rPr>
          <w:b/>
          <w:bCs/>
        </w:rPr>
      </w:pPr>
      <w:r>
        <w:rPr>
          <w:b/>
          <w:bCs/>
        </w:rPr>
        <w:t>Výbor doporučuje, aby smluvní strana přidělila odpovídající rozpočet, jasně stanovila odpovědnosti a časový plán a zajistila účast romských rodičů, sdružení a místních komunit při provádění těchto aktivit.</w:t>
      </w:r>
    </w:p>
    <w:p w:rsidR="00BD6290" w:rsidRPr="00834110" w:rsidRDefault="00BD6290" w:rsidP="006328D5">
      <w:pPr>
        <w:pStyle w:val="H23G"/>
      </w:pPr>
      <w:r>
        <w:tab/>
      </w:r>
      <w:r>
        <w:tab/>
        <w:t>Kulturní práva</w:t>
      </w:r>
    </w:p>
    <w:p w:rsidR="00EA041B" w:rsidRPr="00834110" w:rsidRDefault="00EA041B" w:rsidP="006D5367">
      <w:pPr>
        <w:pStyle w:val="SingleTxtG"/>
        <w:numPr>
          <w:ilvl w:val="2"/>
          <w:numId w:val="30"/>
        </w:numPr>
      </w:pPr>
      <w:r>
        <w:t>Výbor vyjadřuje politování nad tím, že pro nedostatek informací o uplatňování práva na požívání výhod vědeckého pokroku a jeho aplikací Výbor nemohl uplatňování tohoto práva posoudit (čl. 15, odst.</w:t>
      </w:r>
      <w:r w:rsidR="00A839AA">
        <w:t> </w:t>
      </w:r>
      <w:r>
        <w:t>1 (b)).</w:t>
      </w:r>
    </w:p>
    <w:p w:rsidR="007733DF" w:rsidRPr="00834110" w:rsidRDefault="00EA041B" w:rsidP="006D5367">
      <w:pPr>
        <w:pStyle w:val="SingleTxtG"/>
        <w:rPr>
          <w:b/>
          <w:bCs/>
        </w:rPr>
      </w:pPr>
      <w:r>
        <w:rPr>
          <w:b/>
          <w:bCs/>
        </w:rPr>
        <w:t>Výbor žádá, aby smluvní strana do své příští periodické zprávy zahrnula informace o</w:t>
      </w:r>
      <w:r w:rsidR="007462C3">
        <w:rPr>
          <w:b/>
          <w:bCs/>
        </w:rPr>
        <w:t> </w:t>
      </w:r>
      <w:r>
        <w:rPr>
          <w:b/>
          <w:bCs/>
        </w:rPr>
        <w:t>tom, jak zajišťuje naplňování práva na požívání výhod vědeckého pokroku a jeho aplikací.</w:t>
      </w:r>
    </w:p>
    <w:p w:rsidR="009720F4" w:rsidRPr="00834110" w:rsidRDefault="009720F4" w:rsidP="006328D5">
      <w:pPr>
        <w:pStyle w:val="H1G"/>
      </w:pPr>
      <w:r>
        <w:lastRenderedPageBreak/>
        <w:tab/>
        <w:t>D.</w:t>
      </w:r>
      <w:r>
        <w:tab/>
        <w:t>Další doporučení</w:t>
      </w:r>
    </w:p>
    <w:p w:rsidR="0046210E" w:rsidRPr="00834110" w:rsidRDefault="0046210E" w:rsidP="006D5367">
      <w:pPr>
        <w:pStyle w:val="SingleTxtG"/>
        <w:numPr>
          <w:ilvl w:val="2"/>
          <w:numId w:val="30"/>
        </w:numPr>
        <w:rPr>
          <w:b/>
          <w:bCs/>
        </w:rPr>
      </w:pPr>
      <w:r>
        <w:rPr>
          <w:b/>
          <w:bCs/>
        </w:rPr>
        <w:t>Výbor vybízí smluvní stranu, aby schválila časový plán dosažení mezinárodního závazku poskytnout 0,7 % hrubého domácího produktu na oficiální rozvojovou pomoc a aby při uplatňování politiky rozvojové spolupráce usilovala o přístup založený na dodržování lidských práv, přičemž plně začlení práva uvedená v Paktu.</w:t>
      </w:r>
    </w:p>
    <w:p w:rsidR="0046210E" w:rsidRPr="00834110" w:rsidRDefault="0046210E" w:rsidP="006D5367">
      <w:pPr>
        <w:pStyle w:val="SingleTxtG"/>
        <w:numPr>
          <w:ilvl w:val="2"/>
          <w:numId w:val="30"/>
        </w:numPr>
        <w:rPr>
          <w:b/>
          <w:bCs/>
        </w:rPr>
      </w:pPr>
      <w:r>
        <w:rPr>
          <w:b/>
          <w:bCs/>
        </w:rPr>
        <w:t>Výbor vybízí smluvní stranu, aby zvážila ratifikaci Opčního protokolu k</w:t>
      </w:r>
      <w:r w:rsidR="00A839AA">
        <w:rPr>
          <w:b/>
          <w:bCs/>
        </w:rPr>
        <w:t> </w:t>
      </w:r>
      <w:r>
        <w:rPr>
          <w:b/>
          <w:bCs/>
        </w:rPr>
        <w:t>Mezinárodnímu paktu o hospodářských, sociálních a kulturních právech.</w:t>
      </w:r>
    </w:p>
    <w:p w:rsidR="0046210E" w:rsidRPr="00834110" w:rsidRDefault="0046210E" w:rsidP="006D5367">
      <w:pPr>
        <w:pStyle w:val="SingleTxtG"/>
        <w:numPr>
          <w:ilvl w:val="2"/>
          <w:numId w:val="30"/>
        </w:numPr>
        <w:rPr>
          <w:b/>
          <w:bCs/>
        </w:rPr>
      </w:pPr>
      <w:r>
        <w:rPr>
          <w:b/>
          <w:bCs/>
        </w:rPr>
        <w:t>Výbor žádá, aby smluvní strana tato závěrečná doporučení šířila na všech úrovních společnosti, zejména mezi členy Parlamentu, veřejnými činiteli, justičními orgány a organizacemi občanské společnosti, a ve své příští periodické zprávě informovala Výbor o tom, jaká opatření byla přijata pro provádění těchto doporučení.</w:t>
      </w:r>
    </w:p>
    <w:p w:rsidR="0046210E" w:rsidRPr="00834110" w:rsidRDefault="0046210E" w:rsidP="006D5367">
      <w:pPr>
        <w:pStyle w:val="SingleTxtG"/>
        <w:numPr>
          <w:ilvl w:val="2"/>
          <w:numId w:val="30"/>
        </w:numPr>
        <w:rPr>
          <w:b/>
          <w:bCs/>
        </w:rPr>
      </w:pPr>
      <w:r>
        <w:rPr>
          <w:b/>
          <w:bCs/>
        </w:rPr>
        <w:t>Výbor vybízí smluvní stranu, aby zapojila organizace občanské společnosti do konstruktivní spolupráce na přípravě a předložení příští periodické zprávy.</w:t>
      </w:r>
    </w:p>
    <w:p w:rsidR="0046210E" w:rsidRPr="00834110" w:rsidRDefault="0046210E" w:rsidP="006D5367">
      <w:pPr>
        <w:pStyle w:val="SingleTxtG"/>
        <w:numPr>
          <w:ilvl w:val="2"/>
          <w:numId w:val="30"/>
        </w:numPr>
        <w:rPr>
          <w:b/>
          <w:bCs/>
        </w:rPr>
      </w:pPr>
      <w:r>
        <w:rPr>
          <w:b/>
          <w:bCs/>
        </w:rPr>
        <w:t>Výbor vyzývá smluvní stranu, aby podle potřeby aktualizovala společný základní dokument v souladu s harmonizovanými pokyny pro podávání zpráv na základě mezinárodních smluv o lidských právech (HRI/GEN/2/Rev.6, kapitola I).</w:t>
      </w:r>
    </w:p>
    <w:p w:rsidR="001C6663" w:rsidRPr="00834110" w:rsidRDefault="0046210E" w:rsidP="006D5367">
      <w:pPr>
        <w:pStyle w:val="SingleTxtG"/>
        <w:numPr>
          <w:ilvl w:val="2"/>
          <w:numId w:val="30"/>
        </w:numPr>
        <w:rPr>
          <w:b/>
          <w:bCs/>
        </w:rPr>
      </w:pPr>
      <w:r>
        <w:rPr>
          <w:b/>
          <w:bCs/>
        </w:rPr>
        <w:t>Výbor vyzývá smluvní stranu, aby třetí periodickou zprávu připravenou v</w:t>
      </w:r>
      <w:r w:rsidR="00A839AA">
        <w:rPr>
          <w:b/>
          <w:bCs/>
        </w:rPr>
        <w:t> </w:t>
      </w:r>
      <w:r>
        <w:rPr>
          <w:b/>
          <w:bCs/>
        </w:rPr>
        <w:t>souladu s revidovanými pokyny pro podávání zpráv přijatými Výborem v roce 2008 (E/C.12/2008/2) předložila do 30. května 2019.</w:t>
      </w:r>
    </w:p>
    <w:p w:rsidR="0046210E" w:rsidRPr="00834110" w:rsidRDefault="0046210E" w:rsidP="0046210E">
      <w:pPr>
        <w:spacing w:before="240"/>
        <w:ind w:left="1134" w:right="1134"/>
        <w:jc w:val="center"/>
        <w:rPr>
          <w:u w:val="single"/>
        </w:rPr>
      </w:pPr>
      <w:r>
        <w:rPr>
          <w:u w:val="single"/>
        </w:rPr>
        <w:tab/>
      </w:r>
      <w:r>
        <w:rPr>
          <w:u w:val="single"/>
        </w:rPr>
        <w:tab/>
      </w:r>
      <w:r>
        <w:rPr>
          <w:u w:val="single"/>
        </w:rPr>
        <w:tab/>
      </w:r>
    </w:p>
    <w:sectPr w:rsidR="0046210E" w:rsidRPr="00834110" w:rsidSect="0046210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B6" w:rsidRDefault="001A0EB6"/>
  </w:endnote>
  <w:endnote w:type="continuationSeparator" w:id="0">
    <w:p w:rsidR="001A0EB6" w:rsidRDefault="001A0EB6"/>
  </w:endnote>
  <w:endnote w:type="continuationNotice" w:id="1">
    <w:p w:rsidR="001A0EB6" w:rsidRDefault="001A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0000000000000000000"/>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4B" w:rsidRPr="0046210E" w:rsidRDefault="003B1E4B" w:rsidP="0046210E">
    <w:pPr>
      <w:pStyle w:val="Zpat"/>
      <w:tabs>
        <w:tab w:val="right" w:pos="9638"/>
      </w:tabs>
    </w:pPr>
    <w:r w:rsidRPr="0046210E">
      <w:rPr>
        <w:b/>
        <w:sz w:val="18"/>
      </w:rPr>
      <w:fldChar w:fldCharType="begin"/>
    </w:r>
    <w:r w:rsidRPr="0046210E">
      <w:rPr>
        <w:b/>
        <w:sz w:val="18"/>
      </w:rPr>
      <w:instrText xml:space="preserve"> PAGE  \* MERGEFORMAT </w:instrText>
    </w:r>
    <w:r w:rsidRPr="0046210E">
      <w:rPr>
        <w:b/>
        <w:sz w:val="18"/>
      </w:rPr>
      <w:fldChar w:fldCharType="separate"/>
    </w:r>
    <w:r w:rsidR="00A85371">
      <w:rPr>
        <w:b/>
        <w:noProof/>
        <w:sz w:val="18"/>
      </w:rPr>
      <w:t>8</w:t>
    </w:r>
    <w:r w:rsidRPr="0046210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4B" w:rsidRPr="0046210E" w:rsidRDefault="003B1E4B" w:rsidP="0046210E">
    <w:pPr>
      <w:pStyle w:val="Zpat"/>
      <w:tabs>
        <w:tab w:val="right" w:pos="9638"/>
      </w:tabs>
      <w:rPr>
        <w:b/>
        <w:sz w:val="18"/>
      </w:rPr>
    </w:pPr>
    <w:r>
      <w:tab/>
    </w:r>
    <w:r w:rsidRPr="0046210E">
      <w:rPr>
        <w:b/>
        <w:sz w:val="18"/>
      </w:rPr>
      <w:fldChar w:fldCharType="begin"/>
    </w:r>
    <w:r w:rsidRPr="0046210E">
      <w:rPr>
        <w:b/>
        <w:sz w:val="18"/>
      </w:rPr>
      <w:instrText xml:space="preserve"> PAGE  \* MERGEFORMAT </w:instrText>
    </w:r>
    <w:r w:rsidRPr="0046210E">
      <w:rPr>
        <w:b/>
        <w:sz w:val="18"/>
      </w:rPr>
      <w:fldChar w:fldCharType="separate"/>
    </w:r>
    <w:r w:rsidR="00A85371">
      <w:rPr>
        <w:b/>
        <w:noProof/>
        <w:sz w:val="18"/>
      </w:rPr>
      <w:t>7</w:t>
    </w:r>
    <w:r w:rsidRPr="0046210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4B" w:rsidRPr="0046210E" w:rsidRDefault="00DA1893">
    <w:pPr>
      <w:pStyle w:val="Zpat"/>
      <w:rPr>
        <w:sz w:val="20"/>
      </w:rPr>
    </w:pPr>
    <w:r>
      <w:rPr>
        <w:noProof/>
        <w:lang w:eastAsia="cs-CZ"/>
      </w:rPr>
      <w:drawing>
        <wp:anchor distT="0" distB="0" distL="114300" distR="114300" simplePos="0" relativeHeight="251657728" behindDoc="0" locked="1" layoutInCell="1" allowOverlap="1">
          <wp:simplePos x="0" y="0"/>
          <wp:positionH relativeFrom="column">
            <wp:posOffset>4246245</wp:posOffset>
          </wp:positionH>
          <wp:positionV relativeFrom="paragraph">
            <wp:posOffset>263525</wp:posOffset>
          </wp:positionV>
          <wp:extent cx="930275" cy="230505"/>
          <wp:effectExtent l="0" t="0" r="3175" b="0"/>
          <wp:wrapNone/>
          <wp:docPr id="2" name="obrázek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Pr>
        <w:sz w:val="20"/>
      </w:rPr>
      <w:t>GE.14-06143 (E)</w:t>
    </w:r>
    <w:r>
      <w:rPr>
        <w:sz w:val="20"/>
      </w:rPr>
      <w:br/>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B6" w:rsidRPr="000B175B" w:rsidRDefault="001A0EB6" w:rsidP="000B175B">
      <w:pPr>
        <w:tabs>
          <w:tab w:val="right" w:pos="2155"/>
        </w:tabs>
        <w:spacing w:after="80"/>
        <w:ind w:left="680"/>
        <w:rPr>
          <w:u w:val="single"/>
        </w:rPr>
      </w:pPr>
      <w:r>
        <w:rPr>
          <w:u w:val="single"/>
        </w:rPr>
        <w:tab/>
      </w:r>
    </w:p>
  </w:footnote>
  <w:footnote w:type="continuationSeparator" w:id="0">
    <w:p w:rsidR="001A0EB6" w:rsidRPr="00FC68B7" w:rsidRDefault="001A0EB6" w:rsidP="00FC68B7">
      <w:pPr>
        <w:tabs>
          <w:tab w:val="left" w:pos="2155"/>
        </w:tabs>
        <w:spacing w:after="80"/>
        <w:ind w:left="680"/>
        <w:rPr>
          <w:u w:val="single"/>
        </w:rPr>
      </w:pPr>
      <w:r>
        <w:rPr>
          <w:u w:val="single"/>
        </w:rPr>
        <w:tab/>
      </w:r>
    </w:p>
  </w:footnote>
  <w:footnote w:type="continuationNotice" w:id="1">
    <w:p w:rsidR="001A0EB6" w:rsidRDefault="001A0EB6"/>
  </w:footnote>
  <w:footnote w:id="2">
    <w:p w:rsidR="003B1E4B" w:rsidRPr="00A300F8" w:rsidRDefault="003B1E4B" w:rsidP="00164A78">
      <w:pPr>
        <w:pStyle w:val="Textpoznpodarou"/>
      </w:pPr>
      <w:r>
        <w:tab/>
      </w:r>
      <w:r>
        <w:rPr>
          <w:rStyle w:val="Znakapoznpodarou"/>
          <w:sz w:val="20"/>
          <w:vertAlign w:val="baseline"/>
        </w:rPr>
        <w:t>*</w:t>
      </w:r>
      <w:r>
        <w:tab/>
        <w:t>Přijatá Výborem na 52. zasedání (28. dubna – 23. května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4B" w:rsidRPr="0046210E" w:rsidRDefault="003B1E4B">
    <w:pPr>
      <w:pStyle w:val="Zhlav"/>
    </w:pPr>
    <w:r>
      <w:t>E/C.12/CZE/CO/2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4B" w:rsidRPr="0046210E" w:rsidRDefault="003B1E4B" w:rsidP="0046210E">
    <w:pPr>
      <w:pStyle w:val="Zhlav"/>
      <w:jc w:val="right"/>
    </w:pPr>
    <w:r>
      <w:t>E/C.12/CZE/CO/2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EF77B5"/>
    <w:multiLevelType w:val="hybridMultilevel"/>
    <w:tmpl w:val="62C2267A"/>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5B77C3"/>
    <w:multiLevelType w:val="hybridMultilevel"/>
    <w:tmpl w:val="B042475A"/>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8C0085"/>
    <w:multiLevelType w:val="multilevel"/>
    <w:tmpl w:val="0D3C0144"/>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4C8744F"/>
    <w:multiLevelType w:val="hybridMultilevel"/>
    <w:tmpl w:val="ABB83D8A"/>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6031FB"/>
    <w:multiLevelType w:val="hybridMultilevel"/>
    <w:tmpl w:val="4FC4A06E"/>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E7457"/>
    <w:multiLevelType w:val="hybridMultilevel"/>
    <w:tmpl w:val="58AAC932"/>
    <w:lvl w:ilvl="0" w:tplc="0EA2BCB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1440"/>
        </w:tabs>
        <w:ind w:left="1440" w:hanging="360"/>
      </w:pPr>
    </w:lvl>
    <w:lvl w:ilvl="2" w:tplc="12B2AB88">
      <w:start w:val="1"/>
      <w:numFmt w:val="decimal"/>
      <w:lvlText w:val="%3."/>
      <w:lvlJc w:val="left"/>
      <w:pPr>
        <w:tabs>
          <w:tab w:val="num" w:pos="1701"/>
        </w:tabs>
        <w:ind w:left="1134" w:firstLine="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F67F77"/>
    <w:multiLevelType w:val="hybridMultilevel"/>
    <w:tmpl w:val="B28C51F2"/>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EB47C9"/>
    <w:multiLevelType w:val="hybridMultilevel"/>
    <w:tmpl w:val="46FC86AE"/>
    <w:lvl w:ilvl="0" w:tplc="DD6C30C0">
      <w:start w:val="1"/>
      <w:numFmt w:val="lowerLetter"/>
      <w:lvlText w:val="(%1)"/>
      <w:lvlJc w:val="left"/>
      <w:pPr>
        <w:tabs>
          <w:tab w:val="num" w:pos="1"/>
        </w:tabs>
        <w:ind w:left="1134" w:firstLine="567"/>
      </w:pPr>
      <w:rPr>
        <w:rFonts w:hint="default"/>
      </w:rPr>
    </w:lvl>
    <w:lvl w:ilvl="1" w:tplc="04090019" w:tentative="1">
      <w:start w:val="1"/>
      <w:numFmt w:val="lowerLetter"/>
      <w:lvlText w:val="%2."/>
      <w:lvlJc w:val="left"/>
      <w:pPr>
        <w:tabs>
          <w:tab w:val="num" w:pos="260"/>
        </w:tabs>
        <w:ind w:left="260" w:hanging="360"/>
      </w:pPr>
    </w:lvl>
    <w:lvl w:ilvl="2" w:tplc="0409001B" w:tentative="1">
      <w:start w:val="1"/>
      <w:numFmt w:val="lowerRoman"/>
      <w:lvlText w:val="%3."/>
      <w:lvlJc w:val="right"/>
      <w:pPr>
        <w:tabs>
          <w:tab w:val="num" w:pos="980"/>
        </w:tabs>
        <w:ind w:left="980" w:hanging="180"/>
      </w:pPr>
    </w:lvl>
    <w:lvl w:ilvl="3" w:tplc="0409000F" w:tentative="1">
      <w:start w:val="1"/>
      <w:numFmt w:val="decimal"/>
      <w:lvlText w:val="%4."/>
      <w:lvlJc w:val="left"/>
      <w:pPr>
        <w:tabs>
          <w:tab w:val="num" w:pos="1700"/>
        </w:tabs>
        <w:ind w:left="1700" w:hanging="360"/>
      </w:pPr>
    </w:lvl>
    <w:lvl w:ilvl="4" w:tplc="04090019" w:tentative="1">
      <w:start w:val="1"/>
      <w:numFmt w:val="lowerLetter"/>
      <w:lvlText w:val="%5."/>
      <w:lvlJc w:val="left"/>
      <w:pPr>
        <w:tabs>
          <w:tab w:val="num" w:pos="2420"/>
        </w:tabs>
        <w:ind w:left="2420" w:hanging="360"/>
      </w:pPr>
    </w:lvl>
    <w:lvl w:ilvl="5" w:tplc="0409001B" w:tentative="1">
      <w:start w:val="1"/>
      <w:numFmt w:val="lowerRoman"/>
      <w:lvlText w:val="%6."/>
      <w:lvlJc w:val="right"/>
      <w:pPr>
        <w:tabs>
          <w:tab w:val="num" w:pos="3140"/>
        </w:tabs>
        <w:ind w:left="3140" w:hanging="180"/>
      </w:pPr>
    </w:lvl>
    <w:lvl w:ilvl="6" w:tplc="0409000F" w:tentative="1">
      <w:start w:val="1"/>
      <w:numFmt w:val="decimal"/>
      <w:lvlText w:val="%7."/>
      <w:lvlJc w:val="left"/>
      <w:pPr>
        <w:tabs>
          <w:tab w:val="num" w:pos="3860"/>
        </w:tabs>
        <w:ind w:left="3860" w:hanging="360"/>
      </w:pPr>
    </w:lvl>
    <w:lvl w:ilvl="7" w:tplc="04090019" w:tentative="1">
      <w:start w:val="1"/>
      <w:numFmt w:val="lowerLetter"/>
      <w:lvlText w:val="%8."/>
      <w:lvlJc w:val="left"/>
      <w:pPr>
        <w:tabs>
          <w:tab w:val="num" w:pos="4580"/>
        </w:tabs>
        <w:ind w:left="4580" w:hanging="360"/>
      </w:pPr>
    </w:lvl>
    <w:lvl w:ilvl="8" w:tplc="0409001B" w:tentative="1">
      <w:start w:val="1"/>
      <w:numFmt w:val="lowerRoman"/>
      <w:lvlText w:val="%9."/>
      <w:lvlJc w:val="right"/>
      <w:pPr>
        <w:tabs>
          <w:tab w:val="num" w:pos="5300"/>
        </w:tabs>
        <w:ind w:left="5300" w:hanging="180"/>
      </w:pPr>
    </w:lvl>
  </w:abstractNum>
  <w:abstractNum w:abstractNumId="22">
    <w:nsid w:val="2F3F50E8"/>
    <w:multiLevelType w:val="hybridMultilevel"/>
    <w:tmpl w:val="3B2ED492"/>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E9D4BD0"/>
    <w:multiLevelType w:val="hybridMultilevel"/>
    <w:tmpl w:val="47F85092"/>
    <w:lvl w:ilvl="0" w:tplc="29AAB2F8">
      <w:start w:val="1"/>
      <w:numFmt w:val="lowerLetter"/>
      <w:lvlText w:val="(%1)"/>
      <w:lvlJc w:val="left"/>
      <w:pPr>
        <w:ind w:left="2271"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DB6AC3"/>
    <w:multiLevelType w:val="hybridMultilevel"/>
    <w:tmpl w:val="2B106160"/>
    <w:lvl w:ilvl="0" w:tplc="1688A74C">
      <w:start w:val="1"/>
      <w:numFmt w:val="lowerLetter"/>
      <w:lvlText w:val="(%1)"/>
      <w:lvlJc w:val="left"/>
      <w:pPr>
        <w:tabs>
          <w:tab w:val="num" w:pos="1"/>
        </w:tabs>
        <w:ind w:left="1134" w:firstLine="5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2B3CDF"/>
    <w:multiLevelType w:val="hybridMultilevel"/>
    <w:tmpl w:val="F38002FE"/>
    <w:lvl w:ilvl="0" w:tplc="DD6C30C0">
      <w:start w:val="1"/>
      <w:numFmt w:val="lowerLetter"/>
      <w:lvlText w:val="(%1)"/>
      <w:lvlJc w:val="left"/>
      <w:pPr>
        <w:tabs>
          <w:tab w:val="num" w:pos="1"/>
        </w:tabs>
        <w:ind w:left="1134"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B570BF1"/>
    <w:multiLevelType w:val="hybridMultilevel"/>
    <w:tmpl w:val="516A9F00"/>
    <w:lvl w:ilvl="0" w:tplc="5EB4936C">
      <w:start w:val="1"/>
      <w:numFmt w:val="decimal"/>
      <w:lvlText w:val="%1."/>
      <w:lvlJc w:val="left"/>
      <w:pPr>
        <w:ind w:left="1853" w:hanging="576"/>
      </w:pPr>
      <w:rPr>
        <w:b w:val="0"/>
        <w:bCs w:val="0"/>
        <w:i w:val="0"/>
        <w:color w:val="auto"/>
        <w:sz w:val="20"/>
        <w:szCs w:val="20"/>
        <w:lang w:val="en-US"/>
      </w:rPr>
    </w:lvl>
    <w:lvl w:ilvl="1" w:tplc="08090019">
      <w:start w:val="1"/>
      <w:numFmt w:val="decimal"/>
      <w:lvlText w:val="%2."/>
      <w:lvlJc w:val="left"/>
      <w:pPr>
        <w:tabs>
          <w:tab w:val="num" w:pos="1015"/>
        </w:tabs>
        <w:ind w:left="1015" w:hanging="360"/>
      </w:pPr>
    </w:lvl>
    <w:lvl w:ilvl="2" w:tplc="0809001B">
      <w:start w:val="1"/>
      <w:numFmt w:val="decimal"/>
      <w:lvlText w:val="%3."/>
      <w:lvlJc w:val="left"/>
      <w:pPr>
        <w:tabs>
          <w:tab w:val="num" w:pos="1735"/>
        </w:tabs>
        <w:ind w:left="1735" w:hanging="360"/>
      </w:pPr>
    </w:lvl>
    <w:lvl w:ilvl="3" w:tplc="0809000F">
      <w:start w:val="1"/>
      <w:numFmt w:val="decimal"/>
      <w:lvlText w:val="%4."/>
      <w:lvlJc w:val="left"/>
      <w:pPr>
        <w:tabs>
          <w:tab w:val="num" w:pos="2455"/>
        </w:tabs>
        <w:ind w:left="2455" w:hanging="360"/>
      </w:pPr>
    </w:lvl>
    <w:lvl w:ilvl="4" w:tplc="08090019">
      <w:start w:val="1"/>
      <w:numFmt w:val="decimal"/>
      <w:lvlText w:val="%5."/>
      <w:lvlJc w:val="left"/>
      <w:pPr>
        <w:tabs>
          <w:tab w:val="num" w:pos="3175"/>
        </w:tabs>
        <w:ind w:left="3175" w:hanging="360"/>
      </w:pPr>
    </w:lvl>
    <w:lvl w:ilvl="5" w:tplc="0809001B">
      <w:start w:val="1"/>
      <w:numFmt w:val="decimal"/>
      <w:lvlText w:val="%6."/>
      <w:lvlJc w:val="left"/>
      <w:pPr>
        <w:tabs>
          <w:tab w:val="num" w:pos="3895"/>
        </w:tabs>
        <w:ind w:left="3895" w:hanging="360"/>
      </w:pPr>
    </w:lvl>
    <w:lvl w:ilvl="6" w:tplc="0809000F">
      <w:start w:val="1"/>
      <w:numFmt w:val="decimal"/>
      <w:lvlText w:val="%7."/>
      <w:lvlJc w:val="left"/>
      <w:pPr>
        <w:tabs>
          <w:tab w:val="num" w:pos="4615"/>
        </w:tabs>
        <w:ind w:left="4615" w:hanging="360"/>
      </w:pPr>
    </w:lvl>
    <w:lvl w:ilvl="7" w:tplc="08090019">
      <w:start w:val="1"/>
      <w:numFmt w:val="decimal"/>
      <w:lvlText w:val="%8."/>
      <w:lvlJc w:val="left"/>
      <w:pPr>
        <w:tabs>
          <w:tab w:val="num" w:pos="5335"/>
        </w:tabs>
        <w:ind w:left="5335" w:hanging="360"/>
      </w:pPr>
    </w:lvl>
    <w:lvl w:ilvl="8" w:tplc="0809001B">
      <w:start w:val="1"/>
      <w:numFmt w:val="decimal"/>
      <w:lvlText w:val="%9."/>
      <w:lvlJc w:val="left"/>
      <w:pPr>
        <w:tabs>
          <w:tab w:val="num" w:pos="6055"/>
        </w:tabs>
        <w:ind w:left="6055" w:hanging="36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0"/>
  </w:num>
  <w:num w:numId="14">
    <w:abstractNumId w:val="18"/>
  </w:num>
  <w:num w:numId="15">
    <w:abstractNumId w:val="24"/>
  </w:num>
  <w:num w:numId="16">
    <w:abstractNumId w:val="19"/>
  </w:num>
  <w:num w:numId="17">
    <w:abstractNumId w:val="28"/>
  </w:num>
  <w:num w:numId="18">
    <w:abstractNumId w:val="29"/>
  </w:num>
  <w:num w:numId="19">
    <w:abstractNumId w:val="3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4"/>
  </w:num>
  <w:num w:numId="23">
    <w:abstractNumId w:val="15"/>
  </w:num>
  <w:num w:numId="24">
    <w:abstractNumId w:val="11"/>
  </w:num>
  <w:num w:numId="25">
    <w:abstractNumId w:val="26"/>
  </w:num>
  <w:num w:numId="26">
    <w:abstractNumId w:val="21"/>
  </w:num>
  <w:num w:numId="27">
    <w:abstractNumId w:val="22"/>
  </w:num>
  <w:num w:numId="28">
    <w:abstractNumId w:val="12"/>
  </w:num>
  <w:num w:numId="29">
    <w:abstractNumId w:val="17"/>
  </w:num>
  <w:num w:numId="30">
    <w:abstractNumId w:val="16"/>
  </w:num>
  <w:num w:numId="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0E"/>
    <w:rsid w:val="00002A7D"/>
    <w:rsid w:val="000038A8"/>
    <w:rsid w:val="00005D80"/>
    <w:rsid w:val="00006790"/>
    <w:rsid w:val="000239FF"/>
    <w:rsid w:val="00027624"/>
    <w:rsid w:val="00032393"/>
    <w:rsid w:val="00033219"/>
    <w:rsid w:val="00047860"/>
    <w:rsid w:val="00050F6B"/>
    <w:rsid w:val="00053E25"/>
    <w:rsid w:val="000678CD"/>
    <w:rsid w:val="00072C8C"/>
    <w:rsid w:val="00080A11"/>
    <w:rsid w:val="00081CE0"/>
    <w:rsid w:val="00084D30"/>
    <w:rsid w:val="00090320"/>
    <w:rsid w:val="000931C0"/>
    <w:rsid w:val="000A2E09"/>
    <w:rsid w:val="000A75FD"/>
    <w:rsid w:val="000B175B"/>
    <w:rsid w:val="000B3A0F"/>
    <w:rsid w:val="000D736E"/>
    <w:rsid w:val="000E0415"/>
    <w:rsid w:val="000E47BC"/>
    <w:rsid w:val="000F7715"/>
    <w:rsid w:val="00125C7E"/>
    <w:rsid w:val="00130917"/>
    <w:rsid w:val="00131E79"/>
    <w:rsid w:val="001357DA"/>
    <w:rsid w:val="00141868"/>
    <w:rsid w:val="00156B99"/>
    <w:rsid w:val="00164A78"/>
    <w:rsid w:val="00166124"/>
    <w:rsid w:val="00184DDA"/>
    <w:rsid w:val="001877DD"/>
    <w:rsid w:val="001900CD"/>
    <w:rsid w:val="001A0452"/>
    <w:rsid w:val="001A0EB6"/>
    <w:rsid w:val="001B4B04"/>
    <w:rsid w:val="001B5875"/>
    <w:rsid w:val="001C4B9C"/>
    <w:rsid w:val="001C6663"/>
    <w:rsid w:val="001C7895"/>
    <w:rsid w:val="001D26DF"/>
    <w:rsid w:val="001F1599"/>
    <w:rsid w:val="001F19C4"/>
    <w:rsid w:val="002041BA"/>
    <w:rsid w:val="002043F0"/>
    <w:rsid w:val="00206D4C"/>
    <w:rsid w:val="00211E0B"/>
    <w:rsid w:val="0022455F"/>
    <w:rsid w:val="00232575"/>
    <w:rsid w:val="00247258"/>
    <w:rsid w:val="002560CD"/>
    <w:rsid w:val="0025775A"/>
    <w:rsid w:val="00257CAC"/>
    <w:rsid w:val="00261633"/>
    <w:rsid w:val="0027237A"/>
    <w:rsid w:val="002974E9"/>
    <w:rsid w:val="002A7F94"/>
    <w:rsid w:val="002B109A"/>
    <w:rsid w:val="002B198E"/>
    <w:rsid w:val="002C321B"/>
    <w:rsid w:val="002C6D45"/>
    <w:rsid w:val="002D6E53"/>
    <w:rsid w:val="002F046D"/>
    <w:rsid w:val="002F73A3"/>
    <w:rsid w:val="00301764"/>
    <w:rsid w:val="003066E9"/>
    <w:rsid w:val="003229D8"/>
    <w:rsid w:val="00325EE6"/>
    <w:rsid w:val="00332DFC"/>
    <w:rsid w:val="00336C97"/>
    <w:rsid w:val="00337F88"/>
    <w:rsid w:val="00342432"/>
    <w:rsid w:val="003504F8"/>
    <w:rsid w:val="0035223F"/>
    <w:rsid w:val="00352A7E"/>
    <w:rsid w:val="00352D4B"/>
    <w:rsid w:val="0035638C"/>
    <w:rsid w:val="003A094D"/>
    <w:rsid w:val="003A46BB"/>
    <w:rsid w:val="003A4EC7"/>
    <w:rsid w:val="003A7295"/>
    <w:rsid w:val="003B1E4B"/>
    <w:rsid w:val="003B1F60"/>
    <w:rsid w:val="003C2CC4"/>
    <w:rsid w:val="003D4B23"/>
    <w:rsid w:val="003D7B79"/>
    <w:rsid w:val="003E278A"/>
    <w:rsid w:val="003E681E"/>
    <w:rsid w:val="004018B3"/>
    <w:rsid w:val="00413520"/>
    <w:rsid w:val="004325CB"/>
    <w:rsid w:val="0043507F"/>
    <w:rsid w:val="00440A07"/>
    <w:rsid w:val="00451E6D"/>
    <w:rsid w:val="0046210E"/>
    <w:rsid w:val="00462880"/>
    <w:rsid w:val="00476F24"/>
    <w:rsid w:val="004C55B0"/>
    <w:rsid w:val="004E00A0"/>
    <w:rsid w:val="004F6BA0"/>
    <w:rsid w:val="00503BEA"/>
    <w:rsid w:val="00533616"/>
    <w:rsid w:val="0053382E"/>
    <w:rsid w:val="00535ABA"/>
    <w:rsid w:val="0053768B"/>
    <w:rsid w:val="005420F2"/>
    <w:rsid w:val="0054285C"/>
    <w:rsid w:val="00564995"/>
    <w:rsid w:val="00566778"/>
    <w:rsid w:val="00584173"/>
    <w:rsid w:val="00595520"/>
    <w:rsid w:val="005A44B9"/>
    <w:rsid w:val="005A7916"/>
    <w:rsid w:val="005B1BA0"/>
    <w:rsid w:val="005B3DB3"/>
    <w:rsid w:val="005B705A"/>
    <w:rsid w:val="005D15CA"/>
    <w:rsid w:val="005D362C"/>
    <w:rsid w:val="005F08DF"/>
    <w:rsid w:val="005F3066"/>
    <w:rsid w:val="005F3E61"/>
    <w:rsid w:val="00604DDD"/>
    <w:rsid w:val="006115CC"/>
    <w:rsid w:val="00611FC4"/>
    <w:rsid w:val="006176FB"/>
    <w:rsid w:val="00621F10"/>
    <w:rsid w:val="00625F80"/>
    <w:rsid w:val="00630FCB"/>
    <w:rsid w:val="006328D5"/>
    <w:rsid w:val="00636A8A"/>
    <w:rsid w:val="00640B26"/>
    <w:rsid w:val="006770B2"/>
    <w:rsid w:val="00683155"/>
    <w:rsid w:val="006940E1"/>
    <w:rsid w:val="006A3C72"/>
    <w:rsid w:val="006A7392"/>
    <w:rsid w:val="006B03A1"/>
    <w:rsid w:val="006B12FC"/>
    <w:rsid w:val="006B67D9"/>
    <w:rsid w:val="006C43E3"/>
    <w:rsid w:val="006C5535"/>
    <w:rsid w:val="006C69ED"/>
    <w:rsid w:val="006D0589"/>
    <w:rsid w:val="006D5367"/>
    <w:rsid w:val="006D5A66"/>
    <w:rsid w:val="006E564B"/>
    <w:rsid w:val="006E7154"/>
    <w:rsid w:val="007003CD"/>
    <w:rsid w:val="0070153D"/>
    <w:rsid w:val="0070701E"/>
    <w:rsid w:val="007145C4"/>
    <w:rsid w:val="0071791C"/>
    <w:rsid w:val="00724B71"/>
    <w:rsid w:val="0072600C"/>
    <w:rsid w:val="0072632A"/>
    <w:rsid w:val="00734AE1"/>
    <w:rsid w:val="007358E8"/>
    <w:rsid w:val="00736583"/>
    <w:rsid w:val="00736ECE"/>
    <w:rsid w:val="0074239D"/>
    <w:rsid w:val="0074533B"/>
    <w:rsid w:val="007462C3"/>
    <w:rsid w:val="007602A7"/>
    <w:rsid w:val="00761043"/>
    <w:rsid w:val="007643BC"/>
    <w:rsid w:val="007733DF"/>
    <w:rsid w:val="007843BF"/>
    <w:rsid w:val="007959FE"/>
    <w:rsid w:val="007A0CF1"/>
    <w:rsid w:val="007A5BB6"/>
    <w:rsid w:val="007B12A6"/>
    <w:rsid w:val="007B6BA5"/>
    <w:rsid w:val="007C3390"/>
    <w:rsid w:val="007C42D8"/>
    <w:rsid w:val="007C4F4B"/>
    <w:rsid w:val="007D7362"/>
    <w:rsid w:val="007E1892"/>
    <w:rsid w:val="007E3EBE"/>
    <w:rsid w:val="007F5CE2"/>
    <w:rsid w:val="007F6611"/>
    <w:rsid w:val="00803623"/>
    <w:rsid w:val="00810BAC"/>
    <w:rsid w:val="008175E9"/>
    <w:rsid w:val="008242D7"/>
    <w:rsid w:val="0082577B"/>
    <w:rsid w:val="00830787"/>
    <w:rsid w:val="00834110"/>
    <w:rsid w:val="00836107"/>
    <w:rsid w:val="008436CC"/>
    <w:rsid w:val="00844737"/>
    <w:rsid w:val="00863DFE"/>
    <w:rsid w:val="00866893"/>
    <w:rsid w:val="00866F02"/>
    <w:rsid w:val="00867D18"/>
    <w:rsid w:val="00871F9A"/>
    <w:rsid w:val="00871FD5"/>
    <w:rsid w:val="0088172E"/>
    <w:rsid w:val="00881EFA"/>
    <w:rsid w:val="008879CB"/>
    <w:rsid w:val="008979B1"/>
    <w:rsid w:val="008A6B25"/>
    <w:rsid w:val="008A6C4F"/>
    <w:rsid w:val="008B389E"/>
    <w:rsid w:val="008C497D"/>
    <w:rsid w:val="008D045E"/>
    <w:rsid w:val="008D16FA"/>
    <w:rsid w:val="008D3F25"/>
    <w:rsid w:val="008D4D82"/>
    <w:rsid w:val="008E054A"/>
    <w:rsid w:val="008E0E46"/>
    <w:rsid w:val="008E7116"/>
    <w:rsid w:val="008F143B"/>
    <w:rsid w:val="008F3882"/>
    <w:rsid w:val="008F4B7C"/>
    <w:rsid w:val="009241DD"/>
    <w:rsid w:val="009264EA"/>
    <w:rsid w:val="00926E47"/>
    <w:rsid w:val="00947162"/>
    <w:rsid w:val="0096040B"/>
    <w:rsid w:val="009610D0"/>
    <w:rsid w:val="0096375C"/>
    <w:rsid w:val="009662E6"/>
    <w:rsid w:val="0097095E"/>
    <w:rsid w:val="009720F4"/>
    <w:rsid w:val="0098592B"/>
    <w:rsid w:val="00985FC4"/>
    <w:rsid w:val="00990766"/>
    <w:rsid w:val="00991261"/>
    <w:rsid w:val="009964C4"/>
    <w:rsid w:val="009A325D"/>
    <w:rsid w:val="009A7B81"/>
    <w:rsid w:val="009D01C0"/>
    <w:rsid w:val="009D6A08"/>
    <w:rsid w:val="009E0A16"/>
    <w:rsid w:val="009E46A5"/>
    <w:rsid w:val="009E6CB7"/>
    <w:rsid w:val="009E7970"/>
    <w:rsid w:val="009F2EAC"/>
    <w:rsid w:val="009F57E3"/>
    <w:rsid w:val="00A00FEB"/>
    <w:rsid w:val="00A01BBF"/>
    <w:rsid w:val="00A04DA3"/>
    <w:rsid w:val="00A10F4F"/>
    <w:rsid w:val="00A11067"/>
    <w:rsid w:val="00A16EA9"/>
    <w:rsid w:val="00A1704A"/>
    <w:rsid w:val="00A425EB"/>
    <w:rsid w:val="00A72F22"/>
    <w:rsid w:val="00A733BC"/>
    <w:rsid w:val="00A748A6"/>
    <w:rsid w:val="00A76A69"/>
    <w:rsid w:val="00A839AA"/>
    <w:rsid w:val="00A85371"/>
    <w:rsid w:val="00A879A4"/>
    <w:rsid w:val="00A96D8D"/>
    <w:rsid w:val="00AA0FF8"/>
    <w:rsid w:val="00AC0F2C"/>
    <w:rsid w:val="00AC3376"/>
    <w:rsid w:val="00AC502A"/>
    <w:rsid w:val="00AE4C77"/>
    <w:rsid w:val="00AF58C1"/>
    <w:rsid w:val="00B04A3F"/>
    <w:rsid w:val="00B06643"/>
    <w:rsid w:val="00B15055"/>
    <w:rsid w:val="00B30179"/>
    <w:rsid w:val="00B31762"/>
    <w:rsid w:val="00B37B15"/>
    <w:rsid w:val="00B45C02"/>
    <w:rsid w:val="00B60C5F"/>
    <w:rsid w:val="00B70B63"/>
    <w:rsid w:val="00B72A1E"/>
    <w:rsid w:val="00B81E12"/>
    <w:rsid w:val="00B92042"/>
    <w:rsid w:val="00BA339B"/>
    <w:rsid w:val="00BC1E7E"/>
    <w:rsid w:val="00BC74E9"/>
    <w:rsid w:val="00BC7F74"/>
    <w:rsid w:val="00BD6290"/>
    <w:rsid w:val="00BE36A9"/>
    <w:rsid w:val="00BE618E"/>
    <w:rsid w:val="00BE7BEC"/>
    <w:rsid w:val="00BF0A5A"/>
    <w:rsid w:val="00BF0E63"/>
    <w:rsid w:val="00BF12A3"/>
    <w:rsid w:val="00BF16D7"/>
    <w:rsid w:val="00BF2373"/>
    <w:rsid w:val="00BF31D4"/>
    <w:rsid w:val="00C03A1E"/>
    <w:rsid w:val="00C044E2"/>
    <w:rsid w:val="00C048CB"/>
    <w:rsid w:val="00C066F3"/>
    <w:rsid w:val="00C2068B"/>
    <w:rsid w:val="00C463DD"/>
    <w:rsid w:val="00C54AC3"/>
    <w:rsid w:val="00C56B15"/>
    <w:rsid w:val="00C5723B"/>
    <w:rsid w:val="00C745C3"/>
    <w:rsid w:val="00C95344"/>
    <w:rsid w:val="00C964BB"/>
    <w:rsid w:val="00CA24A4"/>
    <w:rsid w:val="00CA7EC8"/>
    <w:rsid w:val="00CB348D"/>
    <w:rsid w:val="00CC070D"/>
    <w:rsid w:val="00CD46F5"/>
    <w:rsid w:val="00CE2A1F"/>
    <w:rsid w:val="00CE374F"/>
    <w:rsid w:val="00CE4A8F"/>
    <w:rsid w:val="00CF071D"/>
    <w:rsid w:val="00D15B04"/>
    <w:rsid w:val="00D2031B"/>
    <w:rsid w:val="00D2286E"/>
    <w:rsid w:val="00D24D86"/>
    <w:rsid w:val="00D25439"/>
    <w:rsid w:val="00D25FE2"/>
    <w:rsid w:val="00D33422"/>
    <w:rsid w:val="00D37DA9"/>
    <w:rsid w:val="00D406A7"/>
    <w:rsid w:val="00D410EC"/>
    <w:rsid w:val="00D43252"/>
    <w:rsid w:val="00D442A4"/>
    <w:rsid w:val="00D44D86"/>
    <w:rsid w:val="00D476F5"/>
    <w:rsid w:val="00D50B7D"/>
    <w:rsid w:val="00D52012"/>
    <w:rsid w:val="00D53564"/>
    <w:rsid w:val="00D53CDB"/>
    <w:rsid w:val="00D704E5"/>
    <w:rsid w:val="00D71CED"/>
    <w:rsid w:val="00D72727"/>
    <w:rsid w:val="00D72DF0"/>
    <w:rsid w:val="00D8273E"/>
    <w:rsid w:val="00D978C6"/>
    <w:rsid w:val="00DA0956"/>
    <w:rsid w:val="00DA1893"/>
    <w:rsid w:val="00DA357F"/>
    <w:rsid w:val="00DA3E12"/>
    <w:rsid w:val="00DB18FD"/>
    <w:rsid w:val="00DB446B"/>
    <w:rsid w:val="00DC18AD"/>
    <w:rsid w:val="00DD1785"/>
    <w:rsid w:val="00DD2D35"/>
    <w:rsid w:val="00DD68BC"/>
    <w:rsid w:val="00DE2AF7"/>
    <w:rsid w:val="00DE45EF"/>
    <w:rsid w:val="00DF4D1C"/>
    <w:rsid w:val="00DF7CAE"/>
    <w:rsid w:val="00E02FBB"/>
    <w:rsid w:val="00E27CB3"/>
    <w:rsid w:val="00E3382B"/>
    <w:rsid w:val="00E423C0"/>
    <w:rsid w:val="00E51811"/>
    <w:rsid w:val="00E55F63"/>
    <w:rsid w:val="00E6414C"/>
    <w:rsid w:val="00E66B13"/>
    <w:rsid w:val="00E7260F"/>
    <w:rsid w:val="00E83087"/>
    <w:rsid w:val="00E8702D"/>
    <w:rsid w:val="00E916A9"/>
    <w:rsid w:val="00E916DE"/>
    <w:rsid w:val="00E925AD"/>
    <w:rsid w:val="00E96630"/>
    <w:rsid w:val="00EA041B"/>
    <w:rsid w:val="00EA753B"/>
    <w:rsid w:val="00EB507D"/>
    <w:rsid w:val="00EB577C"/>
    <w:rsid w:val="00EB5808"/>
    <w:rsid w:val="00EC27A1"/>
    <w:rsid w:val="00ED18DC"/>
    <w:rsid w:val="00ED6201"/>
    <w:rsid w:val="00ED7A2A"/>
    <w:rsid w:val="00EF1D7F"/>
    <w:rsid w:val="00F0137E"/>
    <w:rsid w:val="00F206D1"/>
    <w:rsid w:val="00F21786"/>
    <w:rsid w:val="00F26CA4"/>
    <w:rsid w:val="00F3742B"/>
    <w:rsid w:val="00F41FDB"/>
    <w:rsid w:val="00F56D63"/>
    <w:rsid w:val="00F609A9"/>
    <w:rsid w:val="00F80C99"/>
    <w:rsid w:val="00F867EC"/>
    <w:rsid w:val="00F91B2B"/>
    <w:rsid w:val="00FA10B1"/>
    <w:rsid w:val="00FB23F5"/>
    <w:rsid w:val="00FC03CD"/>
    <w:rsid w:val="00FC0646"/>
    <w:rsid w:val="00FC68B7"/>
    <w:rsid w:val="00FE3773"/>
    <w:rsid w:val="00FE69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5AD"/>
    <w:pPr>
      <w:suppressAutoHyphens/>
      <w:spacing w:line="240" w:lineRule="atLeast"/>
    </w:pPr>
    <w:rPr>
      <w:lang w:eastAsia="en-US"/>
    </w:rPr>
  </w:style>
  <w:style w:type="paragraph" w:styleId="Nadpis1">
    <w:name w:val="heading 1"/>
    <w:aliases w:val="Table_G"/>
    <w:basedOn w:val="SingleTxtG"/>
    <w:next w:val="SingleTxtG"/>
    <w:qFormat/>
    <w:rsid w:val="00E925AD"/>
    <w:pPr>
      <w:spacing w:after="0" w:line="240" w:lineRule="auto"/>
      <w:ind w:right="0"/>
      <w:jc w:val="left"/>
      <w:outlineLvl w:val="0"/>
    </w:pPr>
  </w:style>
  <w:style w:type="paragraph" w:styleId="Nadpis2">
    <w:name w:val="heading 2"/>
    <w:basedOn w:val="Normln"/>
    <w:next w:val="Normln"/>
    <w:qFormat/>
    <w:rsid w:val="00E925AD"/>
    <w:pPr>
      <w:spacing w:line="240" w:lineRule="auto"/>
      <w:outlineLvl w:val="1"/>
    </w:pPr>
  </w:style>
  <w:style w:type="paragraph" w:styleId="Nadpis3">
    <w:name w:val="heading 3"/>
    <w:basedOn w:val="Normln"/>
    <w:next w:val="Normln"/>
    <w:qFormat/>
    <w:rsid w:val="00E925AD"/>
    <w:pPr>
      <w:spacing w:line="240" w:lineRule="auto"/>
      <w:outlineLvl w:val="2"/>
    </w:pPr>
  </w:style>
  <w:style w:type="paragraph" w:styleId="Nadpis4">
    <w:name w:val="heading 4"/>
    <w:basedOn w:val="Normln"/>
    <w:next w:val="Normln"/>
    <w:qFormat/>
    <w:rsid w:val="00E925AD"/>
    <w:pPr>
      <w:spacing w:line="240" w:lineRule="auto"/>
      <w:outlineLvl w:val="3"/>
    </w:pPr>
  </w:style>
  <w:style w:type="paragraph" w:styleId="Nadpis5">
    <w:name w:val="heading 5"/>
    <w:basedOn w:val="Normln"/>
    <w:next w:val="Normln"/>
    <w:qFormat/>
    <w:rsid w:val="00E925AD"/>
    <w:pPr>
      <w:spacing w:line="240" w:lineRule="auto"/>
      <w:outlineLvl w:val="4"/>
    </w:pPr>
  </w:style>
  <w:style w:type="paragraph" w:styleId="Nadpis6">
    <w:name w:val="heading 6"/>
    <w:basedOn w:val="Normln"/>
    <w:next w:val="Normln"/>
    <w:qFormat/>
    <w:rsid w:val="00E925AD"/>
    <w:pPr>
      <w:spacing w:line="240" w:lineRule="auto"/>
      <w:outlineLvl w:val="5"/>
    </w:pPr>
  </w:style>
  <w:style w:type="paragraph" w:styleId="Nadpis7">
    <w:name w:val="heading 7"/>
    <w:basedOn w:val="Normln"/>
    <w:next w:val="Normln"/>
    <w:qFormat/>
    <w:rsid w:val="00E925AD"/>
    <w:pPr>
      <w:spacing w:line="240" w:lineRule="auto"/>
      <w:outlineLvl w:val="6"/>
    </w:pPr>
  </w:style>
  <w:style w:type="paragraph" w:styleId="Nadpis8">
    <w:name w:val="heading 8"/>
    <w:basedOn w:val="Normln"/>
    <w:next w:val="Normln"/>
    <w:qFormat/>
    <w:rsid w:val="00E925AD"/>
    <w:pPr>
      <w:spacing w:line="240" w:lineRule="auto"/>
      <w:outlineLvl w:val="7"/>
    </w:pPr>
  </w:style>
  <w:style w:type="paragraph" w:styleId="Nadpis9">
    <w:name w:val="heading 9"/>
    <w:basedOn w:val="Normln"/>
    <w:next w:val="Normln"/>
    <w:qFormat/>
    <w:rsid w:val="00E925AD"/>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rsid w:val="00E925AD"/>
    <w:pPr>
      <w:spacing w:after="120"/>
      <w:ind w:left="1134" w:right="1134"/>
      <w:jc w:val="both"/>
    </w:pPr>
  </w:style>
  <w:style w:type="paragraph" w:customStyle="1" w:styleId="HMG">
    <w:name w:val="_ H __M_G"/>
    <w:basedOn w:val="Normln"/>
    <w:next w:val="Normln"/>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E925AD"/>
    <w:pPr>
      <w:keepNext/>
      <w:keepLines/>
      <w:tabs>
        <w:tab w:val="right" w:pos="851"/>
      </w:tabs>
      <w:spacing w:before="360" w:after="240" w:line="300" w:lineRule="exact"/>
      <w:ind w:left="1134" w:right="1134" w:hanging="1134"/>
    </w:pPr>
    <w:rPr>
      <w:b/>
      <w:sz w:val="28"/>
    </w:rPr>
  </w:style>
  <w:style w:type="character" w:styleId="slostrnky">
    <w:name w:val="page number"/>
    <w:aliases w:val="7_G"/>
    <w:rsid w:val="00E925AD"/>
    <w:rPr>
      <w:rFonts w:ascii="Times New Roman" w:hAnsi="Times New Roman"/>
      <w:b/>
      <w:sz w:val="18"/>
    </w:rPr>
  </w:style>
  <w:style w:type="paragraph" w:customStyle="1" w:styleId="SMG">
    <w:name w:val="__S_M_G"/>
    <w:basedOn w:val="Normln"/>
    <w:next w:val="Normln"/>
    <w:rsid w:val="00E925AD"/>
    <w:pPr>
      <w:keepNext/>
      <w:keepLines/>
      <w:spacing w:before="240" w:after="240" w:line="420" w:lineRule="exact"/>
      <w:ind w:left="1134" w:right="1134"/>
    </w:pPr>
    <w:rPr>
      <w:b/>
      <w:sz w:val="40"/>
    </w:rPr>
  </w:style>
  <w:style w:type="paragraph" w:customStyle="1" w:styleId="SLG">
    <w:name w:val="__S_L_G"/>
    <w:basedOn w:val="Normln"/>
    <w:next w:val="Normln"/>
    <w:rsid w:val="00E925AD"/>
    <w:pPr>
      <w:keepNext/>
      <w:keepLines/>
      <w:spacing w:before="240" w:after="240" w:line="580" w:lineRule="exact"/>
      <w:ind w:left="1134" w:right="1134"/>
    </w:pPr>
    <w:rPr>
      <w:b/>
      <w:sz w:val="56"/>
    </w:rPr>
  </w:style>
  <w:style w:type="paragraph" w:customStyle="1" w:styleId="SSG">
    <w:name w:val="__S_S_G"/>
    <w:basedOn w:val="Normln"/>
    <w:next w:val="Normln"/>
    <w:rsid w:val="00E925AD"/>
    <w:pPr>
      <w:keepNext/>
      <w:keepLines/>
      <w:spacing w:before="240" w:after="240" w:line="300" w:lineRule="exact"/>
      <w:ind w:left="1134" w:right="1134"/>
    </w:pPr>
    <w:rPr>
      <w:b/>
      <w:sz w:val="28"/>
    </w:rPr>
  </w:style>
  <w:style w:type="character" w:styleId="Odkaznavysvtlivky">
    <w:name w:val="endnote reference"/>
    <w:aliases w:val="1_G"/>
    <w:rsid w:val="00E925AD"/>
    <w:rPr>
      <w:rFonts w:ascii="Times New Roman" w:hAnsi="Times New Roman"/>
      <w:sz w:val="18"/>
      <w:vertAlign w:val="superscript"/>
    </w:rPr>
  </w:style>
  <w:style w:type="character" w:styleId="Znakapoznpodarou">
    <w:name w:val="footnote reference"/>
    <w:aliases w:val="4_G,callout,Footnote Refernece,Footnote Reference Number,Fußnotenzeichen_Raxen,BVI fnr,Fago Fußnotenzeichen"/>
    <w:rsid w:val="00E925AD"/>
    <w:rPr>
      <w:rFonts w:ascii="Times New Roman" w:hAnsi="Times New Roman"/>
      <w:sz w:val="18"/>
      <w:vertAlign w:val="superscript"/>
    </w:rPr>
  </w:style>
  <w:style w:type="paragraph" w:styleId="Textpoznpodarou">
    <w:name w:val="footnote text"/>
    <w:aliases w:val="5_G,Footnote Text Char1,Footnote Text Char Char,Char,Char Char Char,Char Char Char Char,single space,Footnote Text Char Char Char Char Char Char Char, Char, Char Char Char, Char Char Char Char,Note de bas de page2,Текст сноски Знак"/>
    <w:basedOn w:val="Normln"/>
    <w:link w:val="TextpoznpodarouChar"/>
    <w:rsid w:val="00E925AD"/>
    <w:pPr>
      <w:tabs>
        <w:tab w:val="right" w:pos="1021"/>
      </w:tabs>
      <w:spacing w:line="220" w:lineRule="exact"/>
      <w:ind w:left="1134" w:right="1134" w:hanging="1134"/>
    </w:pPr>
    <w:rPr>
      <w:sz w:val="18"/>
    </w:rPr>
  </w:style>
  <w:style w:type="paragraph" w:customStyle="1" w:styleId="XLargeG">
    <w:name w:val="__XLarge_G"/>
    <w:basedOn w:val="Normln"/>
    <w:next w:val="Normln"/>
    <w:rsid w:val="00E925AD"/>
    <w:pPr>
      <w:keepNext/>
      <w:keepLines/>
      <w:spacing w:before="240" w:after="240" w:line="420" w:lineRule="exact"/>
      <w:ind w:left="1134" w:right="1134"/>
    </w:pPr>
    <w:rPr>
      <w:b/>
      <w:sz w:val="40"/>
    </w:rPr>
  </w:style>
  <w:style w:type="paragraph" w:customStyle="1" w:styleId="Bullet1G">
    <w:name w:val="_Bullet 1_G"/>
    <w:basedOn w:val="Normln"/>
    <w:rsid w:val="00E925AD"/>
    <w:pPr>
      <w:numPr>
        <w:numId w:val="17"/>
      </w:numPr>
      <w:spacing w:after="120"/>
      <w:ind w:right="1134"/>
      <w:jc w:val="both"/>
    </w:pPr>
  </w:style>
  <w:style w:type="paragraph" w:styleId="Textvysvtlivek">
    <w:name w:val="endnote text"/>
    <w:aliases w:val="2_G"/>
    <w:basedOn w:val="Textpoznpodarou"/>
    <w:rsid w:val="00E925AD"/>
  </w:style>
  <w:style w:type="paragraph" w:customStyle="1" w:styleId="Bullet2G">
    <w:name w:val="_Bullet 2_G"/>
    <w:basedOn w:val="Normln"/>
    <w:rsid w:val="00E925AD"/>
    <w:pPr>
      <w:numPr>
        <w:numId w:val="18"/>
      </w:numPr>
      <w:spacing w:after="120"/>
      <w:ind w:right="1134"/>
      <w:jc w:val="both"/>
    </w:pPr>
  </w:style>
  <w:style w:type="paragraph" w:customStyle="1" w:styleId="H1G">
    <w:name w:val="_ H_1_G"/>
    <w:basedOn w:val="Normln"/>
    <w:next w:val="Normln"/>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link w:val="H23GChar"/>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E925AD"/>
    <w:pPr>
      <w:keepNext/>
      <w:keepLines/>
      <w:tabs>
        <w:tab w:val="right" w:pos="851"/>
      </w:tabs>
      <w:spacing w:before="240" w:after="120" w:line="240" w:lineRule="exact"/>
      <w:ind w:left="1134" w:right="1134" w:hanging="1134"/>
    </w:pPr>
  </w:style>
  <w:style w:type="character" w:styleId="Hypertextovodkaz">
    <w:name w:val="Hyperlink"/>
    <w:semiHidden/>
    <w:rsid w:val="00E925AD"/>
    <w:rPr>
      <w:color w:val="auto"/>
      <w:u w:val="none"/>
    </w:rPr>
  </w:style>
  <w:style w:type="paragraph" w:styleId="Zpat">
    <w:name w:val="footer"/>
    <w:aliases w:val="3_G"/>
    <w:basedOn w:val="Normln"/>
    <w:rsid w:val="00E925AD"/>
    <w:pPr>
      <w:spacing w:line="240" w:lineRule="auto"/>
    </w:pPr>
    <w:rPr>
      <w:sz w:val="16"/>
    </w:rPr>
  </w:style>
  <w:style w:type="paragraph" w:styleId="Zhlav">
    <w:name w:val="header"/>
    <w:aliases w:val="6_G"/>
    <w:basedOn w:val="Normln"/>
    <w:rsid w:val="00E925AD"/>
    <w:pPr>
      <w:pBdr>
        <w:bottom w:val="single" w:sz="4" w:space="4" w:color="auto"/>
      </w:pBdr>
      <w:spacing w:line="240" w:lineRule="auto"/>
    </w:pPr>
    <w:rPr>
      <w:b/>
      <w:sz w:val="18"/>
    </w:rPr>
  </w:style>
  <w:style w:type="table" w:styleId="Mkatabulky">
    <w:name w:val="Table Grid"/>
    <w:basedOn w:val="Normlntabulka"/>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ledovanodkaz">
    <w:name w:val="FollowedHyperlink"/>
    <w:semiHidden/>
    <w:rsid w:val="00E925AD"/>
    <w:rPr>
      <w:color w:val="auto"/>
      <w:u w:val="none"/>
    </w:rPr>
  </w:style>
  <w:style w:type="paragraph" w:styleId="Textbubliny">
    <w:name w:val="Balloon Text"/>
    <w:basedOn w:val="Normln"/>
    <w:link w:val="TextbublinyChar"/>
    <w:rsid w:val="00F206D1"/>
    <w:pPr>
      <w:spacing w:line="240" w:lineRule="auto"/>
    </w:pPr>
    <w:rPr>
      <w:rFonts w:ascii="Tahoma" w:hAnsi="Tahoma" w:cs="Tahoma"/>
      <w:sz w:val="16"/>
      <w:szCs w:val="16"/>
    </w:rPr>
  </w:style>
  <w:style w:type="character" w:customStyle="1" w:styleId="TextbublinyChar">
    <w:name w:val="Text bubliny Char"/>
    <w:link w:val="Textbubliny"/>
    <w:rsid w:val="00F206D1"/>
    <w:rPr>
      <w:rFonts w:ascii="Tahoma" w:hAnsi="Tahoma" w:cs="Tahoma"/>
      <w:sz w:val="16"/>
      <w:szCs w:val="16"/>
      <w:lang w:eastAsia="en-US"/>
    </w:rPr>
  </w:style>
  <w:style w:type="character" w:styleId="Odkaznakoment">
    <w:name w:val="annotation reference"/>
    <w:rsid w:val="0070153D"/>
    <w:rPr>
      <w:sz w:val="16"/>
      <w:szCs w:val="16"/>
    </w:rPr>
  </w:style>
  <w:style w:type="paragraph" w:styleId="Textkomente">
    <w:name w:val="annotation text"/>
    <w:basedOn w:val="Normln"/>
    <w:link w:val="TextkomenteChar"/>
    <w:rsid w:val="0070153D"/>
  </w:style>
  <w:style w:type="character" w:customStyle="1" w:styleId="TextkomenteChar">
    <w:name w:val="Text komentáře Char"/>
    <w:link w:val="Textkomente"/>
    <w:rsid w:val="0070153D"/>
    <w:rPr>
      <w:lang w:eastAsia="en-US"/>
    </w:rPr>
  </w:style>
  <w:style w:type="paragraph" w:styleId="Pedmtkomente">
    <w:name w:val="annotation subject"/>
    <w:basedOn w:val="Textkomente"/>
    <w:next w:val="Textkomente"/>
    <w:link w:val="PedmtkomenteChar"/>
    <w:rsid w:val="0070153D"/>
    <w:rPr>
      <w:b/>
      <w:bCs/>
    </w:rPr>
  </w:style>
  <w:style w:type="character" w:customStyle="1" w:styleId="PedmtkomenteChar">
    <w:name w:val="Předmět komentáře Char"/>
    <w:link w:val="Pedmtkomente"/>
    <w:rsid w:val="0070153D"/>
    <w:rPr>
      <w:b/>
      <w:bCs/>
      <w:lang w:eastAsia="en-US"/>
    </w:rPr>
  </w:style>
  <w:style w:type="character" w:customStyle="1" w:styleId="TextpoznpodarouChar">
    <w:name w:val="Text pozn. pod čarou Char"/>
    <w:aliases w:val="5_G Char,Footnote Text Char1 Char,Footnote Text Char Char Char,Char Char,Char Char Char Char1,Char Char Char Char Char,single space Char,Footnote Text Char Char Char Char Char Char Char Char, Char Char, Char Char Char Char1"/>
    <w:link w:val="Textpoznpodarou"/>
    <w:locked/>
    <w:rsid w:val="00164A78"/>
    <w:rPr>
      <w:sz w:val="18"/>
      <w:lang w:eastAsia="en-US"/>
    </w:rPr>
  </w:style>
  <w:style w:type="character" w:customStyle="1" w:styleId="H23GChar">
    <w:name w:val="_ H_2/3_G Char"/>
    <w:link w:val="H23G"/>
    <w:rsid w:val="006328D5"/>
    <w:rPr>
      <w:b/>
      <w:lang w:val="cs-CZ"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5AD"/>
    <w:pPr>
      <w:suppressAutoHyphens/>
      <w:spacing w:line="240" w:lineRule="atLeast"/>
    </w:pPr>
    <w:rPr>
      <w:lang w:eastAsia="en-US"/>
    </w:rPr>
  </w:style>
  <w:style w:type="paragraph" w:styleId="Nadpis1">
    <w:name w:val="heading 1"/>
    <w:aliases w:val="Table_G"/>
    <w:basedOn w:val="SingleTxtG"/>
    <w:next w:val="SingleTxtG"/>
    <w:qFormat/>
    <w:rsid w:val="00E925AD"/>
    <w:pPr>
      <w:spacing w:after="0" w:line="240" w:lineRule="auto"/>
      <w:ind w:right="0"/>
      <w:jc w:val="left"/>
      <w:outlineLvl w:val="0"/>
    </w:pPr>
  </w:style>
  <w:style w:type="paragraph" w:styleId="Nadpis2">
    <w:name w:val="heading 2"/>
    <w:basedOn w:val="Normln"/>
    <w:next w:val="Normln"/>
    <w:qFormat/>
    <w:rsid w:val="00E925AD"/>
    <w:pPr>
      <w:spacing w:line="240" w:lineRule="auto"/>
      <w:outlineLvl w:val="1"/>
    </w:pPr>
  </w:style>
  <w:style w:type="paragraph" w:styleId="Nadpis3">
    <w:name w:val="heading 3"/>
    <w:basedOn w:val="Normln"/>
    <w:next w:val="Normln"/>
    <w:qFormat/>
    <w:rsid w:val="00E925AD"/>
    <w:pPr>
      <w:spacing w:line="240" w:lineRule="auto"/>
      <w:outlineLvl w:val="2"/>
    </w:pPr>
  </w:style>
  <w:style w:type="paragraph" w:styleId="Nadpis4">
    <w:name w:val="heading 4"/>
    <w:basedOn w:val="Normln"/>
    <w:next w:val="Normln"/>
    <w:qFormat/>
    <w:rsid w:val="00E925AD"/>
    <w:pPr>
      <w:spacing w:line="240" w:lineRule="auto"/>
      <w:outlineLvl w:val="3"/>
    </w:pPr>
  </w:style>
  <w:style w:type="paragraph" w:styleId="Nadpis5">
    <w:name w:val="heading 5"/>
    <w:basedOn w:val="Normln"/>
    <w:next w:val="Normln"/>
    <w:qFormat/>
    <w:rsid w:val="00E925AD"/>
    <w:pPr>
      <w:spacing w:line="240" w:lineRule="auto"/>
      <w:outlineLvl w:val="4"/>
    </w:pPr>
  </w:style>
  <w:style w:type="paragraph" w:styleId="Nadpis6">
    <w:name w:val="heading 6"/>
    <w:basedOn w:val="Normln"/>
    <w:next w:val="Normln"/>
    <w:qFormat/>
    <w:rsid w:val="00E925AD"/>
    <w:pPr>
      <w:spacing w:line="240" w:lineRule="auto"/>
      <w:outlineLvl w:val="5"/>
    </w:pPr>
  </w:style>
  <w:style w:type="paragraph" w:styleId="Nadpis7">
    <w:name w:val="heading 7"/>
    <w:basedOn w:val="Normln"/>
    <w:next w:val="Normln"/>
    <w:qFormat/>
    <w:rsid w:val="00E925AD"/>
    <w:pPr>
      <w:spacing w:line="240" w:lineRule="auto"/>
      <w:outlineLvl w:val="6"/>
    </w:pPr>
  </w:style>
  <w:style w:type="paragraph" w:styleId="Nadpis8">
    <w:name w:val="heading 8"/>
    <w:basedOn w:val="Normln"/>
    <w:next w:val="Normln"/>
    <w:qFormat/>
    <w:rsid w:val="00E925AD"/>
    <w:pPr>
      <w:spacing w:line="240" w:lineRule="auto"/>
      <w:outlineLvl w:val="7"/>
    </w:pPr>
  </w:style>
  <w:style w:type="paragraph" w:styleId="Nadpis9">
    <w:name w:val="heading 9"/>
    <w:basedOn w:val="Normln"/>
    <w:next w:val="Normln"/>
    <w:qFormat/>
    <w:rsid w:val="00E925AD"/>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rsid w:val="00E925AD"/>
    <w:pPr>
      <w:spacing w:after="120"/>
      <w:ind w:left="1134" w:right="1134"/>
      <w:jc w:val="both"/>
    </w:pPr>
  </w:style>
  <w:style w:type="paragraph" w:customStyle="1" w:styleId="HMG">
    <w:name w:val="_ H __M_G"/>
    <w:basedOn w:val="Normln"/>
    <w:next w:val="Normln"/>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E925AD"/>
    <w:pPr>
      <w:keepNext/>
      <w:keepLines/>
      <w:tabs>
        <w:tab w:val="right" w:pos="851"/>
      </w:tabs>
      <w:spacing w:before="360" w:after="240" w:line="300" w:lineRule="exact"/>
      <w:ind w:left="1134" w:right="1134" w:hanging="1134"/>
    </w:pPr>
    <w:rPr>
      <w:b/>
      <w:sz w:val="28"/>
    </w:rPr>
  </w:style>
  <w:style w:type="character" w:styleId="slostrnky">
    <w:name w:val="page number"/>
    <w:aliases w:val="7_G"/>
    <w:rsid w:val="00E925AD"/>
    <w:rPr>
      <w:rFonts w:ascii="Times New Roman" w:hAnsi="Times New Roman"/>
      <w:b/>
      <w:sz w:val="18"/>
    </w:rPr>
  </w:style>
  <w:style w:type="paragraph" w:customStyle="1" w:styleId="SMG">
    <w:name w:val="__S_M_G"/>
    <w:basedOn w:val="Normln"/>
    <w:next w:val="Normln"/>
    <w:rsid w:val="00E925AD"/>
    <w:pPr>
      <w:keepNext/>
      <w:keepLines/>
      <w:spacing w:before="240" w:after="240" w:line="420" w:lineRule="exact"/>
      <w:ind w:left="1134" w:right="1134"/>
    </w:pPr>
    <w:rPr>
      <w:b/>
      <w:sz w:val="40"/>
    </w:rPr>
  </w:style>
  <w:style w:type="paragraph" w:customStyle="1" w:styleId="SLG">
    <w:name w:val="__S_L_G"/>
    <w:basedOn w:val="Normln"/>
    <w:next w:val="Normln"/>
    <w:rsid w:val="00E925AD"/>
    <w:pPr>
      <w:keepNext/>
      <w:keepLines/>
      <w:spacing w:before="240" w:after="240" w:line="580" w:lineRule="exact"/>
      <w:ind w:left="1134" w:right="1134"/>
    </w:pPr>
    <w:rPr>
      <w:b/>
      <w:sz w:val="56"/>
    </w:rPr>
  </w:style>
  <w:style w:type="paragraph" w:customStyle="1" w:styleId="SSG">
    <w:name w:val="__S_S_G"/>
    <w:basedOn w:val="Normln"/>
    <w:next w:val="Normln"/>
    <w:rsid w:val="00E925AD"/>
    <w:pPr>
      <w:keepNext/>
      <w:keepLines/>
      <w:spacing w:before="240" w:after="240" w:line="300" w:lineRule="exact"/>
      <w:ind w:left="1134" w:right="1134"/>
    </w:pPr>
    <w:rPr>
      <w:b/>
      <w:sz w:val="28"/>
    </w:rPr>
  </w:style>
  <w:style w:type="character" w:styleId="Odkaznavysvtlivky">
    <w:name w:val="endnote reference"/>
    <w:aliases w:val="1_G"/>
    <w:rsid w:val="00E925AD"/>
    <w:rPr>
      <w:rFonts w:ascii="Times New Roman" w:hAnsi="Times New Roman"/>
      <w:sz w:val="18"/>
      <w:vertAlign w:val="superscript"/>
    </w:rPr>
  </w:style>
  <w:style w:type="character" w:styleId="Znakapoznpodarou">
    <w:name w:val="footnote reference"/>
    <w:aliases w:val="4_G,callout,Footnote Refernece,Footnote Reference Number,Fußnotenzeichen_Raxen,BVI fnr,Fago Fußnotenzeichen"/>
    <w:rsid w:val="00E925AD"/>
    <w:rPr>
      <w:rFonts w:ascii="Times New Roman" w:hAnsi="Times New Roman"/>
      <w:sz w:val="18"/>
      <w:vertAlign w:val="superscript"/>
    </w:rPr>
  </w:style>
  <w:style w:type="paragraph" w:styleId="Textpoznpodarou">
    <w:name w:val="footnote text"/>
    <w:aliases w:val="5_G,Footnote Text Char1,Footnote Text Char Char,Char,Char Char Char,Char Char Char Char,single space,Footnote Text Char Char Char Char Char Char Char, Char, Char Char Char, Char Char Char Char,Note de bas de page2,Текст сноски Знак"/>
    <w:basedOn w:val="Normln"/>
    <w:link w:val="TextpoznpodarouChar"/>
    <w:rsid w:val="00E925AD"/>
    <w:pPr>
      <w:tabs>
        <w:tab w:val="right" w:pos="1021"/>
      </w:tabs>
      <w:spacing w:line="220" w:lineRule="exact"/>
      <w:ind w:left="1134" w:right="1134" w:hanging="1134"/>
    </w:pPr>
    <w:rPr>
      <w:sz w:val="18"/>
    </w:rPr>
  </w:style>
  <w:style w:type="paragraph" w:customStyle="1" w:styleId="XLargeG">
    <w:name w:val="__XLarge_G"/>
    <w:basedOn w:val="Normln"/>
    <w:next w:val="Normln"/>
    <w:rsid w:val="00E925AD"/>
    <w:pPr>
      <w:keepNext/>
      <w:keepLines/>
      <w:spacing w:before="240" w:after="240" w:line="420" w:lineRule="exact"/>
      <w:ind w:left="1134" w:right="1134"/>
    </w:pPr>
    <w:rPr>
      <w:b/>
      <w:sz w:val="40"/>
    </w:rPr>
  </w:style>
  <w:style w:type="paragraph" w:customStyle="1" w:styleId="Bullet1G">
    <w:name w:val="_Bullet 1_G"/>
    <w:basedOn w:val="Normln"/>
    <w:rsid w:val="00E925AD"/>
    <w:pPr>
      <w:numPr>
        <w:numId w:val="17"/>
      </w:numPr>
      <w:spacing w:after="120"/>
      <w:ind w:right="1134"/>
      <w:jc w:val="both"/>
    </w:pPr>
  </w:style>
  <w:style w:type="paragraph" w:styleId="Textvysvtlivek">
    <w:name w:val="endnote text"/>
    <w:aliases w:val="2_G"/>
    <w:basedOn w:val="Textpoznpodarou"/>
    <w:rsid w:val="00E925AD"/>
  </w:style>
  <w:style w:type="paragraph" w:customStyle="1" w:styleId="Bullet2G">
    <w:name w:val="_Bullet 2_G"/>
    <w:basedOn w:val="Normln"/>
    <w:rsid w:val="00E925AD"/>
    <w:pPr>
      <w:numPr>
        <w:numId w:val="18"/>
      </w:numPr>
      <w:spacing w:after="120"/>
      <w:ind w:right="1134"/>
      <w:jc w:val="both"/>
    </w:pPr>
  </w:style>
  <w:style w:type="paragraph" w:customStyle="1" w:styleId="H1G">
    <w:name w:val="_ H_1_G"/>
    <w:basedOn w:val="Normln"/>
    <w:next w:val="Normln"/>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link w:val="H23GChar"/>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E925AD"/>
    <w:pPr>
      <w:keepNext/>
      <w:keepLines/>
      <w:tabs>
        <w:tab w:val="right" w:pos="851"/>
      </w:tabs>
      <w:spacing w:before="240" w:after="120" w:line="240" w:lineRule="exact"/>
      <w:ind w:left="1134" w:right="1134" w:hanging="1134"/>
    </w:pPr>
  </w:style>
  <w:style w:type="character" w:styleId="Hypertextovodkaz">
    <w:name w:val="Hyperlink"/>
    <w:semiHidden/>
    <w:rsid w:val="00E925AD"/>
    <w:rPr>
      <w:color w:val="auto"/>
      <w:u w:val="none"/>
    </w:rPr>
  </w:style>
  <w:style w:type="paragraph" w:styleId="Zpat">
    <w:name w:val="footer"/>
    <w:aliases w:val="3_G"/>
    <w:basedOn w:val="Normln"/>
    <w:rsid w:val="00E925AD"/>
    <w:pPr>
      <w:spacing w:line="240" w:lineRule="auto"/>
    </w:pPr>
    <w:rPr>
      <w:sz w:val="16"/>
    </w:rPr>
  </w:style>
  <w:style w:type="paragraph" w:styleId="Zhlav">
    <w:name w:val="header"/>
    <w:aliases w:val="6_G"/>
    <w:basedOn w:val="Normln"/>
    <w:rsid w:val="00E925AD"/>
    <w:pPr>
      <w:pBdr>
        <w:bottom w:val="single" w:sz="4" w:space="4" w:color="auto"/>
      </w:pBdr>
      <w:spacing w:line="240" w:lineRule="auto"/>
    </w:pPr>
    <w:rPr>
      <w:b/>
      <w:sz w:val="18"/>
    </w:rPr>
  </w:style>
  <w:style w:type="table" w:styleId="Mkatabulky">
    <w:name w:val="Table Grid"/>
    <w:basedOn w:val="Normlntabulka"/>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ledovanodkaz">
    <w:name w:val="FollowedHyperlink"/>
    <w:semiHidden/>
    <w:rsid w:val="00E925AD"/>
    <w:rPr>
      <w:color w:val="auto"/>
      <w:u w:val="none"/>
    </w:rPr>
  </w:style>
  <w:style w:type="paragraph" w:styleId="Textbubliny">
    <w:name w:val="Balloon Text"/>
    <w:basedOn w:val="Normln"/>
    <w:link w:val="TextbublinyChar"/>
    <w:rsid w:val="00F206D1"/>
    <w:pPr>
      <w:spacing w:line="240" w:lineRule="auto"/>
    </w:pPr>
    <w:rPr>
      <w:rFonts w:ascii="Tahoma" w:hAnsi="Tahoma" w:cs="Tahoma"/>
      <w:sz w:val="16"/>
      <w:szCs w:val="16"/>
    </w:rPr>
  </w:style>
  <w:style w:type="character" w:customStyle="1" w:styleId="TextbublinyChar">
    <w:name w:val="Text bubliny Char"/>
    <w:link w:val="Textbubliny"/>
    <w:rsid w:val="00F206D1"/>
    <w:rPr>
      <w:rFonts w:ascii="Tahoma" w:hAnsi="Tahoma" w:cs="Tahoma"/>
      <w:sz w:val="16"/>
      <w:szCs w:val="16"/>
      <w:lang w:eastAsia="en-US"/>
    </w:rPr>
  </w:style>
  <w:style w:type="character" w:styleId="Odkaznakoment">
    <w:name w:val="annotation reference"/>
    <w:rsid w:val="0070153D"/>
    <w:rPr>
      <w:sz w:val="16"/>
      <w:szCs w:val="16"/>
    </w:rPr>
  </w:style>
  <w:style w:type="paragraph" w:styleId="Textkomente">
    <w:name w:val="annotation text"/>
    <w:basedOn w:val="Normln"/>
    <w:link w:val="TextkomenteChar"/>
    <w:rsid w:val="0070153D"/>
  </w:style>
  <w:style w:type="character" w:customStyle="1" w:styleId="TextkomenteChar">
    <w:name w:val="Text komentáře Char"/>
    <w:link w:val="Textkomente"/>
    <w:rsid w:val="0070153D"/>
    <w:rPr>
      <w:lang w:eastAsia="en-US"/>
    </w:rPr>
  </w:style>
  <w:style w:type="paragraph" w:styleId="Pedmtkomente">
    <w:name w:val="annotation subject"/>
    <w:basedOn w:val="Textkomente"/>
    <w:next w:val="Textkomente"/>
    <w:link w:val="PedmtkomenteChar"/>
    <w:rsid w:val="0070153D"/>
    <w:rPr>
      <w:b/>
      <w:bCs/>
    </w:rPr>
  </w:style>
  <w:style w:type="character" w:customStyle="1" w:styleId="PedmtkomenteChar">
    <w:name w:val="Předmět komentáře Char"/>
    <w:link w:val="Pedmtkomente"/>
    <w:rsid w:val="0070153D"/>
    <w:rPr>
      <w:b/>
      <w:bCs/>
      <w:lang w:eastAsia="en-US"/>
    </w:rPr>
  </w:style>
  <w:style w:type="character" w:customStyle="1" w:styleId="TextpoznpodarouChar">
    <w:name w:val="Text pozn. pod čarou Char"/>
    <w:aliases w:val="5_G Char,Footnote Text Char1 Char,Footnote Text Char Char Char,Char Char,Char Char Char Char1,Char Char Char Char Char,single space Char,Footnote Text Char Char Char Char Char Char Char Char, Char Char, Char Char Char Char1"/>
    <w:link w:val="Textpoznpodarou"/>
    <w:locked/>
    <w:rsid w:val="00164A78"/>
    <w:rPr>
      <w:sz w:val="18"/>
      <w:lang w:eastAsia="en-US"/>
    </w:rPr>
  </w:style>
  <w:style w:type="character" w:customStyle="1" w:styleId="H23GChar">
    <w:name w:val="_ H_2/3_G Char"/>
    <w:link w:val="H23G"/>
    <w:rsid w:val="006328D5"/>
    <w:rPr>
      <w:b/>
      <w:lang w:val="cs-C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E_E.dotm</Template>
  <TotalTime>0</TotalTime>
  <Pages>8</Pages>
  <Words>3010</Words>
  <Characters>17761</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Kim Mahoney-Monod</dc:creator>
  <cp:lastModifiedBy>Machačka Jakub</cp:lastModifiedBy>
  <cp:revision>2</cp:revision>
  <cp:lastPrinted>2014-05-21T10:40:00Z</cp:lastPrinted>
  <dcterms:created xsi:type="dcterms:W3CDTF">2018-08-03T12:24:00Z</dcterms:created>
  <dcterms:modified xsi:type="dcterms:W3CDTF">2018-08-03T12:24:00Z</dcterms:modified>
</cp:coreProperties>
</file>