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7C" w:rsidRPr="00A5117C" w:rsidRDefault="00A5117C" w:rsidP="00A5117C">
      <w:pPr>
        <w:jc w:val="right"/>
        <w:rPr>
          <w:rFonts w:ascii="Times New Roman" w:hAnsi="Times New Roman" w:cs="Times New Roman"/>
          <w:sz w:val="24"/>
          <w:szCs w:val="24"/>
        </w:rPr>
      </w:pPr>
      <w:r w:rsidRPr="00A5117C">
        <w:rPr>
          <w:rFonts w:ascii="Times New Roman" w:hAnsi="Times New Roman" w:cs="Times New Roman"/>
          <w:sz w:val="24"/>
          <w:szCs w:val="24"/>
        </w:rPr>
        <w:t>III.</w:t>
      </w:r>
    </w:p>
    <w:p w:rsidR="00D2640B" w:rsidRPr="00C95657" w:rsidRDefault="005814A9" w:rsidP="00E14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657">
        <w:rPr>
          <w:rFonts w:ascii="Times New Roman" w:hAnsi="Times New Roman" w:cs="Times New Roman"/>
          <w:b/>
          <w:sz w:val="28"/>
          <w:szCs w:val="28"/>
        </w:rPr>
        <w:t xml:space="preserve">Podnět </w:t>
      </w:r>
    </w:p>
    <w:p w:rsidR="00296C34" w:rsidRPr="00C95657" w:rsidRDefault="00D2640B" w:rsidP="00E14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657">
        <w:rPr>
          <w:rFonts w:ascii="Times New Roman" w:hAnsi="Times New Roman" w:cs="Times New Roman"/>
          <w:b/>
          <w:sz w:val="28"/>
          <w:szCs w:val="28"/>
        </w:rPr>
        <w:t>Rady vlády pro lidská práva</w:t>
      </w:r>
    </w:p>
    <w:p w:rsidR="00D2640B" w:rsidRPr="00320A0E" w:rsidRDefault="00D2640B" w:rsidP="00E14A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A44" w:rsidRPr="00320A0E" w:rsidRDefault="0042677A" w:rsidP="00E14A4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A0E">
        <w:rPr>
          <w:rFonts w:ascii="Times New Roman" w:hAnsi="Times New Roman"/>
          <w:b/>
          <w:sz w:val="24"/>
          <w:szCs w:val="24"/>
        </w:rPr>
        <w:t>ke zdravotnímu pojištění cizinců legálně pobývajících na území České republiky po dobu delší 90 dní</w:t>
      </w:r>
    </w:p>
    <w:p w:rsidR="00A86031" w:rsidRDefault="00A86031" w:rsidP="00D26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40B" w:rsidRPr="00320A0E" w:rsidRDefault="00D2640B" w:rsidP="00D26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A0E">
        <w:rPr>
          <w:rFonts w:ascii="Times New Roman" w:hAnsi="Times New Roman" w:cs="Times New Roman"/>
          <w:b/>
          <w:sz w:val="24"/>
          <w:szCs w:val="24"/>
        </w:rPr>
        <w:t>I.</w:t>
      </w:r>
    </w:p>
    <w:p w:rsidR="00EF6D90" w:rsidRPr="00320A0E" w:rsidRDefault="00EF6D90" w:rsidP="00D26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A0E">
        <w:rPr>
          <w:rFonts w:ascii="Times New Roman" w:hAnsi="Times New Roman" w:cs="Times New Roman"/>
          <w:b/>
          <w:sz w:val="24"/>
          <w:szCs w:val="24"/>
        </w:rPr>
        <w:t>Úvod</w:t>
      </w:r>
    </w:p>
    <w:p w:rsidR="00BC7ACB" w:rsidRPr="00320A0E" w:rsidRDefault="002656C1" w:rsidP="00EF6D90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0E">
        <w:rPr>
          <w:rFonts w:ascii="Times New Roman" w:hAnsi="Times New Roman" w:cs="Times New Roman"/>
          <w:sz w:val="24"/>
          <w:szCs w:val="24"/>
        </w:rPr>
        <w:t>Dne 26. února</w:t>
      </w:r>
      <w:r w:rsidR="00BC7ACB" w:rsidRPr="00320A0E">
        <w:rPr>
          <w:rFonts w:ascii="Times New Roman" w:hAnsi="Times New Roman" w:cs="Times New Roman"/>
          <w:sz w:val="24"/>
          <w:szCs w:val="24"/>
        </w:rPr>
        <w:t xml:space="preserve"> 2009 schválila Rada vlády pro </w:t>
      </w:r>
      <w:r w:rsidRPr="00320A0E">
        <w:rPr>
          <w:rFonts w:ascii="Times New Roman" w:hAnsi="Times New Roman" w:cs="Times New Roman"/>
          <w:sz w:val="24"/>
          <w:szCs w:val="24"/>
        </w:rPr>
        <w:t xml:space="preserve">lidská práva podnět Výboru </w:t>
      </w:r>
      <w:r w:rsidR="00A5117C">
        <w:rPr>
          <w:rFonts w:ascii="Times New Roman" w:hAnsi="Times New Roman" w:cs="Times New Roman"/>
          <w:sz w:val="24"/>
          <w:szCs w:val="24"/>
        </w:rPr>
        <w:t xml:space="preserve">pro práva cizinců </w:t>
      </w:r>
      <w:r w:rsidRPr="00320A0E">
        <w:rPr>
          <w:rFonts w:ascii="Times New Roman" w:hAnsi="Times New Roman" w:cs="Times New Roman"/>
          <w:sz w:val="24"/>
          <w:szCs w:val="24"/>
        </w:rPr>
        <w:t>k začlenění vybraných kate</w:t>
      </w:r>
      <w:r w:rsidR="00BC7ACB" w:rsidRPr="00320A0E">
        <w:rPr>
          <w:rFonts w:ascii="Times New Roman" w:hAnsi="Times New Roman" w:cs="Times New Roman"/>
          <w:sz w:val="24"/>
          <w:szCs w:val="24"/>
        </w:rPr>
        <w:t>gorií cizinců, kteří pobývají v </w:t>
      </w:r>
      <w:r w:rsidRPr="00320A0E">
        <w:rPr>
          <w:rFonts w:ascii="Times New Roman" w:hAnsi="Times New Roman" w:cs="Times New Roman"/>
          <w:sz w:val="24"/>
          <w:szCs w:val="24"/>
        </w:rPr>
        <w:t>České republice přechodně, do systému veřejného zdravotního pojištění. V něm Výbor,</w:t>
      </w:r>
      <w:r w:rsidR="00FA1001">
        <w:rPr>
          <w:rFonts w:ascii="Times New Roman" w:hAnsi="Times New Roman" w:cs="Times New Roman"/>
          <w:sz w:val="24"/>
          <w:szCs w:val="24"/>
        </w:rPr>
        <w:t xml:space="preserve"> potažmo Rada, žádaly</w:t>
      </w:r>
      <w:r w:rsidR="00F5723E" w:rsidRPr="00320A0E">
        <w:rPr>
          <w:rFonts w:ascii="Times New Roman" w:hAnsi="Times New Roman" w:cs="Times New Roman"/>
          <w:sz w:val="24"/>
          <w:szCs w:val="24"/>
        </w:rPr>
        <w:t xml:space="preserve"> vládu mj. </w:t>
      </w:r>
      <w:r w:rsidR="00BC7ACB" w:rsidRPr="00320A0E">
        <w:rPr>
          <w:rFonts w:ascii="Times New Roman" w:hAnsi="Times New Roman" w:cs="Times New Roman"/>
          <w:sz w:val="24"/>
          <w:szCs w:val="24"/>
        </w:rPr>
        <w:t>o rozšíření osobní působnosti zákona č. </w:t>
      </w:r>
      <w:r w:rsidR="00F5723E" w:rsidRPr="00320A0E">
        <w:rPr>
          <w:rFonts w:ascii="Times New Roman" w:hAnsi="Times New Roman" w:cs="Times New Roman"/>
          <w:sz w:val="24"/>
          <w:szCs w:val="24"/>
        </w:rPr>
        <w:t>48/1997 Sb., o </w:t>
      </w:r>
      <w:r w:rsidR="00BC7ACB" w:rsidRPr="00320A0E">
        <w:rPr>
          <w:rFonts w:ascii="Times New Roman" w:hAnsi="Times New Roman" w:cs="Times New Roman"/>
          <w:sz w:val="24"/>
          <w:szCs w:val="24"/>
        </w:rPr>
        <w:t>veřejném zdravotním pojištění, ve znění pozdějších předpisů (dále jen „zákon o veřejném zdravotním pojištění“) o:</w:t>
      </w:r>
    </w:p>
    <w:p w:rsidR="00BC7ACB" w:rsidRPr="00320A0E" w:rsidRDefault="00F5723E" w:rsidP="00EF6D90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0E">
        <w:rPr>
          <w:rFonts w:ascii="Times New Roman" w:hAnsi="Times New Roman" w:cs="Times New Roman"/>
          <w:sz w:val="24"/>
          <w:szCs w:val="24"/>
        </w:rPr>
        <w:t xml:space="preserve">1. </w:t>
      </w:r>
      <w:r w:rsidR="00BC7ACB" w:rsidRPr="00320A0E">
        <w:rPr>
          <w:rFonts w:ascii="Times New Roman" w:hAnsi="Times New Roman" w:cs="Times New Roman"/>
          <w:sz w:val="24"/>
          <w:szCs w:val="24"/>
        </w:rPr>
        <w:t>nezaopatřené děti-cizince nad 18 let, které pobývají na území České republiky (dále jen „ČR“) na základě víza k pobytu nad 90 dní za účelem sloučení rodiny/povolení k dlo</w:t>
      </w:r>
      <w:r w:rsidR="00320A0E">
        <w:rPr>
          <w:rFonts w:ascii="Times New Roman" w:hAnsi="Times New Roman" w:cs="Times New Roman"/>
          <w:sz w:val="24"/>
          <w:szCs w:val="24"/>
        </w:rPr>
        <w:t>uhodobému pobytu za týmž účelem;</w:t>
      </w:r>
    </w:p>
    <w:p w:rsidR="00BC7ACB" w:rsidRPr="00320A0E" w:rsidRDefault="00F5723E" w:rsidP="00EF6D90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0E">
        <w:rPr>
          <w:rFonts w:ascii="Times New Roman" w:hAnsi="Times New Roman" w:cs="Times New Roman"/>
          <w:sz w:val="24"/>
          <w:szCs w:val="24"/>
        </w:rPr>
        <w:t>2.</w:t>
      </w:r>
      <w:r w:rsidR="00BC7ACB" w:rsidRPr="00320A0E">
        <w:rPr>
          <w:rFonts w:ascii="Times New Roman" w:hAnsi="Times New Roman" w:cs="Times New Roman"/>
          <w:sz w:val="24"/>
          <w:szCs w:val="24"/>
        </w:rPr>
        <w:t xml:space="preserve"> </w:t>
      </w:r>
      <w:r w:rsidR="00FA1001">
        <w:rPr>
          <w:rFonts w:ascii="Times New Roman" w:hAnsi="Times New Roman" w:cs="Times New Roman"/>
          <w:sz w:val="24"/>
          <w:szCs w:val="24"/>
        </w:rPr>
        <w:t>všechny ostatní děti-cizince</w:t>
      </w:r>
      <w:r w:rsidRPr="00320A0E">
        <w:rPr>
          <w:rFonts w:ascii="Times New Roman" w:hAnsi="Times New Roman" w:cs="Times New Roman"/>
          <w:sz w:val="24"/>
          <w:szCs w:val="24"/>
        </w:rPr>
        <w:t xml:space="preserve"> narozen</w:t>
      </w:r>
      <w:r w:rsidR="00320A0E">
        <w:rPr>
          <w:rFonts w:ascii="Times New Roman" w:hAnsi="Times New Roman" w:cs="Times New Roman"/>
          <w:sz w:val="24"/>
          <w:szCs w:val="24"/>
        </w:rPr>
        <w:t>é na území ČR, které nespadají pod bod 1, a to </w:t>
      </w:r>
      <w:r w:rsidRPr="00320A0E">
        <w:rPr>
          <w:rFonts w:ascii="Times New Roman" w:hAnsi="Times New Roman" w:cs="Times New Roman"/>
          <w:sz w:val="24"/>
          <w:szCs w:val="24"/>
        </w:rPr>
        <w:t>od narození až do vycestování z území ČR, popř. do doby, kdy se stanou účastníky veřejného zdravo</w:t>
      </w:r>
      <w:r w:rsidR="00320A0E">
        <w:rPr>
          <w:rFonts w:ascii="Times New Roman" w:hAnsi="Times New Roman" w:cs="Times New Roman"/>
          <w:sz w:val="24"/>
          <w:szCs w:val="24"/>
        </w:rPr>
        <w:t>tního pojištění z jiných důvodů;</w:t>
      </w:r>
    </w:p>
    <w:p w:rsidR="00BC7ACB" w:rsidRPr="00320A0E" w:rsidRDefault="00F5723E" w:rsidP="00EF6D90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0E">
        <w:rPr>
          <w:rFonts w:ascii="Times New Roman" w:hAnsi="Times New Roman" w:cs="Times New Roman"/>
          <w:sz w:val="24"/>
          <w:szCs w:val="24"/>
        </w:rPr>
        <w:t>3.</w:t>
      </w:r>
      <w:r w:rsidR="00BC7ACB" w:rsidRPr="00320A0E">
        <w:rPr>
          <w:rFonts w:ascii="Times New Roman" w:hAnsi="Times New Roman" w:cs="Times New Roman"/>
          <w:sz w:val="24"/>
          <w:szCs w:val="24"/>
        </w:rPr>
        <w:t xml:space="preserve"> cizince ze třetích zemí, kteří jsou osobami samos</w:t>
      </w:r>
      <w:r w:rsidR="00320A0E">
        <w:rPr>
          <w:rFonts w:ascii="Times New Roman" w:hAnsi="Times New Roman" w:cs="Times New Roman"/>
          <w:sz w:val="24"/>
          <w:szCs w:val="24"/>
        </w:rPr>
        <w:t>tatně výdělečně činnými, a to po </w:t>
      </w:r>
      <w:r w:rsidR="00BC7ACB" w:rsidRPr="00320A0E">
        <w:rPr>
          <w:rFonts w:ascii="Times New Roman" w:hAnsi="Times New Roman" w:cs="Times New Roman"/>
          <w:sz w:val="24"/>
          <w:szCs w:val="24"/>
        </w:rPr>
        <w:t>uplynutí tří měsíců od zahájení samostatné výdělečné činnosti</w:t>
      </w:r>
      <w:r w:rsidR="00320A0E">
        <w:rPr>
          <w:rFonts w:ascii="Times New Roman" w:hAnsi="Times New Roman" w:cs="Times New Roman"/>
          <w:sz w:val="24"/>
          <w:szCs w:val="24"/>
        </w:rPr>
        <w:t xml:space="preserve"> na území ČR;</w:t>
      </w:r>
    </w:p>
    <w:p w:rsidR="00BC7ACB" w:rsidRPr="00320A0E" w:rsidRDefault="00F5723E" w:rsidP="00F5723E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0E">
        <w:rPr>
          <w:rFonts w:ascii="Times New Roman" w:hAnsi="Times New Roman" w:cs="Times New Roman"/>
          <w:sz w:val="24"/>
          <w:szCs w:val="24"/>
        </w:rPr>
        <w:t>4. rodinné příslušníky cizinců ze třetích zemí (zej</w:t>
      </w:r>
      <w:r w:rsidR="00FA1001">
        <w:rPr>
          <w:rFonts w:ascii="Times New Roman" w:hAnsi="Times New Roman" w:cs="Times New Roman"/>
          <w:sz w:val="24"/>
          <w:szCs w:val="24"/>
        </w:rPr>
        <w:t>m. manželů/manželek) pobývající</w:t>
      </w:r>
      <w:r w:rsidRPr="00320A0E">
        <w:rPr>
          <w:rFonts w:ascii="Times New Roman" w:hAnsi="Times New Roman" w:cs="Times New Roman"/>
          <w:sz w:val="24"/>
          <w:szCs w:val="24"/>
        </w:rPr>
        <w:t xml:space="preserve"> na území ČR na základě povolení k dlouhodobému poby</w:t>
      </w:r>
      <w:r w:rsidR="00320A0E">
        <w:rPr>
          <w:rFonts w:ascii="Times New Roman" w:hAnsi="Times New Roman" w:cs="Times New Roman"/>
          <w:sz w:val="24"/>
          <w:szCs w:val="24"/>
        </w:rPr>
        <w:t>tu za účelem sloučení rodiny po </w:t>
      </w:r>
      <w:r w:rsidRPr="00320A0E">
        <w:rPr>
          <w:rFonts w:ascii="Times New Roman" w:hAnsi="Times New Roman" w:cs="Times New Roman"/>
          <w:sz w:val="24"/>
          <w:szCs w:val="24"/>
        </w:rPr>
        <w:t>uplynutí jednoho roku legálního pobytu.</w:t>
      </w:r>
    </w:p>
    <w:p w:rsidR="00EF6D90" w:rsidRPr="00320A0E" w:rsidRDefault="002656C1" w:rsidP="00EF6D90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0E">
        <w:rPr>
          <w:rFonts w:ascii="Times New Roman" w:hAnsi="Times New Roman" w:cs="Times New Roman"/>
          <w:sz w:val="24"/>
          <w:szCs w:val="24"/>
        </w:rPr>
        <w:t xml:space="preserve">Vzhledem k tomu, že </w:t>
      </w:r>
      <w:r w:rsidR="00BC7ACB" w:rsidRPr="00320A0E">
        <w:rPr>
          <w:rFonts w:ascii="Times New Roman" w:hAnsi="Times New Roman" w:cs="Times New Roman"/>
          <w:sz w:val="24"/>
          <w:szCs w:val="24"/>
        </w:rPr>
        <w:t>s</w:t>
      </w:r>
      <w:r w:rsidR="00F5723E" w:rsidRPr="00320A0E">
        <w:rPr>
          <w:rFonts w:ascii="Times New Roman" w:hAnsi="Times New Roman" w:cs="Times New Roman"/>
          <w:sz w:val="24"/>
          <w:szCs w:val="24"/>
        </w:rPr>
        <w:t>e s</w:t>
      </w:r>
      <w:r w:rsidR="00BC7ACB" w:rsidRPr="00320A0E">
        <w:rPr>
          <w:rFonts w:ascii="Times New Roman" w:hAnsi="Times New Roman" w:cs="Times New Roman"/>
          <w:sz w:val="24"/>
          <w:szCs w:val="24"/>
        </w:rPr>
        <w:t xml:space="preserve">ituace </w:t>
      </w:r>
      <w:r w:rsidR="00F5723E" w:rsidRPr="00320A0E">
        <w:rPr>
          <w:rFonts w:ascii="Times New Roman" w:hAnsi="Times New Roman" w:cs="Times New Roman"/>
          <w:sz w:val="24"/>
          <w:szCs w:val="24"/>
        </w:rPr>
        <w:t>nezměnila, Výbor</w:t>
      </w:r>
      <w:r w:rsidRPr="00320A0E">
        <w:rPr>
          <w:rFonts w:ascii="Times New Roman" w:hAnsi="Times New Roman" w:cs="Times New Roman"/>
          <w:sz w:val="24"/>
          <w:szCs w:val="24"/>
        </w:rPr>
        <w:t xml:space="preserve"> </w:t>
      </w:r>
      <w:r w:rsidR="00BC7ACB" w:rsidRPr="00320A0E">
        <w:rPr>
          <w:rFonts w:ascii="Times New Roman" w:hAnsi="Times New Roman" w:cs="Times New Roman"/>
          <w:sz w:val="24"/>
          <w:szCs w:val="24"/>
        </w:rPr>
        <w:t xml:space="preserve">vypracoval </w:t>
      </w:r>
      <w:r w:rsidR="00F5723E" w:rsidRPr="00320A0E">
        <w:rPr>
          <w:rFonts w:ascii="Times New Roman" w:hAnsi="Times New Roman" w:cs="Times New Roman"/>
          <w:sz w:val="24"/>
          <w:szCs w:val="24"/>
        </w:rPr>
        <w:t xml:space="preserve">ve věci </w:t>
      </w:r>
      <w:r w:rsidR="00BC7ACB" w:rsidRPr="00320A0E">
        <w:rPr>
          <w:rFonts w:ascii="Times New Roman" w:hAnsi="Times New Roman" w:cs="Times New Roman"/>
          <w:sz w:val="24"/>
          <w:szCs w:val="24"/>
        </w:rPr>
        <w:t>další podnět</w:t>
      </w:r>
      <w:r w:rsidRPr="00320A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6031" w:rsidRDefault="00A86031" w:rsidP="00D26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D90" w:rsidRPr="00320A0E" w:rsidRDefault="00EF6D90" w:rsidP="00D26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A0E">
        <w:rPr>
          <w:rFonts w:ascii="Times New Roman" w:hAnsi="Times New Roman" w:cs="Times New Roman"/>
          <w:b/>
          <w:sz w:val="24"/>
          <w:szCs w:val="24"/>
        </w:rPr>
        <w:t>II.</w:t>
      </w:r>
    </w:p>
    <w:p w:rsidR="00D2640B" w:rsidRPr="00320A0E" w:rsidRDefault="00FA1001" w:rsidP="00D26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Právní</w:t>
      </w:r>
      <w:r w:rsidR="00C8117F" w:rsidRPr="00320A0E">
        <w:rPr>
          <w:rFonts w:ascii="Times New Roman" w:hAnsi="Times New Roman" w:cs="Times New Roman"/>
          <w:b/>
          <w:sz w:val="24"/>
          <w:szCs w:val="24"/>
        </w:rPr>
        <w:t xml:space="preserve"> úprava</w:t>
      </w:r>
    </w:p>
    <w:p w:rsidR="00B35202" w:rsidRPr="00FA1001" w:rsidRDefault="00FA1001" w:rsidP="00FA1001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20A0E">
        <w:rPr>
          <w:rFonts w:ascii="Times New Roman" w:hAnsi="Times New Roman" w:cs="Times New Roman"/>
          <w:sz w:val="24"/>
          <w:szCs w:val="24"/>
        </w:rPr>
        <w:t xml:space="preserve">odmínkou pobytu na území České republiky nad 90 dnů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320A0E">
        <w:rPr>
          <w:rFonts w:ascii="Times New Roman" w:hAnsi="Times New Roman" w:cs="Times New Roman"/>
          <w:sz w:val="24"/>
          <w:szCs w:val="24"/>
        </w:rPr>
        <w:t>uzavřené zdravotní pojištění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A0E">
        <w:rPr>
          <w:rFonts w:ascii="Times New Roman" w:hAnsi="Times New Roman" w:cs="Times New Roman"/>
          <w:sz w:val="24"/>
          <w:szCs w:val="24"/>
        </w:rPr>
        <w:t xml:space="preserve">Smyslem této právní úpravy je zajistit potřebnou zdravotní péči pro všechny, kteří na území ČR mohou tuto péči potřebovat, jednak zajištění úhrady všech nákladů, které v této </w:t>
      </w:r>
      <w:r w:rsidRPr="00320A0E">
        <w:rPr>
          <w:rFonts w:ascii="Times New Roman" w:hAnsi="Times New Roman" w:cs="Times New Roman"/>
          <w:sz w:val="24"/>
          <w:szCs w:val="24"/>
        </w:rPr>
        <w:lastRenderedPageBreak/>
        <w:t>souvislosti vzniknou lékařům a zdravotnickým zařízením. V případě pobytu na území ČR bez zdravotního pojištění porušuje cizinec právní předpisy ČR a hrozí mu postih.</w:t>
      </w:r>
      <w:r>
        <w:rPr>
          <w:rFonts w:ascii="Times New Roman" w:hAnsi="Times New Roman" w:cs="Times New Roman"/>
          <w:sz w:val="24"/>
          <w:szCs w:val="24"/>
        </w:rPr>
        <w:t xml:space="preserve"> Většina z přibližně půl milionu migrantů dlouhodobě žijících v ČR se účastní veřejného zdravotního pojištění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. Ostatní cizinci jsou odkázáni na komerční zdravotní pojištění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677A" w:rsidRPr="00320A0E" w:rsidRDefault="0042677A" w:rsidP="00FA1001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A0E">
        <w:rPr>
          <w:rFonts w:ascii="Times New Roman" w:hAnsi="Times New Roman" w:cs="Times New Roman"/>
          <w:sz w:val="24"/>
          <w:szCs w:val="24"/>
        </w:rPr>
        <w:t>Mezi nejdůležitější principy českého systému veřejného zdravotního pojištění patří, že účastník veřejného zdravotního pojištění je účasten tohoto pojištění přímo ze zákona, nemůže se z něj tedy odhlásit, je povinen platit pojistné, ale na druhou stranu je oprávněn čerpat v rámci zákona zdravotní péči i v případě, že pojistné nehradí. Na druhou stranu je ale každý účastník též povinen hradit pojistné, přičemž jedinou výjimkou je dlouhodobý pobyt v zahraničí, pokud pojištěnec předem své zdravotní pojišťovně oznámí odjezd a prokáže, že je v zahraničí zdravotně pojištěn. Účastníci pojištění, ať již čeští občané anebo cizinci, mají v tomto systému stejná práva, tedy např. na výběr zdravotní pojišťovny, na výběr lékaře atd.</w:t>
      </w:r>
    </w:p>
    <w:p w:rsidR="0042677A" w:rsidRPr="00320A0E" w:rsidRDefault="003F186A" w:rsidP="00EF6D90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Cizince, kteří </w:t>
      </w:r>
      <w:r w:rsidR="0042677A" w:rsidRPr="00320A0E">
        <w:rPr>
          <w:rFonts w:ascii="Times New Roman" w:hAnsi="Times New Roman" w:cs="Times New Roman"/>
          <w:sz w:val="24"/>
          <w:szCs w:val="24"/>
        </w:rPr>
        <w:t>do systému veřejného zdra</w:t>
      </w:r>
      <w:r w:rsidR="000E404D" w:rsidRPr="00320A0E">
        <w:rPr>
          <w:rFonts w:ascii="Times New Roman" w:hAnsi="Times New Roman" w:cs="Times New Roman"/>
          <w:sz w:val="24"/>
          <w:szCs w:val="24"/>
        </w:rPr>
        <w:t>votního pojištění nespadají a u </w:t>
      </w:r>
      <w:r w:rsidR="0042677A" w:rsidRPr="00320A0E">
        <w:rPr>
          <w:rFonts w:ascii="Times New Roman" w:hAnsi="Times New Roman" w:cs="Times New Roman"/>
          <w:sz w:val="24"/>
          <w:szCs w:val="24"/>
        </w:rPr>
        <w:t>nichž není dána žádná působnost práva EU</w:t>
      </w:r>
      <w:r w:rsidR="000E404D" w:rsidRPr="00320A0E">
        <w:rPr>
          <w:rFonts w:ascii="Times New Roman" w:hAnsi="Times New Roman" w:cs="Times New Roman"/>
          <w:sz w:val="24"/>
          <w:szCs w:val="24"/>
        </w:rPr>
        <w:t xml:space="preserve"> ani dvoustranných úmluv, jsou odkázáni na </w:t>
      </w:r>
      <w:r w:rsidR="0042677A" w:rsidRPr="00320A0E">
        <w:rPr>
          <w:rFonts w:ascii="Times New Roman" w:hAnsi="Times New Roman" w:cs="Times New Roman"/>
          <w:sz w:val="24"/>
          <w:szCs w:val="24"/>
        </w:rPr>
        <w:t xml:space="preserve">zdravotní pojištění </w:t>
      </w:r>
      <w:r w:rsidR="000E404D" w:rsidRPr="00320A0E">
        <w:rPr>
          <w:rFonts w:ascii="Times New Roman" w:hAnsi="Times New Roman" w:cs="Times New Roman"/>
          <w:sz w:val="24"/>
          <w:szCs w:val="24"/>
        </w:rPr>
        <w:t>dle zákona č. 277/2009 Sb., o pojišťovnictví, ve znění pozdějších předpisů (dále jen „zákon o pojišťovnictví“)</w:t>
      </w:r>
      <w:r w:rsidR="0042677A" w:rsidRPr="00320A0E">
        <w:rPr>
          <w:rFonts w:ascii="Times New Roman" w:hAnsi="Times New Roman" w:cs="Times New Roman"/>
          <w:sz w:val="24"/>
          <w:szCs w:val="24"/>
        </w:rPr>
        <w:t xml:space="preserve">. Právně se tedy jedná o stejný režim, jaký se uplatňuje při pojišťování majetku </w:t>
      </w:r>
      <w:r w:rsidR="009608B4" w:rsidRPr="00320A0E">
        <w:rPr>
          <w:rFonts w:ascii="Times New Roman" w:hAnsi="Times New Roman" w:cs="Times New Roman"/>
          <w:sz w:val="24"/>
          <w:szCs w:val="24"/>
        </w:rPr>
        <w:t>či pojištění odpovědnosti za </w:t>
      </w:r>
      <w:r w:rsidR="0042677A" w:rsidRPr="00320A0E">
        <w:rPr>
          <w:rFonts w:ascii="Times New Roman" w:hAnsi="Times New Roman" w:cs="Times New Roman"/>
          <w:sz w:val="24"/>
          <w:szCs w:val="24"/>
        </w:rPr>
        <w:t>škodu. V oblasti zdravotního pojištění se tak hovoří o zdravotním pojištění smluvním či komerčním anebo též o cestovním zdravotním pojištění. Podstatou tohoto typu pojištění je, že vzniká plně soukromoprávní smlouvou, tedy uzavřením poji</w:t>
      </w:r>
      <w:r w:rsidR="009608B4" w:rsidRPr="00320A0E">
        <w:rPr>
          <w:rFonts w:ascii="Times New Roman" w:hAnsi="Times New Roman" w:cs="Times New Roman"/>
          <w:sz w:val="24"/>
          <w:szCs w:val="24"/>
        </w:rPr>
        <w:t>stné smlouvy mezi pojišťovnou a </w:t>
      </w:r>
      <w:r w:rsidR="0042677A" w:rsidRPr="00320A0E">
        <w:rPr>
          <w:rFonts w:ascii="Times New Roman" w:hAnsi="Times New Roman" w:cs="Times New Roman"/>
          <w:sz w:val="24"/>
          <w:szCs w:val="24"/>
        </w:rPr>
        <w:t xml:space="preserve">cizincem, že ani jedna strana nemůže k uzavření této smlouvy nutit stranu druhou a že předmětem této smlouvy je úhrada zdravotní péče nutné v důsledku pojistné události (např. onemocnění), která může – ale nemusí – nastat v budoucnu. </w:t>
      </w:r>
    </w:p>
    <w:p w:rsidR="00CF4F09" w:rsidRDefault="00320A0E" w:rsidP="003F186A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Zdravotní</w:t>
      </w:r>
      <w:r w:rsidR="007B3F84" w:rsidRPr="00320A0E">
        <w:rPr>
          <w:rFonts w:ascii="Times New Roman" w:hAnsi="Times New Roman" w:cs="Times New Roman"/>
          <w:bCs/>
          <w:sz w:val="24"/>
          <w:szCs w:val="24"/>
        </w:rPr>
        <w:t xml:space="preserve"> pojištění cizinců při pobytu nad 90 dní</w:t>
      </w:r>
      <w:r w:rsidR="007B3F84" w:rsidRPr="00320A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3F84" w:rsidRPr="00320A0E">
        <w:rPr>
          <w:rFonts w:ascii="Times New Roman" w:hAnsi="Times New Roman" w:cs="Times New Roman"/>
          <w:sz w:val="24"/>
          <w:szCs w:val="24"/>
        </w:rPr>
        <w:t xml:space="preserve">musí krýt náklady na úhradu zdravotní péče a rovněž i náklady spojené s repatriací a s převozem tělesných ostatků. Výše sjednaného limitu pojistného plnění na jednu pojistnou událost musí být nejméně 60 000 EUR, a to bez spoluúčasti pojištěného na výše uvedených nákladech. </w:t>
      </w:r>
      <w:r w:rsidR="00AD7AA4" w:rsidRPr="00320A0E">
        <w:rPr>
          <w:rFonts w:ascii="Times New Roman" w:hAnsi="Times New Roman" w:cs="Times New Roman"/>
          <w:sz w:val="24"/>
          <w:szCs w:val="24"/>
        </w:rPr>
        <w:t>V současné době poskytuje pojištění 6 k</w:t>
      </w:r>
      <w:r>
        <w:rPr>
          <w:rFonts w:ascii="Times New Roman" w:hAnsi="Times New Roman" w:cs="Times New Roman"/>
          <w:sz w:val="24"/>
          <w:szCs w:val="24"/>
        </w:rPr>
        <w:t>omerčních pojišťoven: Pojišťovna</w:t>
      </w:r>
      <w:r w:rsidR="00AD7AA4" w:rsidRPr="00320A0E">
        <w:rPr>
          <w:rFonts w:ascii="Times New Roman" w:hAnsi="Times New Roman" w:cs="Times New Roman"/>
          <w:sz w:val="24"/>
          <w:szCs w:val="24"/>
        </w:rPr>
        <w:t xml:space="preserve"> VZP, </w:t>
      </w:r>
      <w:r w:rsidR="00AD4F39">
        <w:rPr>
          <w:rFonts w:ascii="Times New Roman" w:hAnsi="Times New Roman" w:cs="Times New Roman"/>
          <w:sz w:val="24"/>
          <w:szCs w:val="24"/>
        </w:rPr>
        <w:t xml:space="preserve">a.s., </w:t>
      </w:r>
      <w:r w:rsidR="00AD7AA4" w:rsidRPr="00320A0E">
        <w:rPr>
          <w:rFonts w:ascii="Times New Roman" w:hAnsi="Times New Roman" w:cs="Times New Roman"/>
          <w:sz w:val="24"/>
          <w:szCs w:val="24"/>
        </w:rPr>
        <w:t xml:space="preserve">UNIQA, Slavia, Maxima, ERGO a AXA </w:t>
      </w:r>
      <w:proofErr w:type="spellStart"/>
      <w:r w:rsidR="00AD7AA4" w:rsidRPr="00320A0E">
        <w:rPr>
          <w:rFonts w:ascii="Times New Roman" w:hAnsi="Times New Roman" w:cs="Times New Roman"/>
          <w:sz w:val="24"/>
          <w:szCs w:val="24"/>
        </w:rPr>
        <w:t>Assistance</w:t>
      </w:r>
      <w:proofErr w:type="spellEnd"/>
      <w:r w:rsidR="00AD7AA4" w:rsidRPr="00320A0E">
        <w:rPr>
          <w:rFonts w:ascii="Times New Roman" w:hAnsi="Times New Roman" w:cs="Times New Roman"/>
          <w:sz w:val="24"/>
          <w:szCs w:val="24"/>
        </w:rPr>
        <w:t>.</w:t>
      </w:r>
    </w:p>
    <w:p w:rsidR="00623424" w:rsidRPr="00320A0E" w:rsidRDefault="00623424" w:rsidP="003F186A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640B" w:rsidRPr="00320A0E" w:rsidRDefault="00D2640B" w:rsidP="00D26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A0E">
        <w:rPr>
          <w:rFonts w:ascii="Times New Roman" w:hAnsi="Times New Roman" w:cs="Times New Roman"/>
          <w:b/>
          <w:sz w:val="24"/>
          <w:szCs w:val="24"/>
        </w:rPr>
        <w:lastRenderedPageBreak/>
        <w:t>II</w:t>
      </w:r>
      <w:r w:rsidR="00EF6D90" w:rsidRPr="00320A0E">
        <w:rPr>
          <w:rFonts w:ascii="Times New Roman" w:hAnsi="Times New Roman" w:cs="Times New Roman"/>
          <w:b/>
          <w:sz w:val="24"/>
          <w:szCs w:val="24"/>
        </w:rPr>
        <w:t>I</w:t>
      </w:r>
      <w:r w:rsidRPr="00320A0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2640B" w:rsidRPr="00320A0E" w:rsidRDefault="00D2640B" w:rsidP="00D26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A0E">
        <w:rPr>
          <w:rFonts w:ascii="Times New Roman" w:hAnsi="Times New Roman" w:cs="Times New Roman"/>
          <w:b/>
          <w:sz w:val="24"/>
          <w:szCs w:val="24"/>
        </w:rPr>
        <w:t>Problémy současné situace</w:t>
      </w:r>
    </w:p>
    <w:p w:rsidR="00D31EB5" w:rsidRPr="00320A0E" w:rsidRDefault="00B6337A" w:rsidP="00320A0E">
      <w:pPr>
        <w:autoSpaceDE w:val="0"/>
        <w:autoSpaceDN w:val="0"/>
        <w:adjustRightInd w:val="0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A0E">
        <w:rPr>
          <w:rFonts w:ascii="Times New Roman" w:hAnsi="Times New Roman" w:cs="Times New Roman"/>
          <w:sz w:val="24"/>
          <w:szCs w:val="24"/>
        </w:rPr>
        <w:t xml:space="preserve">Největším problémem současného systému pojištění </w:t>
      </w:r>
      <w:r w:rsidR="00AD4F39">
        <w:rPr>
          <w:rFonts w:ascii="Times New Roman" w:hAnsi="Times New Roman" w:cs="Times New Roman"/>
          <w:sz w:val="24"/>
          <w:szCs w:val="24"/>
        </w:rPr>
        <w:t>cizinců legálně pobývajících na </w:t>
      </w:r>
      <w:r w:rsidRPr="00320A0E">
        <w:rPr>
          <w:rFonts w:ascii="Times New Roman" w:hAnsi="Times New Roman" w:cs="Times New Roman"/>
          <w:sz w:val="24"/>
          <w:szCs w:val="24"/>
        </w:rPr>
        <w:t xml:space="preserve">území České republiky po dobu delší 90 dní je </w:t>
      </w:r>
      <w:r w:rsidRPr="00320A0E">
        <w:rPr>
          <w:rFonts w:ascii="Times New Roman" w:hAnsi="Times New Roman" w:cs="Times New Roman"/>
          <w:b/>
          <w:sz w:val="24"/>
          <w:szCs w:val="24"/>
        </w:rPr>
        <w:t>vyloučení některých skupin ze systému veřejného zdravotního pojištění</w:t>
      </w:r>
      <w:r w:rsidR="003F186A">
        <w:rPr>
          <w:rFonts w:ascii="Times New Roman" w:hAnsi="Times New Roman" w:cs="Times New Roman"/>
          <w:b/>
          <w:sz w:val="24"/>
          <w:szCs w:val="24"/>
        </w:rPr>
        <w:t>.</w:t>
      </w:r>
      <w:r w:rsidRPr="00320A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86A" w:rsidRPr="00EF529E">
        <w:rPr>
          <w:rFonts w:ascii="Times New Roman" w:hAnsi="Times New Roman" w:cs="Times New Roman"/>
          <w:sz w:val="24"/>
          <w:szCs w:val="24"/>
        </w:rPr>
        <w:t xml:space="preserve">Nerozlišuje se </w:t>
      </w:r>
      <w:r w:rsidR="00EF529E" w:rsidRPr="00EF529E">
        <w:rPr>
          <w:rFonts w:ascii="Times New Roman" w:hAnsi="Times New Roman" w:cs="Times New Roman"/>
          <w:sz w:val="24"/>
          <w:szCs w:val="24"/>
        </w:rPr>
        <w:t xml:space="preserve">přitom </w:t>
      </w:r>
      <w:r w:rsidRPr="00EF529E">
        <w:rPr>
          <w:rFonts w:ascii="Times New Roman" w:hAnsi="Times New Roman" w:cs="Times New Roman"/>
          <w:sz w:val="24"/>
          <w:szCs w:val="24"/>
        </w:rPr>
        <w:t>délk</w:t>
      </w:r>
      <w:r w:rsidR="003F186A" w:rsidRPr="00EF529E">
        <w:rPr>
          <w:rFonts w:ascii="Times New Roman" w:hAnsi="Times New Roman" w:cs="Times New Roman"/>
          <w:sz w:val="24"/>
          <w:szCs w:val="24"/>
        </w:rPr>
        <w:t>a</w:t>
      </w:r>
      <w:r w:rsidRPr="00EF529E">
        <w:rPr>
          <w:rFonts w:ascii="Times New Roman" w:hAnsi="Times New Roman" w:cs="Times New Roman"/>
          <w:sz w:val="24"/>
          <w:szCs w:val="24"/>
        </w:rPr>
        <w:t xml:space="preserve"> pobytu c</w:t>
      </w:r>
      <w:r w:rsidR="00AD4F39">
        <w:rPr>
          <w:rFonts w:ascii="Times New Roman" w:hAnsi="Times New Roman" w:cs="Times New Roman"/>
          <w:sz w:val="24"/>
          <w:szCs w:val="24"/>
        </w:rPr>
        <w:t>izince na území a </w:t>
      </w:r>
      <w:r w:rsidR="003F186A" w:rsidRPr="00EF529E">
        <w:rPr>
          <w:rFonts w:ascii="Times New Roman" w:hAnsi="Times New Roman" w:cs="Times New Roman"/>
          <w:sz w:val="24"/>
          <w:szCs w:val="24"/>
        </w:rPr>
        <w:t>míra</w:t>
      </w:r>
      <w:r w:rsidRPr="00EF529E">
        <w:rPr>
          <w:rFonts w:ascii="Times New Roman" w:hAnsi="Times New Roman" w:cs="Times New Roman"/>
          <w:sz w:val="24"/>
          <w:szCs w:val="24"/>
        </w:rPr>
        <w:t xml:space="preserve"> jeho (popř. jeho rodinných příslušníků) příspěvku </w:t>
      </w:r>
      <w:r w:rsidR="003F186A" w:rsidRPr="00EF529E">
        <w:rPr>
          <w:rFonts w:ascii="Times New Roman" w:hAnsi="Times New Roman" w:cs="Times New Roman"/>
          <w:sz w:val="24"/>
          <w:szCs w:val="24"/>
        </w:rPr>
        <w:t>na</w:t>
      </w:r>
      <w:r w:rsidRPr="00EF529E">
        <w:rPr>
          <w:rFonts w:ascii="Times New Roman" w:hAnsi="Times New Roman" w:cs="Times New Roman"/>
          <w:sz w:val="24"/>
          <w:szCs w:val="24"/>
        </w:rPr>
        <w:t xml:space="preserve"> krytí nákladů na zdravotní péči.</w:t>
      </w:r>
      <w:r w:rsidRPr="00320A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A0E">
        <w:rPr>
          <w:rFonts w:ascii="Times New Roman" w:hAnsi="Times New Roman" w:cs="Times New Roman"/>
          <w:sz w:val="24"/>
          <w:szCs w:val="24"/>
        </w:rPr>
        <w:t>Stejně se tak přistupuje k cizinci, který na území pobývá první rok na základě víza k pobytu nad 90 dnů za účelem sloučení rodiny a stejně k osobě,</w:t>
      </w:r>
      <w:r w:rsidR="00AD4F39">
        <w:rPr>
          <w:rFonts w:ascii="Times New Roman" w:hAnsi="Times New Roman" w:cs="Times New Roman"/>
          <w:sz w:val="24"/>
          <w:szCs w:val="24"/>
        </w:rPr>
        <w:t xml:space="preserve"> která za týmž účelem pobývá na </w:t>
      </w:r>
      <w:r w:rsidRPr="00320A0E">
        <w:rPr>
          <w:rFonts w:ascii="Times New Roman" w:hAnsi="Times New Roman" w:cs="Times New Roman"/>
          <w:sz w:val="24"/>
          <w:szCs w:val="24"/>
        </w:rPr>
        <w:t>území na základě povolení k dlouhodobému po</w:t>
      </w:r>
      <w:r w:rsidR="00D31EB5" w:rsidRPr="00320A0E">
        <w:rPr>
          <w:rFonts w:ascii="Times New Roman" w:hAnsi="Times New Roman" w:cs="Times New Roman"/>
          <w:sz w:val="24"/>
          <w:szCs w:val="24"/>
        </w:rPr>
        <w:t>bytu pátým rokem. Jde zejména o děti a </w:t>
      </w:r>
      <w:r w:rsidRPr="00320A0E">
        <w:rPr>
          <w:rFonts w:ascii="Times New Roman" w:hAnsi="Times New Roman" w:cs="Times New Roman"/>
          <w:sz w:val="24"/>
          <w:szCs w:val="24"/>
        </w:rPr>
        <w:t xml:space="preserve">další rodinné příslušníky cizinců, pobývajících na území na základě povolení k dlouhodobému pobytu za účelem zaměstnání, popř. výkonu samostatné výdělečné činnosti (nicméně i posledně uvedená kategorie je ze systému veřejného zdravotního pojištění vyloučena). </w:t>
      </w:r>
    </w:p>
    <w:p w:rsidR="00D31EB5" w:rsidRPr="00320A0E" w:rsidRDefault="00D31EB5" w:rsidP="0042208E">
      <w:pPr>
        <w:autoSpaceDE w:val="0"/>
        <w:autoSpaceDN w:val="0"/>
        <w:adjustRightInd w:val="0"/>
        <w:spacing w:before="120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0A0E">
        <w:rPr>
          <w:rFonts w:ascii="Times New Roman" w:hAnsi="Times New Roman" w:cs="Times New Roman"/>
          <w:sz w:val="24"/>
          <w:szCs w:val="24"/>
        </w:rPr>
        <w:t>Tito cizinci tedy</w:t>
      </w:r>
      <w:r w:rsidR="00B6337A" w:rsidRPr="00320A0E">
        <w:rPr>
          <w:rFonts w:ascii="Times New Roman" w:hAnsi="Times New Roman" w:cs="Times New Roman"/>
          <w:sz w:val="24"/>
          <w:szCs w:val="24"/>
        </w:rPr>
        <w:t xml:space="preserve"> musí využívat komerčního zdravotního pojištění, které pokrývá citelně menší rozsah zdravotní péče než veřejné zdravotní pojišt</w:t>
      </w:r>
      <w:r w:rsidRPr="00320A0E">
        <w:rPr>
          <w:rFonts w:ascii="Times New Roman" w:hAnsi="Times New Roman" w:cs="Times New Roman"/>
          <w:sz w:val="24"/>
          <w:szCs w:val="24"/>
        </w:rPr>
        <w:t>ění</w:t>
      </w:r>
      <w:r w:rsidRPr="00320A0E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Pr="00320A0E">
        <w:rPr>
          <w:rFonts w:ascii="Times New Roman" w:hAnsi="Times New Roman" w:cs="Times New Roman"/>
          <w:sz w:val="24"/>
          <w:szCs w:val="24"/>
        </w:rPr>
        <w:t>, není na něj právní nárok a </w:t>
      </w:r>
      <w:r w:rsidR="00B6337A" w:rsidRPr="00320A0E">
        <w:rPr>
          <w:rFonts w:ascii="Times New Roman" w:hAnsi="Times New Roman" w:cs="Times New Roman"/>
          <w:sz w:val="24"/>
          <w:szCs w:val="24"/>
        </w:rPr>
        <w:t>s mnohými cizinci odmítají komerční zdravotní pojišťovny uzavřít odpovídající zdravotní pojištění (</w:t>
      </w:r>
      <w:r w:rsidR="00320A0E">
        <w:rPr>
          <w:rFonts w:ascii="Times New Roman" w:hAnsi="Times New Roman" w:cs="Times New Roman"/>
          <w:sz w:val="24"/>
          <w:szCs w:val="24"/>
        </w:rPr>
        <w:t xml:space="preserve">jedná se </w:t>
      </w:r>
      <w:r w:rsidR="00B6337A" w:rsidRPr="00320A0E">
        <w:rPr>
          <w:rFonts w:ascii="Times New Roman" w:hAnsi="Times New Roman" w:cs="Times New Roman"/>
          <w:sz w:val="24"/>
          <w:szCs w:val="24"/>
        </w:rPr>
        <w:t xml:space="preserve">zejména </w:t>
      </w:r>
      <w:r w:rsidR="00320A0E">
        <w:rPr>
          <w:rFonts w:ascii="Times New Roman" w:hAnsi="Times New Roman" w:cs="Times New Roman"/>
          <w:sz w:val="24"/>
          <w:szCs w:val="24"/>
        </w:rPr>
        <w:t xml:space="preserve">o </w:t>
      </w:r>
      <w:r w:rsidRPr="00320A0E">
        <w:rPr>
          <w:rFonts w:ascii="Times New Roman" w:hAnsi="Times New Roman" w:cs="Times New Roman"/>
          <w:color w:val="000000"/>
          <w:sz w:val="24"/>
          <w:szCs w:val="24"/>
        </w:rPr>
        <w:t>nedonošené děti, děti s v</w:t>
      </w:r>
      <w:r w:rsidR="003F186A">
        <w:rPr>
          <w:rFonts w:ascii="Times New Roman" w:hAnsi="Times New Roman" w:cs="Times New Roman"/>
          <w:color w:val="000000"/>
          <w:sz w:val="24"/>
          <w:szCs w:val="24"/>
        </w:rPr>
        <w:t>rozenou vadou, chronicky nemocné</w:t>
      </w:r>
      <w:r w:rsidR="00AD7AA4" w:rsidRPr="00320A0E">
        <w:rPr>
          <w:rStyle w:val="Znakapoznpodarou"/>
          <w:rFonts w:ascii="Times New Roman" w:hAnsi="Times New Roman" w:cs="Times New Roman"/>
          <w:color w:val="000000"/>
          <w:sz w:val="24"/>
          <w:szCs w:val="24"/>
        </w:rPr>
        <w:footnoteReference w:id="5"/>
      </w:r>
      <w:r w:rsidRPr="00320A0E">
        <w:rPr>
          <w:rFonts w:ascii="Times New Roman" w:hAnsi="Times New Roman" w:cs="Times New Roman"/>
          <w:color w:val="000000"/>
          <w:sz w:val="24"/>
          <w:szCs w:val="24"/>
        </w:rPr>
        <w:t>, osoby starší 70 let</w:t>
      </w:r>
      <w:r w:rsidR="00B6337A" w:rsidRPr="00320A0E">
        <w:rPr>
          <w:rFonts w:ascii="Times New Roman" w:hAnsi="Times New Roman" w:cs="Times New Roman"/>
          <w:sz w:val="24"/>
          <w:szCs w:val="24"/>
        </w:rPr>
        <w:t xml:space="preserve">). </w:t>
      </w:r>
      <w:r w:rsidRPr="00320A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Velmi svízelná je např. situace migrantky-zaměstnankyně, která otěhotní nebo onemocní, v důsledku čehož jí zaměstnavatel neprodlouží </w:t>
      </w:r>
      <w:r w:rsidR="00320A0E">
        <w:rPr>
          <w:rFonts w:ascii="Times New Roman" w:hAnsi="Times New Roman" w:cs="Times New Roman"/>
          <w:bCs/>
          <w:color w:val="000000"/>
          <w:sz w:val="24"/>
          <w:szCs w:val="24"/>
        </w:rPr>
        <w:t>pracovní smlouvu a </w:t>
      </w:r>
      <w:r w:rsidRPr="00320A0E">
        <w:rPr>
          <w:rFonts w:ascii="Times New Roman" w:hAnsi="Times New Roman" w:cs="Times New Roman"/>
          <w:bCs/>
          <w:color w:val="000000"/>
          <w:sz w:val="24"/>
          <w:szCs w:val="24"/>
        </w:rPr>
        <w:t>tím ztratí i veřejné zdravotní pojištění.</w:t>
      </w:r>
      <w:r w:rsidRPr="00320A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A0E">
        <w:rPr>
          <w:rFonts w:ascii="Times New Roman" w:hAnsi="Times New Roman" w:cs="Times New Roman"/>
          <w:bCs/>
          <w:color w:val="000000"/>
          <w:sz w:val="24"/>
          <w:szCs w:val="24"/>
        </w:rPr>
        <w:t>Komerční pojišťovny ji jako pří</w:t>
      </w:r>
      <w:r w:rsidR="00AD4F39">
        <w:rPr>
          <w:rFonts w:ascii="Times New Roman" w:hAnsi="Times New Roman" w:cs="Times New Roman"/>
          <w:bCs/>
          <w:color w:val="000000"/>
          <w:sz w:val="24"/>
          <w:szCs w:val="24"/>
        </w:rPr>
        <w:t>liš rizikovou odmítnou pojistit</w:t>
      </w:r>
      <w:r w:rsidRPr="00320A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D4F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(ev. nabídnou pojištění, které je pro ni finančně nedostupné), </w:t>
      </w:r>
      <w:r w:rsidRPr="00320A0E">
        <w:rPr>
          <w:rFonts w:ascii="Times New Roman" w:hAnsi="Times New Roman" w:cs="Times New Roman"/>
          <w:bCs/>
          <w:color w:val="000000"/>
          <w:sz w:val="24"/>
          <w:szCs w:val="24"/>
        </w:rPr>
        <w:t>což ji dostává do neřešitelné situace.</w:t>
      </w:r>
      <w:r w:rsidRPr="00320A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6337A" w:rsidRPr="00320A0E" w:rsidRDefault="00D31EB5" w:rsidP="003C013A">
      <w:pPr>
        <w:autoSpaceDE w:val="0"/>
        <w:autoSpaceDN w:val="0"/>
        <w:adjustRightInd w:val="0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A0E">
        <w:rPr>
          <w:rFonts w:ascii="Times New Roman" w:hAnsi="Times New Roman" w:cs="Times New Roman"/>
          <w:bCs/>
          <w:sz w:val="24"/>
          <w:szCs w:val="24"/>
        </w:rPr>
        <w:t>Při stanovování výše pojistného se rovněž zohledňuje riziko</w:t>
      </w:r>
      <w:r w:rsidRPr="00320A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0A0E">
        <w:rPr>
          <w:rFonts w:ascii="Times New Roman" w:hAnsi="Times New Roman" w:cs="Times New Roman"/>
          <w:sz w:val="24"/>
          <w:szCs w:val="24"/>
        </w:rPr>
        <w:t>(zdravotní stav, věk, pohlaví,</w:t>
      </w:r>
      <w:r w:rsidRPr="00320A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0A0E">
        <w:rPr>
          <w:rFonts w:ascii="Times New Roman" w:hAnsi="Times New Roman" w:cs="Times New Roman"/>
          <w:sz w:val="24"/>
          <w:szCs w:val="24"/>
        </w:rPr>
        <w:t>anamnéza). Proto např. ženy nebo osoby ve vyšším věku platí vyšší pojistné než např. mladí</w:t>
      </w:r>
      <w:r w:rsidRPr="00320A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0A0E">
        <w:rPr>
          <w:rFonts w:ascii="Times New Roman" w:hAnsi="Times New Roman" w:cs="Times New Roman"/>
          <w:sz w:val="24"/>
          <w:szCs w:val="24"/>
        </w:rPr>
        <w:t xml:space="preserve">muži. Pojistné se platí jednorázově a na celou dobu pojištění předem, přičemž </w:t>
      </w:r>
      <w:r w:rsidR="00320A0E">
        <w:rPr>
          <w:rFonts w:ascii="Times New Roman" w:hAnsi="Times New Roman" w:cs="Times New Roman"/>
          <w:sz w:val="24"/>
          <w:szCs w:val="24"/>
        </w:rPr>
        <w:t>u </w:t>
      </w:r>
      <w:r w:rsidR="003C013A" w:rsidRPr="00320A0E">
        <w:rPr>
          <w:rFonts w:ascii="Times New Roman" w:hAnsi="Times New Roman" w:cs="Times New Roman"/>
          <w:sz w:val="24"/>
          <w:szCs w:val="24"/>
        </w:rPr>
        <w:t xml:space="preserve">některých pojišťoven se </w:t>
      </w:r>
      <w:r w:rsidRPr="00320A0E">
        <w:rPr>
          <w:rFonts w:ascii="Times New Roman" w:hAnsi="Times New Roman" w:cs="Times New Roman"/>
          <w:sz w:val="24"/>
          <w:szCs w:val="24"/>
        </w:rPr>
        <w:t>pojistné nevrací</w:t>
      </w:r>
      <w:r w:rsidR="003C013A" w:rsidRPr="00320A0E">
        <w:rPr>
          <w:rFonts w:ascii="Times New Roman" w:hAnsi="Times New Roman" w:cs="Times New Roman"/>
          <w:sz w:val="24"/>
          <w:szCs w:val="24"/>
        </w:rPr>
        <w:t>, ani zanikne-li pojištění před uplynutím pojistné doby</w:t>
      </w:r>
      <w:r w:rsidRPr="00320A0E">
        <w:rPr>
          <w:rFonts w:ascii="Times New Roman" w:hAnsi="Times New Roman" w:cs="Times New Roman"/>
          <w:sz w:val="24"/>
          <w:szCs w:val="24"/>
        </w:rPr>
        <w:t>.</w:t>
      </w:r>
      <w:r w:rsidR="003C013A" w:rsidRPr="00320A0E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Pr="00320A0E">
        <w:rPr>
          <w:rFonts w:ascii="Times New Roman" w:hAnsi="Times New Roman" w:cs="Times New Roman"/>
          <w:sz w:val="24"/>
          <w:szCs w:val="24"/>
        </w:rPr>
        <w:t xml:space="preserve"> Pro některou zdravotní péči jsou také součástí všeob</w:t>
      </w:r>
      <w:r w:rsidR="00320A0E">
        <w:rPr>
          <w:rFonts w:ascii="Times New Roman" w:hAnsi="Times New Roman" w:cs="Times New Roman"/>
          <w:sz w:val="24"/>
          <w:szCs w:val="24"/>
        </w:rPr>
        <w:t>ecných pojistných podmínek tzv. </w:t>
      </w:r>
      <w:r w:rsidRPr="00320A0E">
        <w:rPr>
          <w:rFonts w:ascii="Times New Roman" w:hAnsi="Times New Roman" w:cs="Times New Roman"/>
          <w:bCs/>
          <w:sz w:val="24"/>
          <w:szCs w:val="24"/>
        </w:rPr>
        <w:t>čekací doby</w:t>
      </w:r>
      <w:r w:rsidRPr="00320A0E">
        <w:rPr>
          <w:rFonts w:ascii="Times New Roman" w:hAnsi="Times New Roman" w:cs="Times New Roman"/>
          <w:sz w:val="24"/>
          <w:szCs w:val="24"/>
        </w:rPr>
        <w:t>, což znamená, že pojištěnec může takovou péči čerpat (respektive je mu uhrazena) až po</w:t>
      </w:r>
      <w:r w:rsidRPr="00320A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0A0E">
        <w:rPr>
          <w:rFonts w:ascii="Times New Roman" w:hAnsi="Times New Roman" w:cs="Times New Roman"/>
          <w:sz w:val="24"/>
          <w:szCs w:val="24"/>
        </w:rPr>
        <w:t>uplynutí stanovené doby od uzavření pojištění. Nejčastěji se čekací doby týkají lékařské</w:t>
      </w:r>
      <w:r w:rsidRPr="00320A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0A0E">
        <w:rPr>
          <w:rFonts w:ascii="Times New Roman" w:hAnsi="Times New Roman" w:cs="Times New Roman"/>
          <w:sz w:val="24"/>
          <w:szCs w:val="24"/>
        </w:rPr>
        <w:t xml:space="preserve">péče v souvislosti </w:t>
      </w:r>
      <w:r w:rsidRPr="00320A0E">
        <w:rPr>
          <w:rFonts w:ascii="Times New Roman" w:hAnsi="Times New Roman" w:cs="Times New Roman"/>
          <w:iCs/>
          <w:sz w:val="24"/>
          <w:szCs w:val="24"/>
        </w:rPr>
        <w:t>s těhotenstvím</w:t>
      </w:r>
      <w:r w:rsidRPr="00320A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20A0E">
        <w:rPr>
          <w:rFonts w:ascii="Times New Roman" w:hAnsi="Times New Roman" w:cs="Times New Roman"/>
          <w:sz w:val="24"/>
          <w:szCs w:val="24"/>
        </w:rPr>
        <w:t>(většinou 3 měsíce) a </w:t>
      </w:r>
      <w:r w:rsidRPr="00320A0E">
        <w:rPr>
          <w:rFonts w:ascii="Times New Roman" w:hAnsi="Times New Roman" w:cs="Times New Roman"/>
          <w:iCs/>
          <w:sz w:val="24"/>
          <w:szCs w:val="24"/>
        </w:rPr>
        <w:t xml:space="preserve">porodem </w:t>
      </w:r>
      <w:r w:rsidRPr="00320A0E">
        <w:rPr>
          <w:rFonts w:ascii="Times New Roman" w:hAnsi="Times New Roman" w:cs="Times New Roman"/>
          <w:sz w:val="24"/>
          <w:szCs w:val="24"/>
        </w:rPr>
        <w:t xml:space="preserve">(8 měsíců). </w:t>
      </w:r>
    </w:p>
    <w:p w:rsidR="003C013A" w:rsidRPr="00320A0E" w:rsidRDefault="003C013A" w:rsidP="0042208E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0A0E">
        <w:rPr>
          <w:rFonts w:ascii="Times New Roman" w:hAnsi="Times New Roman" w:cs="Times New Roman"/>
          <w:sz w:val="24"/>
          <w:szCs w:val="24"/>
        </w:rPr>
        <w:t xml:space="preserve">Velmi problematickou oblastí je </w:t>
      </w:r>
      <w:r w:rsidRPr="00320A0E">
        <w:rPr>
          <w:rFonts w:ascii="Times New Roman" w:hAnsi="Times New Roman" w:cs="Times New Roman"/>
          <w:bCs/>
          <w:sz w:val="24"/>
          <w:szCs w:val="24"/>
        </w:rPr>
        <w:t>administrativní náročnost spojená s vyřizováním pojistné události</w:t>
      </w:r>
      <w:r w:rsidRPr="00320A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0A0E">
        <w:rPr>
          <w:rFonts w:ascii="Times New Roman" w:hAnsi="Times New Roman" w:cs="Times New Roman"/>
          <w:sz w:val="24"/>
          <w:szCs w:val="24"/>
        </w:rPr>
        <w:t xml:space="preserve">a to nejen na straně pojištěnců – migrantů, ale i na straně zdravotnických </w:t>
      </w:r>
      <w:r w:rsidRPr="00320A0E">
        <w:rPr>
          <w:rFonts w:ascii="Times New Roman" w:hAnsi="Times New Roman" w:cs="Times New Roman"/>
          <w:sz w:val="24"/>
          <w:szCs w:val="24"/>
        </w:rPr>
        <w:lastRenderedPageBreak/>
        <w:t>zařízení.</w:t>
      </w:r>
      <w:r w:rsidRPr="00320A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0A0E">
        <w:rPr>
          <w:rFonts w:ascii="Times New Roman" w:hAnsi="Times New Roman" w:cs="Times New Roman"/>
          <w:sz w:val="24"/>
          <w:szCs w:val="24"/>
        </w:rPr>
        <w:t>Tato administrativa je výrazně náročnější než v případě veřejného zdravotního pojištění.</w:t>
      </w:r>
      <w:r w:rsidRPr="00320A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0A0E">
        <w:rPr>
          <w:rFonts w:ascii="Times New Roman" w:hAnsi="Times New Roman" w:cs="Times New Roman"/>
          <w:sz w:val="24"/>
          <w:szCs w:val="24"/>
        </w:rPr>
        <w:t>Pojištěnci i lékaři nebo zdravotnická zařízení jsou nuceni dodat pojišťovně řadu dokumentů.</w:t>
      </w:r>
      <w:r w:rsidRPr="00320A0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20A0E">
        <w:rPr>
          <w:rFonts w:ascii="Times New Roman" w:hAnsi="Times New Roman" w:cs="Times New Roman"/>
          <w:sz w:val="24"/>
          <w:szCs w:val="24"/>
        </w:rPr>
        <w:t>Přesto se úhrada péče zdravotnickým zařízením, zejména těm, se kterými nemají pojišťovny</w:t>
      </w:r>
      <w:r w:rsidRPr="00320A0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20A0E">
        <w:rPr>
          <w:rFonts w:ascii="Times New Roman" w:hAnsi="Times New Roman" w:cs="Times New Roman"/>
          <w:sz w:val="24"/>
          <w:szCs w:val="24"/>
        </w:rPr>
        <w:t>uzavřené smlouvy, pohybuje na úrovni úhrad veřejného zdravotního pojištění.</w:t>
      </w:r>
      <w:r w:rsidR="003F186A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Pr="00320A0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2208E" w:rsidRPr="00320A0E" w:rsidRDefault="0042208E" w:rsidP="00AD7AA4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0A0E">
        <w:rPr>
          <w:rFonts w:ascii="Times New Roman" w:hAnsi="Times New Roman" w:cs="Times New Roman"/>
          <w:sz w:val="24"/>
          <w:szCs w:val="24"/>
        </w:rPr>
        <w:t>Splatnost pojistného plnění (tj. uhrazení péče ze stran</w:t>
      </w:r>
      <w:r w:rsidR="00320A0E">
        <w:rPr>
          <w:rFonts w:ascii="Times New Roman" w:hAnsi="Times New Roman" w:cs="Times New Roman"/>
          <w:sz w:val="24"/>
          <w:szCs w:val="24"/>
        </w:rPr>
        <w:t>y pojišťovny) je sice 15 dnů od </w:t>
      </w:r>
      <w:r w:rsidRPr="00320A0E">
        <w:rPr>
          <w:rFonts w:ascii="Times New Roman" w:hAnsi="Times New Roman" w:cs="Times New Roman"/>
          <w:sz w:val="24"/>
          <w:szCs w:val="24"/>
        </w:rPr>
        <w:t xml:space="preserve">ukončení šetření nutného ke zjištění „rozsahu povinnosti pojišťovny uhradit péči“, ale toto šetření může trvat dle </w:t>
      </w:r>
      <w:r w:rsidR="00AD7AA4" w:rsidRPr="00320A0E">
        <w:rPr>
          <w:rFonts w:ascii="Times New Roman" w:hAnsi="Times New Roman" w:cs="Times New Roman"/>
          <w:sz w:val="24"/>
          <w:szCs w:val="24"/>
        </w:rPr>
        <w:t xml:space="preserve">všeobecných pojistných podmínek </w:t>
      </w:r>
      <w:r w:rsidRPr="00320A0E">
        <w:rPr>
          <w:rFonts w:ascii="Times New Roman" w:hAnsi="Times New Roman" w:cs="Times New Roman"/>
          <w:sz w:val="24"/>
          <w:szCs w:val="24"/>
        </w:rPr>
        <w:t>až tři měsíce</w:t>
      </w:r>
      <w:r w:rsidRPr="00320A0E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Pr="00320A0E">
        <w:rPr>
          <w:rFonts w:ascii="Times New Roman" w:hAnsi="Times New Roman" w:cs="Times New Roman"/>
          <w:sz w:val="24"/>
          <w:szCs w:val="24"/>
        </w:rPr>
        <w:t xml:space="preserve">. Většina pojišťoven nabízejících komerční zdravotní pojištění vyžaduje po pojištěncích, aby využívali jen </w:t>
      </w:r>
      <w:r w:rsidRPr="00320A0E">
        <w:rPr>
          <w:rFonts w:ascii="Times New Roman" w:hAnsi="Times New Roman" w:cs="Times New Roman"/>
          <w:bCs/>
          <w:sz w:val="24"/>
          <w:szCs w:val="24"/>
        </w:rPr>
        <w:t>služby smluvních lékařů a zdravotnických</w:t>
      </w:r>
      <w:r w:rsidRPr="00320A0E">
        <w:rPr>
          <w:rFonts w:ascii="Times New Roman" w:hAnsi="Times New Roman" w:cs="Times New Roman"/>
          <w:sz w:val="24"/>
          <w:szCs w:val="24"/>
        </w:rPr>
        <w:t xml:space="preserve"> </w:t>
      </w:r>
      <w:r w:rsidRPr="00320A0E">
        <w:rPr>
          <w:rFonts w:ascii="Times New Roman" w:hAnsi="Times New Roman" w:cs="Times New Roman"/>
          <w:bCs/>
          <w:sz w:val="24"/>
          <w:szCs w:val="24"/>
        </w:rPr>
        <w:t xml:space="preserve">zařízení </w:t>
      </w:r>
      <w:r w:rsidRPr="00320A0E">
        <w:rPr>
          <w:rFonts w:ascii="Times New Roman" w:hAnsi="Times New Roman" w:cs="Times New Roman"/>
          <w:sz w:val="24"/>
          <w:szCs w:val="24"/>
        </w:rPr>
        <w:t xml:space="preserve">(s výjimkou nutné a neodkladné péče), popřípadě těch, která jim pojišťovna doporučí. Některé pojišťovny mají dokonce ve svých </w:t>
      </w:r>
      <w:r w:rsidR="00AD7AA4" w:rsidRPr="00320A0E">
        <w:rPr>
          <w:rFonts w:ascii="Times New Roman" w:hAnsi="Times New Roman" w:cs="Times New Roman"/>
          <w:sz w:val="24"/>
          <w:szCs w:val="24"/>
        </w:rPr>
        <w:t>všeobecných pojistných podmínkách</w:t>
      </w:r>
      <w:r w:rsidRPr="00320A0E">
        <w:rPr>
          <w:rFonts w:ascii="Times New Roman" w:hAnsi="Times New Roman" w:cs="Times New Roman"/>
          <w:sz w:val="24"/>
          <w:szCs w:val="24"/>
        </w:rPr>
        <w:t xml:space="preserve"> uvedeno, že v případě, kdy pojištěnec odmítne ošetření lékařem, kterého mu pojišťovna doporučí, je to důvod pro odmítnutí úhrady nebo dokonce k zániku smlouvy.</w:t>
      </w:r>
      <w:r w:rsidRPr="00320A0E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 w:rsidRPr="00320A0E">
        <w:rPr>
          <w:rFonts w:ascii="Times New Roman" w:hAnsi="Times New Roman" w:cs="Times New Roman"/>
          <w:sz w:val="24"/>
          <w:szCs w:val="24"/>
        </w:rPr>
        <w:t xml:space="preserve"> Toto ustanovení výrazně omezuje právo pacienta na volbu lékaře a může mít negativní dopad na vztah mezi pacientem a lékařem. </w:t>
      </w:r>
      <w:r w:rsidR="00AD7AA4" w:rsidRPr="00320A0E">
        <w:rPr>
          <w:rFonts w:ascii="Times New Roman" w:hAnsi="Times New Roman" w:cs="Times New Roman"/>
          <w:sz w:val="24"/>
          <w:szCs w:val="24"/>
        </w:rPr>
        <w:t>S</w:t>
      </w:r>
      <w:r w:rsidRPr="00320A0E">
        <w:rPr>
          <w:rFonts w:ascii="Times New Roman" w:hAnsi="Times New Roman" w:cs="Times New Roman"/>
          <w:sz w:val="24"/>
          <w:szCs w:val="24"/>
        </w:rPr>
        <w:t xml:space="preserve">íť smluvních zdravotnických zařízení </w:t>
      </w:r>
      <w:r w:rsidR="00320A0E">
        <w:rPr>
          <w:rFonts w:ascii="Times New Roman" w:hAnsi="Times New Roman" w:cs="Times New Roman"/>
          <w:sz w:val="24"/>
          <w:szCs w:val="24"/>
        </w:rPr>
        <w:t>je </w:t>
      </w:r>
      <w:r w:rsidRPr="00320A0E">
        <w:rPr>
          <w:rFonts w:ascii="Times New Roman" w:hAnsi="Times New Roman" w:cs="Times New Roman"/>
          <w:sz w:val="24"/>
          <w:szCs w:val="24"/>
        </w:rPr>
        <w:t xml:space="preserve">nedostatečná, čímž </w:t>
      </w:r>
      <w:r w:rsidR="00320A0E">
        <w:rPr>
          <w:rFonts w:ascii="Times New Roman" w:hAnsi="Times New Roman" w:cs="Times New Roman"/>
          <w:sz w:val="24"/>
          <w:szCs w:val="24"/>
        </w:rPr>
        <w:t>s</w:t>
      </w:r>
      <w:r w:rsidRPr="00320A0E">
        <w:rPr>
          <w:rFonts w:ascii="Times New Roman" w:hAnsi="Times New Roman" w:cs="Times New Roman"/>
          <w:sz w:val="24"/>
          <w:szCs w:val="24"/>
        </w:rPr>
        <w:t>e dále omez</w:t>
      </w:r>
      <w:r w:rsidR="00320A0E">
        <w:rPr>
          <w:rFonts w:ascii="Times New Roman" w:hAnsi="Times New Roman" w:cs="Times New Roman"/>
          <w:sz w:val="24"/>
          <w:szCs w:val="24"/>
        </w:rPr>
        <w:t>uje</w:t>
      </w:r>
      <w:r w:rsidRPr="00320A0E">
        <w:rPr>
          <w:rFonts w:ascii="Times New Roman" w:hAnsi="Times New Roman" w:cs="Times New Roman"/>
          <w:sz w:val="24"/>
          <w:szCs w:val="24"/>
        </w:rPr>
        <w:t xml:space="preserve"> dostupnost zdravotní péč</w:t>
      </w:r>
      <w:r w:rsidR="00320A0E">
        <w:rPr>
          <w:rFonts w:ascii="Times New Roman" w:hAnsi="Times New Roman" w:cs="Times New Roman"/>
          <w:sz w:val="24"/>
          <w:szCs w:val="24"/>
        </w:rPr>
        <w:t>e pro dotčené skupiny migrantů. N</w:t>
      </w:r>
      <w:r w:rsidRPr="00320A0E">
        <w:rPr>
          <w:rFonts w:ascii="Times New Roman" w:hAnsi="Times New Roman" w:cs="Times New Roman"/>
          <w:sz w:val="24"/>
          <w:szCs w:val="24"/>
        </w:rPr>
        <w:t>ejisté postavení pojištěnců komerčního zdravotního pojiště</w:t>
      </w:r>
      <w:r w:rsidR="00320A0E">
        <w:rPr>
          <w:rFonts w:ascii="Times New Roman" w:hAnsi="Times New Roman" w:cs="Times New Roman"/>
          <w:sz w:val="24"/>
          <w:szCs w:val="24"/>
        </w:rPr>
        <w:t>ní pramení i ze skutečnosti, že </w:t>
      </w:r>
      <w:r w:rsidRPr="00320A0E">
        <w:rPr>
          <w:rFonts w:ascii="Times New Roman" w:hAnsi="Times New Roman" w:cs="Times New Roman"/>
          <w:bCs/>
          <w:sz w:val="24"/>
          <w:szCs w:val="24"/>
        </w:rPr>
        <w:t>pojišťovny mohou smlouvu velmi snadno vypovědět</w:t>
      </w:r>
      <w:r w:rsidRPr="00320A0E">
        <w:rPr>
          <w:rFonts w:ascii="Times New Roman" w:hAnsi="Times New Roman" w:cs="Times New Roman"/>
          <w:sz w:val="24"/>
          <w:szCs w:val="24"/>
        </w:rPr>
        <w:t>,</w:t>
      </w:r>
      <w:r w:rsidR="00320A0E">
        <w:rPr>
          <w:rFonts w:ascii="Times New Roman" w:hAnsi="Times New Roman" w:cs="Times New Roman"/>
          <w:sz w:val="24"/>
          <w:szCs w:val="24"/>
        </w:rPr>
        <w:t xml:space="preserve"> např. v případě, že </w:t>
      </w:r>
      <w:r w:rsidRPr="00320A0E">
        <w:rPr>
          <w:rFonts w:ascii="Times New Roman" w:hAnsi="Times New Roman" w:cs="Times New Roman"/>
          <w:sz w:val="24"/>
          <w:szCs w:val="24"/>
        </w:rPr>
        <w:t xml:space="preserve">pojištěný </w:t>
      </w:r>
      <w:r w:rsidRPr="00320A0E">
        <w:rPr>
          <w:rFonts w:ascii="Times New Roman" w:hAnsi="Times New Roman" w:cs="Times New Roman"/>
          <w:i/>
          <w:iCs/>
          <w:sz w:val="24"/>
          <w:szCs w:val="24"/>
        </w:rPr>
        <w:t>odmítne</w:t>
      </w:r>
      <w:r w:rsidRPr="00320A0E">
        <w:rPr>
          <w:rFonts w:ascii="Times New Roman" w:hAnsi="Times New Roman" w:cs="Times New Roman"/>
          <w:sz w:val="24"/>
          <w:szCs w:val="24"/>
        </w:rPr>
        <w:t xml:space="preserve"> </w:t>
      </w:r>
      <w:r w:rsidRPr="00320A0E">
        <w:rPr>
          <w:rFonts w:ascii="Times New Roman" w:hAnsi="Times New Roman" w:cs="Times New Roman"/>
          <w:i/>
          <w:iCs/>
          <w:sz w:val="24"/>
          <w:szCs w:val="24"/>
        </w:rPr>
        <w:t>repatriaci</w:t>
      </w:r>
      <w:r w:rsidR="00AD7AA4" w:rsidRPr="00320A0E">
        <w:rPr>
          <w:rStyle w:val="Znakapoznpodarou"/>
          <w:rFonts w:ascii="Times New Roman" w:hAnsi="Times New Roman" w:cs="Times New Roman"/>
          <w:i/>
          <w:iCs/>
          <w:sz w:val="24"/>
          <w:szCs w:val="24"/>
        </w:rPr>
        <w:footnoteReference w:id="10"/>
      </w:r>
      <w:r w:rsidR="00AD7AA4" w:rsidRPr="00320A0E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320A0E">
        <w:rPr>
          <w:rFonts w:ascii="Times New Roman" w:hAnsi="Times New Roman" w:cs="Times New Roman"/>
          <w:sz w:val="24"/>
          <w:szCs w:val="24"/>
        </w:rPr>
        <w:t xml:space="preserve"> nebo „</w:t>
      </w:r>
      <w:r w:rsidRPr="00320A0E">
        <w:rPr>
          <w:rFonts w:ascii="Times New Roman" w:hAnsi="Times New Roman" w:cs="Times New Roman"/>
          <w:i/>
          <w:iCs/>
          <w:sz w:val="24"/>
          <w:szCs w:val="24"/>
        </w:rPr>
        <w:t>pojištění zaniká dnem doručení oznámení pojistitele o odmítnutí</w:t>
      </w:r>
      <w:r w:rsidRPr="00320A0E">
        <w:rPr>
          <w:rFonts w:ascii="Times New Roman" w:hAnsi="Times New Roman" w:cs="Times New Roman"/>
          <w:sz w:val="24"/>
          <w:szCs w:val="24"/>
        </w:rPr>
        <w:t xml:space="preserve"> </w:t>
      </w:r>
      <w:r w:rsidRPr="00320A0E">
        <w:rPr>
          <w:rFonts w:ascii="Times New Roman" w:hAnsi="Times New Roman" w:cs="Times New Roman"/>
          <w:i/>
          <w:iCs/>
          <w:sz w:val="24"/>
          <w:szCs w:val="24"/>
        </w:rPr>
        <w:t>pojistného plnění“</w:t>
      </w:r>
      <w:r w:rsidR="00AD7AA4" w:rsidRPr="00320A0E">
        <w:rPr>
          <w:rStyle w:val="Znakapoznpodarou"/>
          <w:rFonts w:ascii="Times New Roman" w:hAnsi="Times New Roman" w:cs="Times New Roman"/>
          <w:i/>
          <w:iCs/>
          <w:sz w:val="24"/>
          <w:szCs w:val="24"/>
        </w:rPr>
        <w:footnoteReference w:id="11"/>
      </w:r>
      <w:r w:rsidRPr="00320A0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F186A" w:rsidRDefault="009B4641" w:rsidP="009377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A0E">
        <w:rPr>
          <w:rFonts w:ascii="Times New Roman" w:hAnsi="Times New Roman" w:cs="Times New Roman"/>
          <w:sz w:val="24"/>
          <w:szCs w:val="24"/>
        </w:rPr>
        <w:t>Nabízené pojistné produkty jsou často pro neadekvátně nízký rozsah pojištění v přímém rozporu s § 5 zákona č. 37/2004</w:t>
      </w:r>
      <w:r w:rsidR="00320A0E">
        <w:rPr>
          <w:rFonts w:ascii="Times New Roman" w:hAnsi="Times New Roman" w:cs="Times New Roman"/>
          <w:sz w:val="24"/>
          <w:szCs w:val="24"/>
        </w:rPr>
        <w:t xml:space="preserve"> Sb.</w:t>
      </w:r>
      <w:r w:rsidRPr="00320A0E">
        <w:rPr>
          <w:rFonts w:ascii="Times New Roman" w:hAnsi="Times New Roman" w:cs="Times New Roman"/>
          <w:sz w:val="24"/>
          <w:szCs w:val="24"/>
        </w:rPr>
        <w:t>, o pojistné smlouvě, ve znění pozdějších předpisů (dále jen „zákon o pojistné smlouvě“). Běžnou praxí je značná nerovnováha v rozdělení práv a povinností mezi pojistitele a spotřebitele</w:t>
      </w:r>
      <w:r w:rsidR="00320A0E">
        <w:rPr>
          <w:rFonts w:ascii="Times New Roman" w:hAnsi="Times New Roman" w:cs="Times New Roman"/>
          <w:sz w:val="24"/>
          <w:szCs w:val="24"/>
        </w:rPr>
        <w:t>,</w:t>
      </w:r>
      <w:r w:rsidRPr="00320A0E">
        <w:rPr>
          <w:rFonts w:ascii="Times New Roman" w:hAnsi="Times New Roman" w:cs="Times New Roman"/>
          <w:sz w:val="24"/>
          <w:szCs w:val="24"/>
        </w:rPr>
        <w:t xml:space="preserve"> a to především v oblasti administrace pojistné události a v oblasti ukončení smluvního vztahu, </w:t>
      </w:r>
      <w:r w:rsidR="00320A0E">
        <w:rPr>
          <w:rFonts w:ascii="Times New Roman" w:hAnsi="Times New Roman" w:cs="Times New Roman"/>
          <w:sz w:val="24"/>
          <w:szCs w:val="24"/>
        </w:rPr>
        <w:t>zejména výpovědi ze </w:t>
      </w:r>
      <w:r w:rsidRPr="00320A0E">
        <w:rPr>
          <w:rFonts w:ascii="Times New Roman" w:hAnsi="Times New Roman" w:cs="Times New Roman"/>
          <w:sz w:val="24"/>
          <w:szCs w:val="24"/>
        </w:rPr>
        <w:t xml:space="preserve">strany spotřebitele. </w:t>
      </w:r>
      <w:r w:rsidR="003F186A">
        <w:rPr>
          <w:rFonts w:ascii="Times New Roman" w:hAnsi="Times New Roman" w:cs="Times New Roman"/>
          <w:sz w:val="24"/>
          <w:szCs w:val="24"/>
        </w:rPr>
        <w:t>Dle § </w:t>
      </w:r>
      <w:r w:rsidR="003F186A" w:rsidRPr="00320A0E">
        <w:rPr>
          <w:rFonts w:ascii="Times New Roman" w:hAnsi="Times New Roman" w:cs="Times New Roman"/>
          <w:sz w:val="24"/>
          <w:szCs w:val="24"/>
        </w:rPr>
        <w:t xml:space="preserve">22 odst. </w:t>
      </w:r>
      <w:r w:rsidR="003F186A">
        <w:rPr>
          <w:rFonts w:ascii="Times New Roman" w:hAnsi="Times New Roman" w:cs="Times New Roman"/>
          <w:sz w:val="24"/>
          <w:szCs w:val="24"/>
        </w:rPr>
        <w:t xml:space="preserve">3 </w:t>
      </w:r>
      <w:r w:rsidR="003F186A" w:rsidRPr="00320A0E">
        <w:rPr>
          <w:rFonts w:ascii="Times New Roman" w:hAnsi="Times New Roman" w:cs="Times New Roman"/>
          <w:sz w:val="24"/>
          <w:szCs w:val="24"/>
        </w:rPr>
        <w:t>zákona o pojistné smlo</w:t>
      </w:r>
      <w:r w:rsidR="003F186A">
        <w:rPr>
          <w:rFonts w:ascii="Times New Roman" w:hAnsi="Times New Roman" w:cs="Times New Roman"/>
          <w:sz w:val="24"/>
          <w:szCs w:val="24"/>
        </w:rPr>
        <w:t xml:space="preserve">uvě mohou pojišťovny smlouvu vypovědět </w:t>
      </w:r>
      <w:r w:rsidRPr="00320A0E">
        <w:rPr>
          <w:rFonts w:ascii="Times New Roman" w:hAnsi="Times New Roman" w:cs="Times New Roman"/>
          <w:sz w:val="24"/>
          <w:szCs w:val="24"/>
        </w:rPr>
        <w:t>do 3 měsíců od vzniku pojistné události. Typicky tak může dojít k situaci, kdy dlouhodobě pobývajícímu a ú</w:t>
      </w:r>
      <w:r w:rsidR="00320A0E">
        <w:rPr>
          <w:rFonts w:ascii="Times New Roman" w:hAnsi="Times New Roman" w:cs="Times New Roman"/>
          <w:sz w:val="24"/>
          <w:szCs w:val="24"/>
        </w:rPr>
        <w:t>spěšně integrovanému cizinci, u </w:t>
      </w:r>
      <w:r w:rsidRPr="00320A0E">
        <w:rPr>
          <w:rFonts w:ascii="Times New Roman" w:hAnsi="Times New Roman" w:cs="Times New Roman"/>
          <w:sz w:val="24"/>
          <w:szCs w:val="24"/>
        </w:rPr>
        <w:t xml:space="preserve">kterého se náhle objevily zdravotní problémy vyžadující dlouhodobou péči či léčbu, bude pojišťovnou vypovězena smlouva a on se tak vzhledem ke svému </w:t>
      </w:r>
      <w:r w:rsidR="003F186A">
        <w:rPr>
          <w:rFonts w:ascii="Times New Roman" w:hAnsi="Times New Roman" w:cs="Times New Roman"/>
          <w:sz w:val="24"/>
          <w:szCs w:val="24"/>
        </w:rPr>
        <w:t>zdravotnímu stavu</w:t>
      </w:r>
      <w:r w:rsidRPr="00320A0E">
        <w:rPr>
          <w:rFonts w:ascii="Times New Roman" w:hAnsi="Times New Roman" w:cs="Times New Roman"/>
          <w:sz w:val="24"/>
          <w:szCs w:val="24"/>
        </w:rPr>
        <w:t xml:space="preserve"> stane nepojistitelnou osobou </w:t>
      </w:r>
      <w:r w:rsidRPr="00320A0E">
        <w:rPr>
          <w:rFonts w:ascii="Times New Roman" w:hAnsi="Times New Roman" w:cs="Times New Roman"/>
          <w:sz w:val="24"/>
          <w:szCs w:val="24"/>
        </w:rPr>
        <w:lastRenderedPageBreak/>
        <w:t>se</w:t>
      </w:r>
      <w:r w:rsidR="00AD4F39">
        <w:rPr>
          <w:rFonts w:ascii="Times New Roman" w:hAnsi="Times New Roman" w:cs="Times New Roman"/>
          <w:sz w:val="24"/>
          <w:szCs w:val="24"/>
        </w:rPr>
        <w:t> </w:t>
      </w:r>
      <w:r w:rsidRPr="00320A0E">
        <w:rPr>
          <w:rFonts w:ascii="Times New Roman" w:hAnsi="Times New Roman" w:cs="Times New Roman"/>
          <w:sz w:val="24"/>
          <w:szCs w:val="24"/>
        </w:rPr>
        <w:t xml:space="preserve">všemi negativními důsledky pro něj samotného i pro integrační politiku ČR. Analogický závěr platí i pro ustanovení § 15 odst. 5 zákona o pojistné smlouvě, který umožňuje pojišťovně vypovědět smlouvu po dodatečném zvýšení pojistného rizika (tedy po dodatečném podstatném zhoršení zdravotního stavu pojištěného), kdy se dotyčný cizinec opět stane nepojistitelnou osobou. </w:t>
      </w:r>
    </w:p>
    <w:p w:rsidR="009B4641" w:rsidRPr="00320A0E" w:rsidRDefault="009B4641" w:rsidP="009377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A0E">
        <w:rPr>
          <w:rFonts w:ascii="Times New Roman" w:hAnsi="Times New Roman" w:cs="Times New Roman"/>
          <w:sz w:val="24"/>
          <w:szCs w:val="24"/>
        </w:rPr>
        <w:t>V této věci se nabízí otázka, zda lze selektivní výběr kontraktačního partnera ze strany zdravotních pojišťo</w:t>
      </w:r>
      <w:r w:rsidR="00320A0E">
        <w:rPr>
          <w:rFonts w:ascii="Times New Roman" w:hAnsi="Times New Roman" w:cs="Times New Roman"/>
          <w:sz w:val="24"/>
          <w:szCs w:val="24"/>
        </w:rPr>
        <w:t>ven označit za diskriminaci, či </w:t>
      </w:r>
      <w:r w:rsidRPr="00320A0E">
        <w:rPr>
          <w:rFonts w:ascii="Times New Roman" w:hAnsi="Times New Roman" w:cs="Times New Roman"/>
          <w:sz w:val="24"/>
          <w:szCs w:val="24"/>
        </w:rPr>
        <w:t>zda lze p</w:t>
      </w:r>
      <w:r w:rsidR="00AD4F39">
        <w:rPr>
          <w:rFonts w:ascii="Times New Roman" w:hAnsi="Times New Roman" w:cs="Times New Roman"/>
          <w:sz w:val="24"/>
          <w:szCs w:val="24"/>
        </w:rPr>
        <w:t>o pojišťovnách vyžadovat, aby v </w:t>
      </w:r>
      <w:r w:rsidRPr="00320A0E">
        <w:rPr>
          <w:rFonts w:ascii="Times New Roman" w:hAnsi="Times New Roman" w:cs="Times New Roman"/>
          <w:sz w:val="24"/>
          <w:szCs w:val="24"/>
        </w:rPr>
        <w:t>soukromém právním vztahu uzavíraly potencionáln</w:t>
      </w:r>
      <w:r w:rsidR="00937737" w:rsidRPr="00320A0E">
        <w:rPr>
          <w:rFonts w:ascii="Times New Roman" w:hAnsi="Times New Roman" w:cs="Times New Roman"/>
          <w:sz w:val="24"/>
          <w:szCs w:val="24"/>
        </w:rPr>
        <w:t>ě ekonomicky nevýhodné smlouvy. Kladná</w:t>
      </w:r>
      <w:r w:rsidRPr="00320A0E">
        <w:rPr>
          <w:rFonts w:ascii="Times New Roman" w:hAnsi="Times New Roman" w:cs="Times New Roman"/>
          <w:sz w:val="24"/>
          <w:szCs w:val="24"/>
        </w:rPr>
        <w:t xml:space="preserve"> </w:t>
      </w:r>
      <w:r w:rsidR="00937737" w:rsidRPr="00320A0E">
        <w:rPr>
          <w:rFonts w:ascii="Times New Roman" w:hAnsi="Times New Roman" w:cs="Times New Roman"/>
          <w:sz w:val="24"/>
          <w:szCs w:val="24"/>
        </w:rPr>
        <w:t>odpověď</w:t>
      </w:r>
      <w:r w:rsidR="00320A0E">
        <w:rPr>
          <w:rFonts w:ascii="Times New Roman" w:hAnsi="Times New Roman" w:cs="Times New Roman"/>
          <w:sz w:val="24"/>
          <w:szCs w:val="24"/>
        </w:rPr>
        <w:t xml:space="preserve"> vychází především ze </w:t>
      </w:r>
      <w:r w:rsidRPr="00320A0E">
        <w:rPr>
          <w:rFonts w:ascii="Times New Roman" w:hAnsi="Times New Roman" w:cs="Times New Roman"/>
          <w:sz w:val="24"/>
          <w:szCs w:val="24"/>
        </w:rPr>
        <w:t>skutečnosti, že</w:t>
      </w:r>
      <w:r w:rsidR="00937737" w:rsidRPr="00320A0E">
        <w:rPr>
          <w:rFonts w:ascii="Times New Roman" w:hAnsi="Times New Roman" w:cs="Times New Roman"/>
          <w:sz w:val="24"/>
          <w:szCs w:val="24"/>
        </w:rPr>
        <w:t>:</w:t>
      </w:r>
    </w:p>
    <w:p w:rsidR="009B4641" w:rsidRPr="00320A0E" w:rsidRDefault="00F075C8" w:rsidP="0093773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přístup nespadá</w:t>
      </w:r>
      <w:r w:rsidR="009B4641" w:rsidRPr="00320A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B4641" w:rsidRPr="00320A0E">
        <w:rPr>
          <w:rFonts w:ascii="Times New Roman" w:hAnsi="Times New Roman" w:cs="Times New Roman"/>
          <w:sz w:val="24"/>
          <w:szCs w:val="24"/>
        </w:rPr>
        <w:t>do žádného z povolených forem rozdílného</w:t>
      </w:r>
      <w:r w:rsidR="00937737" w:rsidRPr="00320A0E">
        <w:rPr>
          <w:rFonts w:ascii="Times New Roman" w:hAnsi="Times New Roman" w:cs="Times New Roman"/>
          <w:sz w:val="24"/>
          <w:szCs w:val="24"/>
        </w:rPr>
        <w:t xml:space="preserve"> </w:t>
      </w:r>
      <w:r w:rsidR="00AD4F39">
        <w:rPr>
          <w:rFonts w:ascii="Times New Roman" w:hAnsi="Times New Roman" w:cs="Times New Roman"/>
          <w:sz w:val="24"/>
          <w:szCs w:val="24"/>
        </w:rPr>
        <w:t>zacházení v </w:t>
      </w:r>
      <w:r w:rsidR="009B4641" w:rsidRPr="00320A0E">
        <w:rPr>
          <w:rFonts w:ascii="Times New Roman" w:hAnsi="Times New Roman" w:cs="Times New Roman"/>
          <w:sz w:val="24"/>
          <w:szCs w:val="24"/>
        </w:rPr>
        <w:t>ustanovení § 6 a § 7 zákona č. 198/2009 Sb., o rovném zacház</w:t>
      </w:r>
      <w:r w:rsidR="00320A0E">
        <w:rPr>
          <w:rFonts w:ascii="Times New Roman" w:hAnsi="Times New Roman" w:cs="Times New Roman"/>
          <w:sz w:val="24"/>
          <w:szCs w:val="24"/>
        </w:rPr>
        <w:t>ení a </w:t>
      </w:r>
      <w:r w:rsidR="009B4641" w:rsidRPr="00320A0E">
        <w:rPr>
          <w:rFonts w:ascii="Times New Roman" w:hAnsi="Times New Roman" w:cs="Times New Roman"/>
          <w:sz w:val="24"/>
          <w:szCs w:val="24"/>
        </w:rPr>
        <w:t>o</w:t>
      </w:r>
      <w:r w:rsidR="00937737" w:rsidRPr="00320A0E">
        <w:rPr>
          <w:rFonts w:ascii="Times New Roman" w:hAnsi="Times New Roman" w:cs="Times New Roman"/>
          <w:sz w:val="24"/>
          <w:szCs w:val="24"/>
        </w:rPr>
        <w:t> </w:t>
      </w:r>
      <w:r w:rsidR="009B4641" w:rsidRPr="00320A0E">
        <w:rPr>
          <w:rFonts w:ascii="Times New Roman" w:hAnsi="Times New Roman" w:cs="Times New Roman"/>
          <w:sz w:val="24"/>
          <w:szCs w:val="24"/>
        </w:rPr>
        <w:t>právních prostředcích ochrany před diskriminací (dále jen antidiskriminační zákon),</w:t>
      </w:r>
      <w:r w:rsidR="00937737" w:rsidRPr="00320A0E">
        <w:rPr>
          <w:rFonts w:ascii="Times New Roman" w:hAnsi="Times New Roman" w:cs="Times New Roman"/>
          <w:sz w:val="24"/>
          <w:szCs w:val="24"/>
        </w:rPr>
        <w:t xml:space="preserve"> </w:t>
      </w:r>
      <w:r w:rsidR="009B4641" w:rsidRPr="00320A0E">
        <w:rPr>
          <w:rFonts w:ascii="Times New Roman" w:hAnsi="Times New Roman" w:cs="Times New Roman"/>
          <w:sz w:val="24"/>
          <w:szCs w:val="24"/>
        </w:rPr>
        <w:t>přičemž tento zákon v ustanovení § 1 ods</w:t>
      </w:r>
      <w:r w:rsidR="00937737" w:rsidRPr="00320A0E">
        <w:rPr>
          <w:rFonts w:ascii="Times New Roman" w:hAnsi="Times New Roman" w:cs="Times New Roman"/>
          <w:sz w:val="24"/>
          <w:szCs w:val="24"/>
        </w:rPr>
        <w:t>t. 1 normuje oblast přístupu ke </w:t>
      </w:r>
      <w:r w:rsidR="009B4641" w:rsidRPr="00320A0E">
        <w:rPr>
          <w:rFonts w:ascii="Times New Roman" w:hAnsi="Times New Roman" w:cs="Times New Roman"/>
          <w:sz w:val="24"/>
          <w:szCs w:val="24"/>
        </w:rPr>
        <w:t>zdravotní péči</w:t>
      </w:r>
      <w:r w:rsidR="00937737" w:rsidRPr="00320A0E">
        <w:rPr>
          <w:rFonts w:ascii="Times New Roman" w:hAnsi="Times New Roman" w:cs="Times New Roman"/>
          <w:sz w:val="24"/>
          <w:szCs w:val="24"/>
        </w:rPr>
        <w:t xml:space="preserve"> do své věcné působnosti;</w:t>
      </w:r>
    </w:p>
    <w:p w:rsidR="00937737" w:rsidRPr="00320A0E" w:rsidRDefault="009B4641" w:rsidP="0093773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20A0E">
        <w:rPr>
          <w:rFonts w:ascii="Times New Roman" w:hAnsi="Times New Roman" w:cs="Times New Roman"/>
          <w:sz w:val="24"/>
          <w:szCs w:val="24"/>
        </w:rPr>
        <w:t>nejedná se o čistě soukromoprávní materii, jelikož spotřebitel, jakožto slabší smluvní</w:t>
      </w:r>
      <w:r w:rsidR="00937737" w:rsidRPr="00320A0E">
        <w:rPr>
          <w:rFonts w:ascii="Times New Roman" w:hAnsi="Times New Roman" w:cs="Times New Roman"/>
          <w:sz w:val="24"/>
          <w:szCs w:val="24"/>
        </w:rPr>
        <w:t xml:space="preserve"> </w:t>
      </w:r>
      <w:r w:rsidRPr="00320A0E">
        <w:rPr>
          <w:rFonts w:ascii="Times New Roman" w:hAnsi="Times New Roman" w:cs="Times New Roman"/>
          <w:sz w:val="24"/>
          <w:szCs w:val="24"/>
        </w:rPr>
        <w:t>strana je k uzavření smlouvy nucen veře</w:t>
      </w:r>
      <w:r w:rsidR="00937737" w:rsidRPr="00320A0E">
        <w:rPr>
          <w:rFonts w:ascii="Times New Roman" w:hAnsi="Times New Roman" w:cs="Times New Roman"/>
          <w:sz w:val="24"/>
          <w:szCs w:val="24"/>
        </w:rPr>
        <w:t>jnoprávním předpisem, kterým je </w:t>
      </w:r>
      <w:r w:rsidRPr="00320A0E">
        <w:rPr>
          <w:rFonts w:ascii="Times New Roman" w:hAnsi="Times New Roman" w:cs="Times New Roman"/>
          <w:sz w:val="24"/>
          <w:szCs w:val="24"/>
        </w:rPr>
        <w:t>zákon o</w:t>
      </w:r>
      <w:r w:rsidR="00937737" w:rsidRPr="00320A0E">
        <w:rPr>
          <w:rFonts w:ascii="Times New Roman" w:hAnsi="Times New Roman" w:cs="Times New Roman"/>
          <w:sz w:val="24"/>
          <w:szCs w:val="24"/>
        </w:rPr>
        <w:t xml:space="preserve"> pobytu cizinců;</w:t>
      </w:r>
    </w:p>
    <w:p w:rsidR="00937737" w:rsidRPr="00320A0E" w:rsidRDefault="009B4641" w:rsidP="0093773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20A0E">
        <w:rPr>
          <w:rFonts w:ascii="Times New Roman" w:hAnsi="Times New Roman" w:cs="Times New Roman"/>
          <w:sz w:val="24"/>
          <w:szCs w:val="24"/>
        </w:rPr>
        <w:t>samotný antidiskriminační zákon pracuje s hodnotovým pojmem „dobré mravy“ (§ 5</w:t>
      </w:r>
      <w:r w:rsidR="00937737" w:rsidRPr="00320A0E">
        <w:rPr>
          <w:rFonts w:ascii="Times New Roman" w:hAnsi="Times New Roman" w:cs="Times New Roman"/>
          <w:sz w:val="24"/>
          <w:szCs w:val="24"/>
        </w:rPr>
        <w:t xml:space="preserve"> </w:t>
      </w:r>
      <w:r w:rsidRPr="00320A0E">
        <w:rPr>
          <w:rFonts w:ascii="Times New Roman" w:hAnsi="Times New Roman" w:cs="Times New Roman"/>
          <w:sz w:val="24"/>
          <w:szCs w:val="24"/>
        </w:rPr>
        <w:t>odst. 2)</w:t>
      </w:r>
      <w:r w:rsidR="005446C5">
        <w:rPr>
          <w:rFonts w:ascii="Times New Roman" w:hAnsi="Times New Roman" w:cs="Times New Roman"/>
          <w:sz w:val="24"/>
          <w:szCs w:val="24"/>
        </w:rPr>
        <w:t>,</w:t>
      </w:r>
      <w:r w:rsidRPr="00320A0E">
        <w:rPr>
          <w:rFonts w:ascii="Times New Roman" w:hAnsi="Times New Roman" w:cs="Times New Roman"/>
          <w:sz w:val="24"/>
          <w:szCs w:val="24"/>
        </w:rPr>
        <w:t xml:space="preserve"> přitom se nabízí závěr, že vzhledem k vysoké ziskovosti tohoto druhu</w:t>
      </w:r>
      <w:r w:rsidR="00937737" w:rsidRPr="00320A0E">
        <w:rPr>
          <w:rFonts w:ascii="Times New Roman" w:hAnsi="Times New Roman" w:cs="Times New Roman"/>
          <w:sz w:val="24"/>
          <w:szCs w:val="24"/>
        </w:rPr>
        <w:t xml:space="preserve"> </w:t>
      </w:r>
      <w:r w:rsidRPr="00320A0E">
        <w:rPr>
          <w:rFonts w:ascii="Times New Roman" w:hAnsi="Times New Roman" w:cs="Times New Roman"/>
          <w:sz w:val="24"/>
          <w:szCs w:val="24"/>
        </w:rPr>
        <w:t>podnikání na poli komerčního pojištění cizinců, jakož i ke skutečnosti, že cizinci jsou</w:t>
      </w:r>
      <w:r w:rsidR="00937737" w:rsidRPr="00320A0E">
        <w:rPr>
          <w:rFonts w:ascii="Times New Roman" w:hAnsi="Times New Roman" w:cs="Times New Roman"/>
          <w:sz w:val="24"/>
          <w:szCs w:val="24"/>
        </w:rPr>
        <w:t xml:space="preserve"> </w:t>
      </w:r>
      <w:r w:rsidRPr="00320A0E">
        <w:rPr>
          <w:rFonts w:ascii="Times New Roman" w:hAnsi="Times New Roman" w:cs="Times New Roman"/>
          <w:sz w:val="24"/>
          <w:szCs w:val="24"/>
        </w:rPr>
        <w:t>k uzavření smlouvy nuceni veřejnoprávním předpisem a že nabídka pojistitelů je</w:t>
      </w:r>
      <w:r w:rsidR="00937737" w:rsidRPr="00320A0E">
        <w:rPr>
          <w:rFonts w:ascii="Times New Roman" w:hAnsi="Times New Roman" w:cs="Times New Roman"/>
          <w:sz w:val="24"/>
          <w:szCs w:val="24"/>
        </w:rPr>
        <w:t xml:space="preserve"> poměrně omezená (viz</w:t>
      </w:r>
      <w:r w:rsidRPr="00320A0E">
        <w:rPr>
          <w:rFonts w:ascii="Times New Roman" w:hAnsi="Times New Roman" w:cs="Times New Roman"/>
          <w:sz w:val="24"/>
          <w:szCs w:val="24"/>
        </w:rPr>
        <w:t xml:space="preserve"> výše uvedené pojišťovny), je apriorní odmítání uzavření</w:t>
      </w:r>
      <w:r w:rsidR="00937737" w:rsidRPr="00320A0E">
        <w:rPr>
          <w:rFonts w:ascii="Times New Roman" w:hAnsi="Times New Roman" w:cs="Times New Roman"/>
          <w:sz w:val="24"/>
          <w:szCs w:val="24"/>
        </w:rPr>
        <w:t xml:space="preserve"> </w:t>
      </w:r>
      <w:r w:rsidR="00AD4F39">
        <w:rPr>
          <w:rFonts w:ascii="Times New Roman" w:hAnsi="Times New Roman" w:cs="Times New Roman"/>
          <w:sz w:val="24"/>
          <w:szCs w:val="24"/>
        </w:rPr>
        <w:t>smluv se starší</w:t>
      </w:r>
      <w:r w:rsidRPr="00320A0E">
        <w:rPr>
          <w:rFonts w:ascii="Times New Roman" w:hAnsi="Times New Roman" w:cs="Times New Roman"/>
          <w:sz w:val="24"/>
          <w:szCs w:val="24"/>
        </w:rPr>
        <w:t>mi či nemocnými lidmi v rozporu s výše uvedeným hodnotovým</w:t>
      </w:r>
      <w:r w:rsidR="00937737" w:rsidRPr="00320A0E">
        <w:rPr>
          <w:rFonts w:ascii="Times New Roman" w:hAnsi="Times New Roman" w:cs="Times New Roman"/>
          <w:sz w:val="24"/>
          <w:szCs w:val="24"/>
        </w:rPr>
        <w:t xml:space="preserve"> pojmem dobrých mravů;</w:t>
      </w:r>
    </w:p>
    <w:p w:rsidR="00937737" w:rsidRPr="00320A0E" w:rsidRDefault="009B4641" w:rsidP="0093773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20A0E">
        <w:rPr>
          <w:rFonts w:ascii="Times New Roman" w:hAnsi="Times New Roman" w:cs="Times New Roman"/>
          <w:sz w:val="24"/>
          <w:szCs w:val="24"/>
        </w:rPr>
        <w:t>přípustné formy rozdílného zacházení vždy mají sledovat legitimní, veřejný účel</w:t>
      </w:r>
      <w:r w:rsidR="00937737" w:rsidRPr="00320A0E">
        <w:rPr>
          <w:rStyle w:val="Znakapoznpodarou"/>
          <w:rFonts w:ascii="Times New Roman" w:hAnsi="Times New Roman" w:cs="Times New Roman"/>
          <w:sz w:val="24"/>
          <w:szCs w:val="24"/>
        </w:rPr>
        <w:footnoteReference w:id="12"/>
      </w:r>
      <w:r w:rsidR="00937737" w:rsidRPr="00320A0E">
        <w:rPr>
          <w:rFonts w:ascii="Times New Roman" w:hAnsi="Times New Roman" w:cs="Times New Roman"/>
          <w:sz w:val="24"/>
          <w:szCs w:val="24"/>
        </w:rPr>
        <w:t>;</w:t>
      </w:r>
    </w:p>
    <w:p w:rsidR="00937737" w:rsidRPr="00320A0E" w:rsidRDefault="009B4641" w:rsidP="0093773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20A0E">
        <w:rPr>
          <w:rFonts w:ascii="Times New Roman" w:hAnsi="Times New Roman" w:cs="Times New Roman"/>
          <w:sz w:val="24"/>
          <w:szCs w:val="24"/>
        </w:rPr>
        <w:t>Kancelář Veřejného ochránce práv (dále jen „KVOP“), která je dle § 21b zákona č.</w:t>
      </w:r>
      <w:r w:rsidR="00937737" w:rsidRPr="00320A0E">
        <w:rPr>
          <w:rFonts w:ascii="Times New Roman" w:hAnsi="Times New Roman" w:cs="Times New Roman"/>
          <w:sz w:val="24"/>
          <w:szCs w:val="24"/>
        </w:rPr>
        <w:t xml:space="preserve"> </w:t>
      </w:r>
      <w:r w:rsidRPr="00320A0E">
        <w:rPr>
          <w:rFonts w:ascii="Times New Roman" w:hAnsi="Times New Roman" w:cs="Times New Roman"/>
          <w:sz w:val="24"/>
          <w:szCs w:val="24"/>
        </w:rPr>
        <w:t>349/1999 Sb., o Veřejném ochránci práv pověřena přispívat k prosazování práva na</w:t>
      </w:r>
      <w:r w:rsidR="00937737" w:rsidRPr="00320A0E">
        <w:rPr>
          <w:rFonts w:ascii="Times New Roman" w:hAnsi="Times New Roman" w:cs="Times New Roman"/>
          <w:sz w:val="24"/>
          <w:szCs w:val="24"/>
        </w:rPr>
        <w:t xml:space="preserve"> </w:t>
      </w:r>
      <w:r w:rsidRPr="00320A0E">
        <w:rPr>
          <w:rFonts w:ascii="Times New Roman" w:hAnsi="Times New Roman" w:cs="Times New Roman"/>
          <w:sz w:val="24"/>
          <w:szCs w:val="24"/>
        </w:rPr>
        <w:t>rovné zacházení, označuje plošný insti</w:t>
      </w:r>
      <w:r w:rsidR="00320A0E">
        <w:rPr>
          <w:rFonts w:ascii="Times New Roman" w:hAnsi="Times New Roman" w:cs="Times New Roman"/>
          <w:sz w:val="24"/>
          <w:szCs w:val="24"/>
        </w:rPr>
        <w:t>tut nepojistitelných osob v </w:t>
      </w:r>
      <w:r w:rsidR="00937737" w:rsidRPr="00320A0E">
        <w:rPr>
          <w:rFonts w:ascii="Times New Roman" w:hAnsi="Times New Roman" w:cs="Times New Roman"/>
          <w:sz w:val="24"/>
          <w:szCs w:val="24"/>
        </w:rPr>
        <w:t>pojistných</w:t>
      </w:r>
      <w:r w:rsidRPr="00320A0E">
        <w:rPr>
          <w:rFonts w:ascii="Times New Roman" w:hAnsi="Times New Roman" w:cs="Times New Roman"/>
          <w:sz w:val="24"/>
          <w:szCs w:val="24"/>
        </w:rPr>
        <w:t xml:space="preserve"> podmínkách za</w:t>
      </w:r>
      <w:r w:rsidR="00937737" w:rsidRPr="00320A0E">
        <w:rPr>
          <w:rFonts w:ascii="Times New Roman" w:hAnsi="Times New Roman" w:cs="Times New Roman"/>
          <w:sz w:val="24"/>
          <w:szCs w:val="24"/>
        </w:rPr>
        <w:t xml:space="preserve"> přímo diskriminační</w:t>
      </w:r>
      <w:r w:rsidR="00937737" w:rsidRPr="00320A0E">
        <w:rPr>
          <w:rStyle w:val="Znakapoznpodarou"/>
          <w:rFonts w:ascii="Times New Roman" w:hAnsi="Times New Roman" w:cs="Times New Roman"/>
          <w:sz w:val="24"/>
          <w:szCs w:val="24"/>
        </w:rPr>
        <w:footnoteReference w:id="13"/>
      </w:r>
      <w:r w:rsidR="00937737" w:rsidRPr="00320A0E">
        <w:rPr>
          <w:rFonts w:ascii="Times New Roman" w:hAnsi="Times New Roman" w:cs="Times New Roman"/>
          <w:sz w:val="24"/>
          <w:szCs w:val="24"/>
        </w:rPr>
        <w:t>;</w:t>
      </w:r>
    </w:p>
    <w:p w:rsidR="009B4641" w:rsidRPr="00320A0E" w:rsidRDefault="009B4641" w:rsidP="0093773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20A0E">
        <w:rPr>
          <w:rFonts w:ascii="Times New Roman" w:hAnsi="Times New Roman" w:cs="Times New Roman"/>
          <w:sz w:val="24"/>
          <w:szCs w:val="24"/>
        </w:rPr>
        <w:t>ustanovení § 13 odst. 3 zákona o pojistné smlouvě zapovídá dodatečné</w:t>
      </w:r>
      <w:r w:rsidR="00937737" w:rsidRPr="00320A0E">
        <w:rPr>
          <w:rFonts w:ascii="Times New Roman" w:hAnsi="Times New Roman" w:cs="Times New Roman"/>
          <w:sz w:val="24"/>
          <w:szCs w:val="24"/>
        </w:rPr>
        <w:t xml:space="preserve"> </w:t>
      </w:r>
      <w:r w:rsidRPr="00320A0E">
        <w:rPr>
          <w:rFonts w:ascii="Times New Roman" w:hAnsi="Times New Roman" w:cs="Times New Roman"/>
          <w:sz w:val="24"/>
          <w:szCs w:val="24"/>
        </w:rPr>
        <w:t>změny pojistných podmínek na základě kritérií věku a zdravotního stavu pojištěnce,</w:t>
      </w:r>
      <w:r w:rsidR="00937737" w:rsidRPr="00320A0E">
        <w:rPr>
          <w:rFonts w:ascii="Times New Roman" w:hAnsi="Times New Roman" w:cs="Times New Roman"/>
          <w:sz w:val="24"/>
          <w:szCs w:val="24"/>
        </w:rPr>
        <w:t xml:space="preserve"> </w:t>
      </w:r>
      <w:r w:rsidRPr="00320A0E">
        <w:rPr>
          <w:rFonts w:ascii="Times New Roman" w:hAnsi="Times New Roman" w:cs="Times New Roman"/>
          <w:sz w:val="24"/>
          <w:szCs w:val="24"/>
        </w:rPr>
        <w:t xml:space="preserve">nabízí se analogická aplikace vedoucí </w:t>
      </w:r>
      <w:r w:rsidRPr="00320A0E">
        <w:rPr>
          <w:rFonts w:ascii="Times New Roman" w:hAnsi="Times New Roman" w:cs="Times New Roman"/>
          <w:bCs/>
          <w:sz w:val="24"/>
          <w:szCs w:val="24"/>
        </w:rPr>
        <w:t>k závěru o</w:t>
      </w:r>
      <w:r w:rsidRPr="00320A0E">
        <w:rPr>
          <w:rFonts w:ascii="Times New Roman" w:hAnsi="Times New Roman" w:cs="Times New Roman"/>
          <w:b/>
          <w:bCs/>
          <w:sz w:val="24"/>
          <w:szCs w:val="24"/>
        </w:rPr>
        <w:t xml:space="preserve"> přímé diskriminaci</w:t>
      </w:r>
      <w:r w:rsidRPr="00320A0E">
        <w:rPr>
          <w:rFonts w:ascii="Times New Roman" w:hAnsi="Times New Roman" w:cs="Times New Roman"/>
          <w:sz w:val="24"/>
          <w:szCs w:val="24"/>
        </w:rPr>
        <w:t>.</w:t>
      </w:r>
    </w:p>
    <w:p w:rsidR="00D2640B" w:rsidRPr="00320A0E" w:rsidRDefault="00EF6D90" w:rsidP="00AD4F39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A0E">
        <w:rPr>
          <w:rFonts w:ascii="Times New Roman" w:hAnsi="Times New Roman" w:cs="Times New Roman"/>
          <w:b/>
          <w:sz w:val="24"/>
          <w:szCs w:val="24"/>
        </w:rPr>
        <w:t>IV</w:t>
      </w:r>
      <w:r w:rsidR="00D2640B" w:rsidRPr="00320A0E">
        <w:rPr>
          <w:rFonts w:ascii="Times New Roman" w:hAnsi="Times New Roman" w:cs="Times New Roman"/>
          <w:b/>
          <w:sz w:val="24"/>
          <w:szCs w:val="24"/>
        </w:rPr>
        <w:t>.</w:t>
      </w:r>
    </w:p>
    <w:p w:rsidR="00D2640B" w:rsidRPr="00320A0E" w:rsidRDefault="00D2640B" w:rsidP="00D26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A0E">
        <w:rPr>
          <w:rFonts w:ascii="Times New Roman" w:hAnsi="Times New Roman" w:cs="Times New Roman"/>
          <w:b/>
          <w:sz w:val="24"/>
          <w:szCs w:val="24"/>
        </w:rPr>
        <w:t>Návrh řešení</w:t>
      </w:r>
    </w:p>
    <w:p w:rsidR="002A2E33" w:rsidRDefault="002A2E33" w:rsidP="002A2E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A0E">
        <w:rPr>
          <w:rFonts w:ascii="Times New Roman" w:hAnsi="Times New Roman" w:cs="Times New Roman"/>
          <w:sz w:val="24"/>
          <w:szCs w:val="24"/>
        </w:rPr>
        <w:t xml:space="preserve">Na základě výše uvedeného </w:t>
      </w:r>
      <w:r>
        <w:rPr>
          <w:rFonts w:ascii="Times New Roman" w:hAnsi="Times New Roman" w:cs="Times New Roman"/>
          <w:sz w:val="24"/>
          <w:szCs w:val="24"/>
        </w:rPr>
        <w:t xml:space="preserve">a na základě skutečnosti, že cizinci (a to včetně cizinců nacházejících se dnes mimo systém veřejného zdravotního pojištění) jsou z důvodu své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demografické struktury jednoznačně ziskovou skupinou pojištěnců, </w:t>
      </w:r>
      <w:r w:rsidRPr="00320A0E">
        <w:rPr>
          <w:rFonts w:ascii="Times New Roman" w:hAnsi="Times New Roman" w:cs="Times New Roman"/>
          <w:sz w:val="24"/>
          <w:szCs w:val="24"/>
        </w:rPr>
        <w:t>do</w:t>
      </w:r>
      <w:r w:rsidR="00AD4F39">
        <w:rPr>
          <w:rFonts w:ascii="Times New Roman" w:hAnsi="Times New Roman" w:cs="Times New Roman"/>
          <w:sz w:val="24"/>
          <w:szCs w:val="24"/>
        </w:rPr>
        <w:t>spěl</w:t>
      </w:r>
      <w:r w:rsidR="00A5117C">
        <w:rPr>
          <w:rFonts w:ascii="Times New Roman" w:hAnsi="Times New Roman" w:cs="Times New Roman"/>
          <w:sz w:val="24"/>
          <w:szCs w:val="24"/>
        </w:rPr>
        <w:t>a</w:t>
      </w:r>
      <w:r w:rsidR="00AD4F39">
        <w:rPr>
          <w:rFonts w:ascii="Times New Roman" w:hAnsi="Times New Roman" w:cs="Times New Roman"/>
          <w:sz w:val="24"/>
          <w:szCs w:val="24"/>
        </w:rPr>
        <w:t xml:space="preserve"> </w:t>
      </w:r>
      <w:r w:rsidR="00A5117C">
        <w:rPr>
          <w:rFonts w:ascii="Times New Roman" w:hAnsi="Times New Roman" w:cs="Times New Roman"/>
          <w:sz w:val="24"/>
          <w:szCs w:val="24"/>
        </w:rPr>
        <w:t>Rada</w:t>
      </w:r>
      <w:r w:rsidR="00AD4F39">
        <w:rPr>
          <w:rFonts w:ascii="Times New Roman" w:hAnsi="Times New Roman" w:cs="Times New Roman"/>
          <w:sz w:val="24"/>
          <w:szCs w:val="24"/>
        </w:rPr>
        <w:t xml:space="preserve"> </w:t>
      </w:r>
      <w:r w:rsidR="005446C5">
        <w:rPr>
          <w:rFonts w:ascii="Times New Roman" w:hAnsi="Times New Roman" w:cs="Times New Roman"/>
          <w:sz w:val="24"/>
          <w:szCs w:val="24"/>
        </w:rPr>
        <w:t xml:space="preserve">vlády pro lidská práva </w:t>
      </w:r>
      <w:bookmarkStart w:id="0" w:name="_GoBack"/>
      <w:bookmarkEnd w:id="0"/>
      <w:r w:rsidR="00AD4F39">
        <w:rPr>
          <w:rFonts w:ascii="Times New Roman" w:hAnsi="Times New Roman" w:cs="Times New Roman"/>
          <w:sz w:val="24"/>
          <w:szCs w:val="24"/>
        </w:rPr>
        <w:t>k závěru, že </w:t>
      </w:r>
      <w:r w:rsidRPr="00320A0E">
        <w:rPr>
          <w:rFonts w:ascii="Times New Roman" w:hAnsi="Times New Roman" w:cs="Times New Roman"/>
          <w:sz w:val="24"/>
          <w:szCs w:val="24"/>
        </w:rPr>
        <w:t xml:space="preserve">je třeba v co nejkratším časovém horizontu začlenit </w:t>
      </w:r>
      <w:r w:rsidRPr="00C94451">
        <w:rPr>
          <w:rFonts w:ascii="Times New Roman" w:hAnsi="Times New Roman"/>
          <w:sz w:val="24"/>
          <w:szCs w:val="24"/>
        </w:rPr>
        <w:t>do systému veřejného zdravotního pojištění</w:t>
      </w:r>
      <w:r>
        <w:rPr>
          <w:rFonts w:ascii="Times New Roman" w:hAnsi="Times New Roman" w:cs="Times New Roman"/>
          <w:sz w:val="24"/>
          <w:szCs w:val="24"/>
        </w:rPr>
        <w:t xml:space="preserve"> následující skupiny cizinců, kteří jsou držiteli povolení k pobytu na dobu delší 90 dnů:</w:t>
      </w:r>
    </w:p>
    <w:p w:rsidR="002A2E33" w:rsidRDefault="002A2E33" w:rsidP="002A2E3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osoby, které jsou na území ČR samostatně výdělečně činné</w:t>
      </w:r>
      <w:r w:rsidR="00AD4F39">
        <w:rPr>
          <w:rFonts w:ascii="Times New Roman" w:hAnsi="Times New Roman" w:cs="Times New Roman"/>
          <w:sz w:val="24"/>
          <w:szCs w:val="24"/>
        </w:rPr>
        <w:t>, a to nejpozději po </w:t>
      </w:r>
      <w:r>
        <w:rPr>
          <w:rFonts w:ascii="Times New Roman" w:hAnsi="Times New Roman" w:cs="Times New Roman"/>
          <w:sz w:val="24"/>
          <w:szCs w:val="24"/>
        </w:rPr>
        <w:t>uplynutí 3 měsíců od počátku výkonu samostatné výdělečné činnosti</w:t>
      </w:r>
    </w:p>
    <w:p w:rsidR="002A2E33" w:rsidRDefault="002A2E33" w:rsidP="002A2E3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C71">
        <w:rPr>
          <w:rFonts w:ascii="Times New Roman" w:hAnsi="Times New Roman" w:cs="Times New Roman"/>
          <w:sz w:val="24"/>
          <w:szCs w:val="24"/>
        </w:rPr>
        <w:t xml:space="preserve">rodinné příslušníky občanů ČR, cizinců s trvalým pobytem i cizinců, kteří jsou v ČR zaměstnanci nebo osobami samostatně výdělečně činnými, </w:t>
      </w:r>
      <w:r w:rsidRPr="00947860">
        <w:rPr>
          <w:rFonts w:ascii="Times New Roman" w:hAnsi="Times New Roman" w:cs="Times New Roman"/>
          <w:sz w:val="24"/>
          <w:szCs w:val="24"/>
        </w:rPr>
        <w:t xml:space="preserve">a to nejpozději </w:t>
      </w:r>
      <w:r w:rsidR="00AD4F39">
        <w:rPr>
          <w:rFonts w:ascii="Times New Roman" w:hAnsi="Times New Roman" w:cs="Times New Roman"/>
          <w:sz w:val="24"/>
          <w:szCs w:val="24"/>
        </w:rPr>
        <w:t>po </w:t>
      </w:r>
      <w:r w:rsidRPr="00C36C71">
        <w:rPr>
          <w:rFonts w:ascii="Times New Roman" w:hAnsi="Times New Roman" w:cs="Times New Roman"/>
          <w:sz w:val="24"/>
          <w:szCs w:val="24"/>
        </w:rPr>
        <w:t xml:space="preserve">uplynutí 6 měsíců od získání povolení k pobytu (přičemž za rodinné příslušníky je třeba považovat i všechny ty osoby, kterým </w:t>
      </w:r>
      <w:r>
        <w:rPr>
          <w:rFonts w:ascii="Times New Roman" w:hAnsi="Times New Roman" w:cs="Times New Roman"/>
          <w:sz w:val="24"/>
          <w:szCs w:val="24"/>
        </w:rPr>
        <w:t>je z důvodu rodinného soužití povolen pobyt v ČR) a</w:t>
      </w:r>
    </w:p>
    <w:p w:rsidR="002A2E33" w:rsidRDefault="002A2E33" w:rsidP="002A2E3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C71">
        <w:rPr>
          <w:rFonts w:ascii="Times New Roman" w:hAnsi="Times New Roman" w:cs="Times New Roman"/>
          <w:sz w:val="24"/>
          <w:szCs w:val="24"/>
        </w:rPr>
        <w:t>studenty, a to nejpozději po uplynutí 1 roku od získání povolení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36C71">
        <w:rPr>
          <w:rFonts w:ascii="Times New Roman" w:hAnsi="Times New Roman" w:cs="Times New Roman"/>
          <w:sz w:val="24"/>
          <w:szCs w:val="24"/>
        </w:rPr>
        <w:t>pobytu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2E33" w:rsidRDefault="002A2E33" w:rsidP="002A2E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 třeba řešit situaci cizinců, kteří přestanou vykonávat výdělečnou činnost z důvodu nemoci nebo těhotenství/mateřství, avšak nadále mají po</w:t>
      </w:r>
      <w:r w:rsidR="00AD4F39">
        <w:rPr>
          <w:rFonts w:ascii="Times New Roman" w:hAnsi="Times New Roman" w:cs="Times New Roman"/>
          <w:sz w:val="24"/>
          <w:szCs w:val="24"/>
        </w:rPr>
        <w:t>volení k pobytu a mají nárok na </w:t>
      </w:r>
      <w:r>
        <w:rPr>
          <w:rFonts w:ascii="Times New Roman" w:hAnsi="Times New Roman" w:cs="Times New Roman"/>
          <w:sz w:val="24"/>
          <w:szCs w:val="24"/>
        </w:rPr>
        <w:t>dávky nemocenského pojištění nebo na rodičovský příspěvek.</w:t>
      </w:r>
    </w:p>
    <w:p w:rsidR="00576A38" w:rsidRPr="00320A0E" w:rsidRDefault="00576A38" w:rsidP="00320A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76A38" w:rsidRPr="00320A0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424" w:rsidRDefault="00623424" w:rsidP="001F741A">
      <w:pPr>
        <w:spacing w:after="0" w:line="240" w:lineRule="auto"/>
      </w:pPr>
      <w:r>
        <w:separator/>
      </w:r>
    </w:p>
  </w:endnote>
  <w:endnote w:type="continuationSeparator" w:id="0">
    <w:p w:rsidR="00623424" w:rsidRDefault="00623424" w:rsidP="001F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7813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23424" w:rsidRPr="00623424" w:rsidRDefault="00623424">
        <w:pPr>
          <w:pStyle w:val="Zpat"/>
          <w:jc w:val="right"/>
          <w:rPr>
            <w:rFonts w:ascii="Times New Roman" w:hAnsi="Times New Roman" w:cs="Times New Roman"/>
          </w:rPr>
        </w:pPr>
        <w:r w:rsidRPr="00623424">
          <w:rPr>
            <w:rFonts w:ascii="Times New Roman" w:hAnsi="Times New Roman" w:cs="Times New Roman"/>
          </w:rPr>
          <w:fldChar w:fldCharType="begin"/>
        </w:r>
        <w:r w:rsidRPr="00623424">
          <w:rPr>
            <w:rFonts w:ascii="Times New Roman" w:hAnsi="Times New Roman" w:cs="Times New Roman"/>
          </w:rPr>
          <w:instrText>PAGE   \* MERGEFORMAT</w:instrText>
        </w:r>
        <w:r w:rsidRPr="00623424">
          <w:rPr>
            <w:rFonts w:ascii="Times New Roman" w:hAnsi="Times New Roman" w:cs="Times New Roman"/>
          </w:rPr>
          <w:fldChar w:fldCharType="separate"/>
        </w:r>
        <w:r w:rsidR="005446C5">
          <w:rPr>
            <w:rFonts w:ascii="Times New Roman" w:hAnsi="Times New Roman" w:cs="Times New Roman"/>
            <w:noProof/>
          </w:rPr>
          <w:t>6</w:t>
        </w:r>
        <w:r w:rsidRPr="00623424">
          <w:rPr>
            <w:rFonts w:ascii="Times New Roman" w:hAnsi="Times New Roman" w:cs="Times New Roman"/>
          </w:rPr>
          <w:fldChar w:fldCharType="end"/>
        </w:r>
      </w:p>
    </w:sdtContent>
  </w:sdt>
  <w:p w:rsidR="00623424" w:rsidRDefault="006234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424" w:rsidRDefault="00623424" w:rsidP="001F741A">
      <w:pPr>
        <w:spacing w:after="0" w:line="240" w:lineRule="auto"/>
      </w:pPr>
      <w:r>
        <w:separator/>
      </w:r>
    </w:p>
  </w:footnote>
  <w:footnote w:type="continuationSeparator" w:id="0">
    <w:p w:rsidR="00623424" w:rsidRDefault="00623424" w:rsidP="001F741A">
      <w:pPr>
        <w:spacing w:after="0" w:line="240" w:lineRule="auto"/>
      </w:pPr>
      <w:r>
        <w:continuationSeparator/>
      </w:r>
    </w:p>
  </w:footnote>
  <w:footnote w:id="1">
    <w:p w:rsidR="00623424" w:rsidRPr="00623424" w:rsidRDefault="00623424" w:rsidP="00623424">
      <w:pPr>
        <w:pStyle w:val="Textpoznpodarou"/>
        <w:jc w:val="both"/>
        <w:rPr>
          <w:rFonts w:ascii="Times New Roman" w:hAnsi="Times New Roman" w:cs="Times New Roman"/>
        </w:rPr>
      </w:pPr>
      <w:r w:rsidRPr="00623424">
        <w:rPr>
          <w:rStyle w:val="Znakapoznpodarou"/>
          <w:rFonts w:ascii="Times New Roman" w:hAnsi="Times New Roman" w:cs="Times New Roman"/>
        </w:rPr>
        <w:footnoteRef/>
      </w:r>
      <w:r w:rsidRPr="00623424">
        <w:rPr>
          <w:rFonts w:ascii="Times New Roman" w:hAnsi="Times New Roman" w:cs="Times New Roman"/>
        </w:rPr>
        <w:t xml:space="preserve"> Zákon č. 326/1999 Sb., o pobytu cizinců na území České republiky a o změně některých zákonů, ve znění pozdějších předpisů (dále jen „zákon o pobytu cizinců“).</w:t>
      </w:r>
    </w:p>
  </w:footnote>
  <w:footnote w:id="2">
    <w:p w:rsidR="00623424" w:rsidRPr="00FA1001" w:rsidRDefault="00623424" w:rsidP="00FA1001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FA1001">
        <w:rPr>
          <w:rFonts w:ascii="Times New Roman" w:hAnsi="Times New Roman" w:cs="Times New Roman"/>
        </w:rPr>
        <w:t xml:space="preserve">Jedná se o cizince s trvalým pobytem na území České republiky (dále jen „ČR“) a dále pak cizince, kteří na území ČR nemají trvalý pobyt, ale jsou zaměstnanci zaměstnavatele se sídlem na území ČR. Vedle těchto dvou skupin řadí zákon o pobytu cizinců a zákon č. 325/1999 Sb., o azylu a o změně zákona č. 283/1991 Sb., o Policii České republiky, ve znění pozdějších předpisů, (zákon o azylu), ve znění pozdějších předpisů (dále jen „zákon o azylu“), do systému veřejného zdravotního pojištění ještě úzce vymezené skupiny cizinců (cizinci s uděleným azylem, žadatele o azyl, cizinci s povolením k dlouhodobému pobytu za účelem vědeckého výzkumu či cizinci s povolením k dlouhodobému pobytu za účelem ochrany, cizinci pobývající v ČR z titulu tzv. dočasné ochrany). </w:t>
      </w:r>
    </w:p>
  </w:footnote>
  <w:footnote w:id="3">
    <w:p w:rsidR="00623424" w:rsidRPr="00FA1001" w:rsidRDefault="00623424" w:rsidP="00FA1001">
      <w:pPr>
        <w:pStyle w:val="Textpoznpodarou"/>
        <w:jc w:val="both"/>
        <w:rPr>
          <w:rFonts w:ascii="Times New Roman" w:hAnsi="Times New Roman" w:cs="Times New Roman"/>
        </w:rPr>
      </w:pPr>
      <w:r w:rsidRPr="00FA1001">
        <w:rPr>
          <w:rStyle w:val="Znakapoznpodarou"/>
          <w:rFonts w:ascii="Times New Roman" w:hAnsi="Times New Roman" w:cs="Times New Roman"/>
        </w:rPr>
        <w:footnoteRef/>
      </w:r>
      <w:r w:rsidRPr="00FA1001">
        <w:rPr>
          <w:rFonts w:ascii="Times New Roman" w:hAnsi="Times New Roman" w:cs="Times New Roman"/>
        </w:rPr>
        <w:t xml:space="preserve"> S výjimkou případů, „</w:t>
      </w:r>
      <w:r w:rsidRPr="00FA1001">
        <w:rPr>
          <w:rFonts w:ascii="Times New Roman" w:hAnsi="Times New Roman" w:cs="Times New Roman"/>
          <w:i/>
        </w:rPr>
        <w:t xml:space="preserve">jsou-li náklady spojené s poskytnutím zdravotních služeb hrazeny na základě mezinárodní smlouvy nebo pokud cizinec prokáže, že jsou tyto služby hrazeny jiným způsobem, a to na základě písemného závazku právnické osoby, je-li pobyt cizince na území přínosný pro rozvoj duchovních hodnot, ochranu lidských práv anebo jiných humanitárních hodnot, ochranu přírodního </w:t>
      </w:r>
      <w:r>
        <w:rPr>
          <w:rFonts w:ascii="Times New Roman" w:hAnsi="Times New Roman" w:cs="Times New Roman"/>
          <w:i/>
        </w:rPr>
        <w:t>prostředí, kulturních památek a </w:t>
      </w:r>
      <w:r w:rsidRPr="00FA1001">
        <w:rPr>
          <w:rFonts w:ascii="Times New Roman" w:hAnsi="Times New Roman" w:cs="Times New Roman"/>
          <w:i/>
        </w:rPr>
        <w:t>tradic, rozvoj vědy, vzdělání, tělovýchovy a sportu, na základě písemného závazku státního orgánu nebo na základě závazku obsaženého v policií ověřeném pozvání</w:t>
      </w:r>
      <w:r w:rsidRPr="00FA1001">
        <w:rPr>
          <w:rFonts w:ascii="Times New Roman" w:hAnsi="Times New Roman" w:cs="Times New Roman"/>
        </w:rPr>
        <w:t>“ (§ 180j odst. 4 zákona o pobytu cizinců).</w:t>
      </w:r>
    </w:p>
  </w:footnote>
  <w:footnote w:id="4">
    <w:p w:rsidR="00623424" w:rsidRPr="009B4641" w:rsidRDefault="00623424" w:rsidP="009B4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4641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9B4641">
        <w:rPr>
          <w:rFonts w:ascii="Times New Roman" w:hAnsi="Times New Roman" w:cs="Times New Roman"/>
          <w:sz w:val="20"/>
          <w:szCs w:val="20"/>
        </w:rPr>
        <w:t xml:space="preserve"> V některých případech se jedná i o takové nemoci, u nichž je dle zákona č. 258/2000 Sb., o ochraně veřejného zdraví, v pozdějším znění, nařízeno povinné léčení, např. léčba pohlavních nem</w:t>
      </w:r>
      <w:r>
        <w:rPr>
          <w:rFonts w:ascii="Times New Roman" w:hAnsi="Times New Roman" w:cs="Times New Roman"/>
          <w:sz w:val="20"/>
          <w:szCs w:val="20"/>
        </w:rPr>
        <w:t>ocí, hepatitidy, atd. Viz čl. </w:t>
      </w:r>
      <w:r w:rsidRPr="009B4641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B4641">
        <w:rPr>
          <w:rFonts w:ascii="Times New Roman" w:hAnsi="Times New Roman" w:cs="Times New Roman"/>
          <w:sz w:val="20"/>
          <w:szCs w:val="20"/>
        </w:rPr>
        <w:t xml:space="preserve">odst. 3 písm. o) Všeobecných pojistných podmínek AXA </w:t>
      </w:r>
      <w:proofErr w:type="spellStart"/>
      <w:r w:rsidRPr="009B4641">
        <w:rPr>
          <w:rFonts w:ascii="Times New Roman" w:hAnsi="Times New Roman" w:cs="Times New Roman"/>
          <w:sz w:val="20"/>
          <w:szCs w:val="20"/>
        </w:rPr>
        <w:t>Assistance</w:t>
      </w:r>
      <w:proofErr w:type="spellEnd"/>
      <w:r w:rsidRPr="009B4641">
        <w:rPr>
          <w:rFonts w:ascii="Times New Roman" w:hAnsi="Times New Roman" w:cs="Times New Roman"/>
          <w:sz w:val="20"/>
          <w:szCs w:val="20"/>
        </w:rPr>
        <w:t>; čl. 9 odst. 2 písm. m) Všeobecných pojistných podmínek Slavia; čl. 5 odst. 1 písm. a) Všeobecných pojistných podmínek Pojišťovny VZP.</w:t>
      </w:r>
    </w:p>
  </w:footnote>
  <w:footnote w:id="5">
    <w:p w:rsidR="00623424" w:rsidRPr="00AD7AA4" w:rsidRDefault="00623424" w:rsidP="009B4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B4641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9B4641">
        <w:rPr>
          <w:rFonts w:ascii="Times New Roman" w:hAnsi="Times New Roman" w:cs="Times New Roman"/>
          <w:sz w:val="20"/>
          <w:szCs w:val="20"/>
        </w:rPr>
        <w:t xml:space="preserve"> Např. </w:t>
      </w:r>
      <w:r w:rsidRPr="009B4641">
        <w:rPr>
          <w:rFonts w:ascii="Times New Roman" w:hAnsi="Times New Roman" w:cs="Times New Roman"/>
          <w:iCs/>
          <w:sz w:val="20"/>
          <w:szCs w:val="20"/>
        </w:rPr>
        <w:t xml:space="preserve">osoby s těžkými nervovými poruchami (stádia roztroušené sklerózy, </w:t>
      </w:r>
      <w:proofErr w:type="spellStart"/>
      <w:r w:rsidRPr="009B4641">
        <w:rPr>
          <w:rFonts w:ascii="Times New Roman" w:hAnsi="Times New Roman" w:cs="Times New Roman"/>
          <w:iCs/>
          <w:sz w:val="20"/>
          <w:szCs w:val="20"/>
        </w:rPr>
        <w:t>Morbus</w:t>
      </w:r>
      <w:proofErr w:type="spellEnd"/>
      <w:r w:rsidRPr="009B4641">
        <w:rPr>
          <w:rFonts w:ascii="Times New Roman" w:hAnsi="Times New Roman" w:cs="Times New Roman"/>
          <w:iCs/>
          <w:sz w:val="20"/>
          <w:szCs w:val="20"/>
        </w:rPr>
        <w:t xml:space="preserve"> Parkinson, epilepsie, </w:t>
      </w:r>
      <w:r w:rsidRPr="009B4641">
        <w:rPr>
          <w:rFonts w:ascii="Times New Roman" w:hAnsi="Times New Roman" w:cs="Times New Roman"/>
          <w:sz w:val="20"/>
          <w:szCs w:val="20"/>
        </w:rPr>
        <w:t>atd.</w:t>
      </w:r>
      <w:r w:rsidRPr="009B4641">
        <w:rPr>
          <w:rFonts w:ascii="Times New Roman" w:hAnsi="Times New Roman" w:cs="Times New Roman"/>
          <w:iCs/>
          <w:sz w:val="20"/>
          <w:szCs w:val="20"/>
        </w:rPr>
        <w:t xml:space="preserve">), osoby s duševními nemocemi (např. Downův syndrom, maniodepresivní psychózy, schizofrenie, </w:t>
      </w:r>
      <w:r>
        <w:rPr>
          <w:rFonts w:ascii="Times New Roman" w:hAnsi="Times New Roman" w:cs="Times New Roman"/>
          <w:sz w:val="20"/>
          <w:szCs w:val="20"/>
        </w:rPr>
        <w:t>atd</w:t>
      </w:r>
      <w:r w:rsidRPr="009B464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iCs/>
          <w:sz w:val="20"/>
          <w:szCs w:val="20"/>
        </w:rPr>
        <w:t>), osoby s </w:t>
      </w:r>
      <w:r w:rsidRPr="009B4641">
        <w:rPr>
          <w:rFonts w:ascii="Times New Roman" w:hAnsi="Times New Roman" w:cs="Times New Roman"/>
          <w:iCs/>
          <w:sz w:val="20"/>
          <w:szCs w:val="20"/>
        </w:rPr>
        <w:t>následujícími onemocněními a omezeními: hluchota (oboustranná), slepota (oboustranná), ochrnutí,</w:t>
      </w:r>
      <w:r>
        <w:rPr>
          <w:rFonts w:ascii="Times New Roman" w:hAnsi="Times New Roman" w:cs="Times New Roman"/>
          <w:iCs/>
          <w:sz w:val="20"/>
          <w:szCs w:val="20"/>
        </w:rPr>
        <w:t xml:space="preserve"> drogové či </w:t>
      </w:r>
      <w:r w:rsidRPr="009B4641">
        <w:rPr>
          <w:rFonts w:ascii="Times New Roman" w:hAnsi="Times New Roman" w:cs="Times New Roman"/>
          <w:iCs/>
          <w:sz w:val="20"/>
          <w:szCs w:val="20"/>
        </w:rPr>
        <w:t>alkoholové závislosti, TBC, rakovina, zhoubné nádory (karcinom), cirhóza jater, infekce HIV, AIDS, dialýza ledvin</w:t>
      </w:r>
      <w:r>
        <w:rPr>
          <w:rFonts w:ascii="Times New Roman" w:hAnsi="Times New Roman" w:cs="Times New Roman"/>
          <w:iCs/>
          <w:sz w:val="20"/>
          <w:szCs w:val="20"/>
        </w:rPr>
        <w:t>, atd</w:t>
      </w:r>
      <w:r w:rsidRPr="009B4641">
        <w:rPr>
          <w:rFonts w:ascii="Times New Roman" w:hAnsi="Times New Roman" w:cs="Times New Roman"/>
          <w:iCs/>
          <w:sz w:val="20"/>
          <w:szCs w:val="20"/>
        </w:rPr>
        <w:t>. Viz čl. 7</w:t>
      </w:r>
      <w:r w:rsidRPr="00AD7AA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D7AA4">
        <w:rPr>
          <w:rFonts w:ascii="Times New Roman" w:hAnsi="Times New Roman" w:cs="Times New Roman"/>
          <w:sz w:val="20"/>
          <w:szCs w:val="20"/>
        </w:rPr>
        <w:t>Všeobecných pojistných podmínek ERGO čl. 7, čl. 3 Všeobecných pojistných podmínek UNIQA.</w:t>
      </w:r>
    </w:p>
  </w:footnote>
  <w:footnote w:id="6">
    <w:p w:rsidR="00623424" w:rsidRPr="00AD7AA4" w:rsidRDefault="00623424" w:rsidP="00AD7AA4">
      <w:pPr>
        <w:pStyle w:val="Textpoznpodarou"/>
        <w:jc w:val="both"/>
        <w:rPr>
          <w:rFonts w:ascii="Times New Roman" w:hAnsi="Times New Roman" w:cs="Times New Roman"/>
        </w:rPr>
      </w:pPr>
      <w:r w:rsidRPr="00AD7AA4">
        <w:rPr>
          <w:rStyle w:val="Znakapoznpodarou"/>
          <w:rFonts w:ascii="Times New Roman" w:hAnsi="Times New Roman" w:cs="Times New Roman"/>
        </w:rPr>
        <w:footnoteRef/>
      </w:r>
      <w:r w:rsidRPr="00AD7AA4">
        <w:rPr>
          <w:rFonts w:ascii="Times New Roman" w:hAnsi="Times New Roman" w:cs="Times New Roman"/>
        </w:rPr>
        <w:t xml:space="preserve"> Čl. 12 odst. 2 Všeobecných pojistných podmínek Pojišťovny VZP.</w:t>
      </w:r>
    </w:p>
  </w:footnote>
  <w:footnote w:id="7">
    <w:p w:rsidR="00623424" w:rsidRDefault="00623424" w:rsidP="003F186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3F186A">
        <w:rPr>
          <w:rFonts w:ascii="Times New Roman" w:hAnsi="Times New Roman" w:cs="Times New Roman"/>
        </w:rPr>
        <w:t xml:space="preserve">Pro ukázku např. AXA </w:t>
      </w:r>
      <w:proofErr w:type="spellStart"/>
      <w:r w:rsidRPr="003F186A">
        <w:rPr>
          <w:rFonts w:ascii="Times New Roman" w:hAnsi="Times New Roman" w:cs="Times New Roman"/>
        </w:rPr>
        <w:t>Assistance</w:t>
      </w:r>
      <w:proofErr w:type="spellEnd"/>
      <w:r w:rsidRPr="003F186A">
        <w:rPr>
          <w:rFonts w:ascii="Times New Roman" w:hAnsi="Times New Roman" w:cs="Times New Roman"/>
        </w:rPr>
        <w:t xml:space="preserve"> požaduje v případě, že zdravotnické zařízení chtělo po</w:t>
      </w:r>
      <w:r w:rsidRPr="003F186A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</w:rPr>
        <w:t>cizinci platbu v </w:t>
      </w:r>
      <w:r w:rsidRPr="003F186A">
        <w:rPr>
          <w:rFonts w:ascii="Times New Roman" w:hAnsi="Times New Roman" w:cs="Times New Roman"/>
        </w:rPr>
        <w:t>hotovosti „</w:t>
      </w:r>
      <w:r w:rsidRPr="003F186A">
        <w:rPr>
          <w:rFonts w:ascii="Times New Roman" w:hAnsi="Times New Roman" w:cs="Times New Roman"/>
          <w:i/>
          <w:iCs/>
        </w:rPr>
        <w:t>kompletní lékařskou dokumentaci, originály účtů a dokladů o</w:t>
      </w:r>
      <w:r w:rsidRPr="003F186A">
        <w:rPr>
          <w:rFonts w:ascii="Times New Roman" w:hAnsi="Times New Roman" w:cs="Times New Roman"/>
          <w:b/>
          <w:bCs/>
        </w:rPr>
        <w:t> </w:t>
      </w:r>
      <w:r w:rsidRPr="003F186A">
        <w:rPr>
          <w:rFonts w:ascii="Times New Roman" w:hAnsi="Times New Roman" w:cs="Times New Roman"/>
          <w:i/>
          <w:iCs/>
        </w:rPr>
        <w:t>zaplacení lékařského ošetření, léků předepsaných lékařem (včetně kopie lékařského receptu</w:t>
      </w:r>
      <w:r w:rsidRPr="003F186A">
        <w:rPr>
          <w:rFonts w:ascii="Times New Roman" w:hAnsi="Times New Roman" w:cs="Times New Roman"/>
          <w:b/>
          <w:bCs/>
        </w:rPr>
        <w:t> </w:t>
      </w:r>
      <w:r w:rsidRPr="003F186A">
        <w:rPr>
          <w:rFonts w:ascii="Times New Roman" w:hAnsi="Times New Roman" w:cs="Times New Roman"/>
          <w:i/>
          <w:iCs/>
        </w:rPr>
        <w:t>vystaveného na jméno pojištěného) a transportů, policejní zprávu (v případě, že událost byla</w:t>
      </w:r>
      <w:r w:rsidRPr="003F186A">
        <w:rPr>
          <w:rFonts w:ascii="Times New Roman" w:hAnsi="Times New Roman" w:cs="Times New Roman"/>
          <w:b/>
          <w:bCs/>
        </w:rPr>
        <w:t> </w:t>
      </w:r>
      <w:r w:rsidRPr="003F186A">
        <w:rPr>
          <w:rFonts w:ascii="Times New Roman" w:hAnsi="Times New Roman" w:cs="Times New Roman"/>
          <w:i/>
          <w:iCs/>
        </w:rPr>
        <w:t>šetřena policií), včetně dalších podkladů, které si pojišťovna vyžádá</w:t>
      </w:r>
      <w:r w:rsidRPr="003F186A">
        <w:rPr>
          <w:rFonts w:ascii="Times New Roman" w:hAnsi="Times New Roman" w:cs="Times New Roman"/>
        </w:rPr>
        <w:t xml:space="preserve">“ (Všeobecné pojistné podmínky AXA </w:t>
      </w:r>
      <w:proofErr w:type="spellStart"/>
      <w:r w:rsidRPr="003F186A">
        <w:rPr>
          <w:rFonts w:ascii="Times New Roman" w:hAnsi="Times New Roman" w:cs="Times New Roman"/>
        </w:rPr>
        <w:t>Assistance</w:t>
      </w:r>
      <w:proofErr w:type="spellEnd"/>
      <w:r w:rsidRPr="003F186A">
        <w:rPr>
          <w:rFonts w:ascii="Times New Roman" w:hAnsi="Times New Roman" w:cs="Times New Roman"/>
        </w:rPr>
        <w:t>) nebo UNIQA</w:t>
      </w:r>
      <w:r w:rsidRPr="003F186A">
        <w:rPr>
          <w:rFonts w:ascii="Times New Roman" w:hAnsi="Times New Roman" w:cs="Times New Roman"/>
          <w:b/>
          <w:bCs/>
        </w:rPr>
        <w:t xml:space="preserve"> </w:t>
      </w:r>
      <w:r w:rsidRPr="003F186A">
        <w:rPr>
          <w:rFonts w:ascii="Times New Roman" w:hAnsi="Times New Roman" w:cs="Times New Roman"/>
        </w:rPr>
        <w:t xml:space="preserve">požaduje </w:t>
      </w:r>
      <w:r w:rsidRPr="003F186A">
        <w:rPr>
          <w:rFonts w:ascii="Times New Roman" w:hAnsi="Times New Roman" w:cs="Times New Roman"/>
          <w:i/>
          <w:iCs/>
        </w:rPr>
        <w:t>„originál lékařské zprávy či jiného dokladu s popisem zdravotního stavu</w:t>
      </w:r>
      <w:r w:rsidRPr="003F186A">
        <w:rPr>
          <w:rFonts w:ascii="Times New Roman" w:hAnsi="Times New Roman" w:cs="Times New Roman"/>
          <w:b/>
          <w:bCs/>
        </w:rPr>
        <w:t xml:space="preserve"> </w:t>
      </w:r>
      <w:r w:rsidRPr="003F186A">
        <w:rPr>
          <w:rFonts w:ascii="Times New Roman" w:hAnsi="Times New Roman" w:cs="Times New Roman"/>
          <w:i/>
          <w:iCs/>
        </w:rPr>
        <w:t>pojištěného včetně kódů diagnóz, úplný výčet uskutečněných zdravotnických výkonů</w:t>
      </w:r>
      <w:r w:rsidRPr="003F186A">
        <w:rPr>
          <w:rFonts w:ascii="Times New Roman" w:hAnsi="Times New Roman" w:cs="Times New Roman"/>
          <w:b/>
          <w:bCs/>
        </w:rPr>
        <w:t> </w:t>
      </w:r>
      <w:r w:rsidRPr="003F186A">
        <w:rPr>
          <w:rFonts w:ascii="Times New Roman" w:hAnsi="Times New Roman" w:cs="Times New Roman"/>
          <w:i/>
          <w:iCs/>
        </w:rPr>
        <w:t>s popisem, kódy, bodovým hodnocením popř. s cen</w:t>
      </w:r>
      <w:r>
        <w:rPr>
          <w:rFonts w:ascii="Times New Roman" w:hAnsi="Times New Roman" w:cs="Times New Roman"/>
          <w:i/>
          <w:iCs/>
        </w:rPr>
        <w:t>ou a datem provedení, s názvy a </w:t>
      </w:r>
      <w:r w:rsidRPr="003F186A">
        <w:rPr>
          <w:rFonts w:ascii="Times New Roman" w:hAnsi="Times New Roman" w:cs="Times New Roman"/>
          <w:i/>
          <w:iCs/>
        </w:rPr>
        <w:t xml:space="preserve">množstvím předepsaných léčivých přípravků včetně cen, seznam použitého zdravotnického materiálu a služeb včetně cen, originály dokladů (faktura a stvrzenka) o úhradě nákladů s uvedením částky a předmětu úhrady, kopie lékařem vystavených předpisů léků při ambulantním ošetření </w:t>
      </w:r>
      <w:r w:rsidRPr="003F186A">
        <w:rPr>
          <w:rFonts w:ascii="Times New Roman" w:hAnsi="Times New Roman" w:cs="Times New Roman"/>
          <w:iCs/>
        </w:rPr>
        <w:t>(</w:t>
      </w:r>
      <w:r w:rsidRPr="003F186A">
        <w:rPr>
          <w:rFonts w:ascii="Times New Roman" w:hAnsi="Times New Roman" w:cs="Times New Roman"/>
        </w:rPr>
        <w:t>Všeobecné pojistné podmínky UNIQA)</w:t>
      </w:r>
      <w:r w:rsidRPr="003F186A">
        <w:rPr>
          <w:rFonts w:ascii="Times New Roman" w:hAnsi="Times New Roman" w:cs="Times New Roman"/>
          <w:i/>
          <w:iCs/>
        </w:rPr>
        <w:t>.</w:t>
      </w:r>
    </w:p>
  </w:footnote>
  <w:footnote w:id="8">
    <w:p w:rsidR="00623424" w:rsidRPr="00320A0E" w:rsidRDefault="00623424">
      <w:pPr>
        <w:pStyle w:val="Textpoznpodarou"/>
        <w:rPr>
          <w:rFonts w:ascii="Times New Roman" w:hAnsi="Times New Roman" w:cs="Times New Roman"/>
        </w:rPr>
      </w:pPr>
      <w:r w:rsidRPr="00320A0E">
        <w:rPr>
          <w:rStyle w:val="Znakapoznpodarou"/>
          <w:rFonts w:ascii="Times New Roman" w:hAnsi="Times New Roman" w:cs="Times New Roman"/>
        </w:rPr>
        <w:footnoteRef/>
      </w:r>
      <w:r w:rsidRPr="00320A0E">
        <w:rPr>
          <w:rFonts w:ascii="Times New Roman" w:hAnsi="Times New Roman" w:cs="Times New Roman"/>
        </w:rPr>
        <w:t xml:space="preserve">  Čl. 3 odst. 3 Všeobecných pojistných podmínek </w:t>
      </w:r>
      <w:proofErr w:type="spellStart"/>
      <w:r w:rsidRPr="00320A0E">
        <w:rPr>
          <w:rFonts w:ascii="Times New Roman" w:hAnsi="Times New Roman" w:cs="Times New Roman"/>
        </w:rPr>
        <w:t>Axa</w:t>
      </w:r>
      <w:proofErr w:type="spellEnd"/>
      <w:r w:rsidRPr="00320A0E">
        <w:rPr>
          <w:rFonts w:ascii="Times New Roman" w:hAnsi="Times New Roman" w:cs="Times New Roman"/>
        </w:rPr>
        <w:t xml:space="preserve"> </w:t>
      </w:r>
      <w:proofErr w:type="spellStart"/>
      <w:r w:rsidRPr="00320A0E">
        <w:rPr>
          <w:rFonts w:ascii="Times New Roman" w:hAnsi="Times New Roman" w:cs="Times New Roman"/>
        </w:rPr>
        <w:t>Assistance</w:t>
      </w:r>
      <w:proofErr w:type="spellEnd"/>
      <w:r w:rsidRPr="00320A0E">
        <w:rPr>
          <w:rFonts w:ascii="Times New Roman" w:hAnsi="Times New Roman" w:cs="Times New Roman"/>
        </w:rPr>
        <w:t>; čl. 6 odst. 6.2 Všeobecných pojistných podmínek.</w:t>
      </w:r>
    </w:p>
  </w:footnote>
  <w:footnote w:id="9">
    <w:p w:rsidR="00623424" w:rsidRPr="00320A0E" w:rsidRDefault="00623424" w:rsidP="00AD7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0A0E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320A0E">
        <w:rPr>
          <w:rFonts w:ascii="Times New Roman" w:hAnsi="Times New Roman" w:cs="Times New Roman"/>
          <w:sz w:val="20"/>
          <w:szCs w:val="20"/>
        </w:rPr>
        <w:t xml:space="preserve"> Čl. 5 odst. 2 Všeobecných pojistných podmínek ERGO; čl. 9 odst. 4 písm. b) Všeobecných pojistných podmínek Slavia; čl. 5 odst. 2 písm. c) Všeobecných pojistných podmínek Pojišťovny VZP; čl. 9 odst. 1 písm. c) Všeobecných pojistných podmínek  AXA </w:t>
      </w:r>
      <w:proofErr w:type="spellStart"/>
      <w:r w:rsidRPr="00320A0E">
        <w:rPr>
          <w:rFonts w:ascii="Times New Roman" w:hAnsi="Times New Roman" w:cs="Times New Roman"/>
          <w:sz w:val="20"/>
          <w:szCs w:val="20"/>
        </w:rPr>
        <w:t>Assistance</w:t>
      </w:r>
      <w:proofErr w:type="spellEnd"/>
      <w:r w:rsidRPr="00320A0E">
        <w:rPr>
          <w:rFonts w:ascii="Times New Roman" w:hAnsi="Times New Roman" w:cs="Times New Roman"/>
          <w:sz w:val="20"/>
          <w:szCs w:val="20"/>
        </w:rPr>
        <w:t>.</w:t>
      </w:r>
    </w:p>
  </w:footnote>
  <w:footnote w:id="10">
    <w:p w:rsidR="00623424" w:rsidRPr="00320A0E" w:rsidRDefault="00623424">
      <w:pPr>
        <w:pStyle w:val="Textpoznpodarou"/>
        <w:rPr>
          <w:rFonts w:ascii="Times New Roman" w:hAnsi="Times New Roman" w:cs="Times New Roman"/>
        </w:rPr>
      </w:pPr>
      <w:r w:rsidRPr="00320A0E">
        <w:rPr>
          <w:rStyle w:val="Znakapoznpodarou"/>
          <w:rFonts w:ascii="Times New Roman" w:hAnsi="Times New Roman" w:cs="Times New Roman"/>
        </w:rPr>
        <w:footnoteRef/>
      </w:r>
      <w:r w:rsidRPr="00320A0E">
        <w:rPr>
          <w:rFonts w:ascii="Times New Roman" w:hAnsi="Times New Roman" w:cs="Times New Roman"/>
        </w:rPr>
        <w:t xml:space="preserve"> Čl. 11 odst. 3 písm</w:t>
      </w:r>
      <w:r>
        <w:rPr>
          <w:rFonts w:ascii="Times New Roman" w:hAnsi="Times New Roman" w:cs="Times New Roman"/>
        </w:rPr>
        <w:t>.</w:t>
      </w:r>
      <w:r w:rsidRPr="00320A0E">
        <w:rPr>
          <w:rFonts w:ascii="Times New Roman" w:hAnsi="Times New Roman" w:cs="Times New Roman"/>
        </w:rPr>
        <w:t xml:space="preserve"> d) Vš</w:t>
      </w:r>
      <w:r>
        <w:rPr>
          <w:rFonts w:ascii="Times New Roman" w:hAnsi="Times New Roman" w:cs="Times New Roman"/>
        </w:rPr>
        <w:t>eobecných pojistných podmínek</w:t>
      </w:r>
      <w:r w:rsidRPr="00320A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pojišťovny</w:t>
      </w:r>
      <w:r w:rsidRPr="00320A0E">
        <w:rPr>
          <w:rFonts w:ascii="Times New Roman" w:hAnsi="Times New Roman" w:cs="Times New Roman"/>
        </w:rPr>
        <w:t xml:space="preserve"> Slavi</w:t>
      </w:r>
      <w:r>
        <w:rPr>
          <w:rFonts w:ascii="Times New Roman" w:hAnsi="Times New Roman" w:cs="Times New Roman"/>
        </w:rPr>
        <w:t>e</w:t>
      </w:r>
      <w:r w:rsidRPr="00320A0E">
        <w:rPr>
          <w:rFonts w:ascii="Times New Roman" w:hAnsi="Times New Roman" w:cs="Times New Roman"/>
        </w:rPr>
        <w:t>.</w:t>
      </w:r>
    </w:p>
  </w:footnote>
  <w:footnote w:id="11">
    <w:p w:rsidR="00623424" w:rsidRPr="00320A0E" w:rsidRDefault="00623424">
      <w:pPr>
        <w:pStyle w:val="Textpoznpodarou"/>
        <w:rPr>
          <w:rFonts w:ascii="Times New Roman" w:hAnsi="Times New Roman" w:cs="Times New Roman"/>
        </w:rPr>
      </w:pPr>
      <w:r w:rsidRPr="00320A0E">
        <w:rPr>
          <w:rStyle w:val="Znakapoznpodarou"/>
          <w:rFonts w:ascii="Times New Roman" w:hAnsi="Times New Roman" w:cs="Times New Roman"/>
        </w:rPr>
        <w:footnoteRef/>
      </w:r>
      <w:r w:rsidRPr="00320A0E">
        <w:rPr>
          <w:rFonts w:ascii="Times New Roman" w:hAnsi="Times New Roman" w:cs="Times New Roman"/>
        </w:rPr>
        <w:t xml:space="preserve"> Čl. 13 odst. 5 Všeobecných pojistných podmínek Pojišťovny VZP.</w:t>
      </w:r>
    </w:p>
  </w:footnote>
  <w:footnote w:id="12">
    <w:p w:rsidR="00623424" w:rsidRPr="00937737" w:rsidRDefault="00623424" w:rsidP="00937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737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937737">
        <w:rPr>
          <w:rFonts w:ascii="Times New Roman" w:hAnsi="Times New Roman" w:cs="Times New Roman"/>
          <w:sz w:val="20"/>
          <w:szCs w:val="20"/>
        </w:rPr>
        <w:t xml:space="preserve"> Nabízí se otázka, zda lze po soukromých subjektech (pojišťovnách) chtít, aby sledovaly svým jednáním i jiný účel než dosažení ekonomického zisku. Dle akademických komentářů by přitom pojišťovny měly sledovat širší cíl, reflektující i sociální rovnováhu (viz HAVEL, Bohumil: </w:t>
      </w:r>
      <w:r w:rsidRPr="00937737">
        <w:rPr>
          <w:rFonts w:ascii="Times New Roman" w:hAnsi="Times New Roman" w:cs="Times New Roman"/>
          <w:i/>
          <w:iCs/>
          <w:sz w:val="20"/>
          <w:szCs w:val="20"/>
        </w:rPr>
        <w:t>Obchodní korporace ve světle proměn</w:t>
      </w:r>
      <w:r w:rsidRPr="00937737">
        <w:rPr>
          <w:rFonts w:ascii="Times New Roman" w:hAnsi="Times New Roman" w:cs="Times New Roman"/>
          <w:sz w:val="20"/>
          <w:szCs w:val="20"/>
        </w:rPr>
        <w:t xml:space="preserve">. Praha, Absolutorium, 2010, s. 106). Tento závěr se dá zcela jistě použít na Pojišťovnu VZP, </w:t>
      </w:r>
      <w:r>
        <w:rPr>
          <w:rFonts w:ascii="Times New Roman" w:hAnsi="Times New Roman" w:cs="Times New Roman"/>
          <w:sz w:val="20"/>
          <w:szCs w:val="20"/>
        </w:rPr>
        <w:t xml:space="preserve">a.s., </w:t>
      </w:r>
      <w:r w:rsidRPr="00937737">
        <w:rPr>
          <w:rFonts w:ascii="Times New Roman" w:hAnsi="Times New Roman" w:cs="Times New Roman"/>
          <w:sz w:val="20"/>
          <w:szCs w:val="20"/>
        </w:rPr>
        <w:t xml:space="preserve">která </w:t>
      </w:r>
      <w:r>
        <w:rPr>
          <w:rFonts w:ascii="Times New Roman" w:hAnsi="Times New Roman" w:cs="Times New Roman"/>
          <w:sz w:val="20"/>
          <w:szCs w:val="20"/>
        </w:rPr>
        <w:t>je dceřinou společností VZP ČR</w:t>
      </w:r>
      <w:r w:rsidRPr="00937737">
        <w:rPr>
          <w:rFonts w:ascii="Times New Roman" w:hAnsi="Times New Roman" w:cs="Times New Roman"/>
          <w:sz w:val="20"/>
          <w:szCs w:val="20"/>
        </w:rPr>
        <w:t>, což je veřejnoprávní korporace zřízená k ochraně veřejného a nikoli soukromého zájmu.</w:t>
      </w:r>
    </w:p>
  </w:footnote>
  <w:footnote w:id="13">
    <w:p w:rsidR="00623424" w:rsidRPr="00937737" w:rsidRDefault="00623424" w:rsidP="00937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737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937737">
        <w:rPr>
          <w:rFonts w:ascii="Times New Roman" w:hAnsi="Times New Roman" w:cs="Times New Roman"/>
          <w:sz w:val="20"/>
          <w:szCs w:val="20"/>
        </w:rPr>
        <w:t xml:space="preserve"> </w:t>
      </w:r>
      <w:r w:rsidRPr="00937737">
        <w:rPr>
          <w:rFonts w:ascii="Times New Roman" w:hAnsi="Times New Roman" w:cs="Times New Roman"/>
          <w:color w:val="000000"/>
          <w:sz w:val="20"/>
          <w:szCs w:val="20"/>
        </w:rPr>
        <w:t xml:space="preserve">Kancelář Veřejného ochránce práv. </w:t>
      </w:r>
      <w:r w:rsidRPr="0093773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Souhrnná zpráva o činnosti Veřejného ochránce práv 2010, </w:t>
      </w:r>
      <w:r w:rsidRPr="00937737">
        <w:rPr>
          <w:rFonts w:ascii="Times New Roman" w:hAnsi="Times New Roman" w:cs="Times New Roman"/>
          <w:color w:val="000000"/>
          <w:sz w:val="20"/>
          <w:szCs w:val="20"/>
        </w:rPr>
        <w:t>s. 115.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17C" w:rsidRDefault="00A5117C" w:rsidP="00A5117C">
    <w:pPr>
      <w:pStyle w:val="Zhlav"/>
      <w:jc w:val="right"/>
      <w:rPr>
        <w:b/>
        <w:i/>
        <w:sz w:val="24"/>
      </w:rPr>
    </w:pPr>
    <w:r>
      <w:rPr>
        <w:b/>
        <w:i/>
        <w:sz w:val="24"/>
      </w:rPr>
      <w:t>meziresortní připomínkové řízení</w:t>
    </w:r>
  </w:p>
  <w:p w:rsidR="00A5117C" w:rsidRDefault="00A5117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21CAE"/>
    <w:multiLevelType w:val="hybridMultilevel"/>
    <w:tmpl w:val="B27241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B543B"/>
    <w:multiLevelType w:val="hybridMultilevel"/>
    <w:tmpl w:val="60343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1321E4"/>
    <w:multiLevelType w:val="hybridMultilevel"/>
    <w:tmpl w:val="605C072E"/>
    <w:lvl w:ilvl="0" w:tplc="639E04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46D4C"/>
    <w:multiLevelType w:val="hybridMultilevel"/>
    <w:tmpl w:val="E708D526"/>
    <w:lvl w:ilvl="0" w:tplc="1F3A802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2675FB8"/>
    <w:multiLevelType w:val="hybridMultilevel"/>
    <w:tmpl w:val="DD5A5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76F67A8"/>
    <w:multiLevelType w:val="hybridMultilevel"/>
    <w:tmpl w:val="75304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04764"/>
    <w:multiLevelType w:val="hybridMultilevel"/>
    <w:tmpl w:val="3B7A101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9934F60"/>
    <w:multiLevelType w:val="hybridMultilevel"/>
    <w:tmpl w:val="7AFECA3E"/>
    <w:lvl w:ilvl="0" w:tplc="57304F58">
      <w:start w:val="3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A9"/>
    <w:rsid w:val="000A55A1"/>
    <w:rsid w:val="000E404D"/>
    <w:rsid w:val="001E1DE1"/>
    <w:rsid w:val="001F741A"/>
    <w:rsid w:val="001F7E55"/>
    <w:rsid w:val="00213A69"/>
    <w:rsid w:val="002200CB"/>
    <w:rsid w:val="002368A4"/>
    <w:rsid w:val="00240F65"/>
    <w:rsid w:val="00256AB4"/>
    <w:rsid w:val="002656C1"/>
    <w:rsid w:val="002715C2"/>
    <w:rsid w:val="00286922"/>
    <w:rsid w:val="00296C34"/>
    <w:rsid w:val="002A2E33"/>
    <w:rsid w:val="002B7C1A"/>
    <w:rsid w:val="00320A0E"/>
    <w:rsid w:val="003C013A"/>
    <w:rsid w:val="003F186A"/>
    <w:rsid w:val="00401E47"/>
    <w:rsid w:val="0042208E"/>
    <w:rsid w:val="0042677A"/>
    <w:rsid w:val="00431ABF"/>
    <w:rsid w:val="0048343A"/>
    <w:rsid w:val="004E518A"/>
    <w:rsid w:val="005060FA"/>
    <w:rsid w:val="005446C5"/>
    <w:rsid w:val="00576A38"/>
    <w:rsid w:val="005814A9"/>
    <w:rsid w:val="00591613"/>
    <w:rsid w:val="005E32A1"/>
    <w:rsid w:val="006112F1"/>
    <w:rsid w:val="006133C2"/>
    <w:rsid w:val="00623424"/>
    <w:rsid w:val="006353A7"/>
    <w:rsid w:val="00641C57"/>
    <w:rsid w:val="00665DDB"/>
    <w:rsid w:val="006F2535"/>
    <w:rsid w:val="006F61AA"/>
    <w:rsid w:val="00740883"/>
    <w:rsid w:val="007474BC"/>
    <w:rsid w:val="0079597D"/>
    <w:rsid w:val="007A143F"/>
    <w:rsid w:val="007A7B43"/>
    <w:rsid w:val="007B3F84"/>
    <w:rsid w:val="0080500D"/>
    <w:rsid w:val="008418DF"/>
    <w:rsid w:val="0086638C"/>
    <w:rsid w:val="00876123"/>
    <w:rsid w:val="008A160D"/>
    <w:rsid w:val="008F32C7"/>
    <w:rsid w:val="0090357D"/>
    <w:rsid w:val="009207B4"/>
    <w:rsid w:val="009253B0"/>
    <w:rsid w:val="00937737"/>
    <w:rsid w:val="00937FCD"/>
    <w:rsid w:val="009608B4"/>
    <w:rsid w:val="00960907"/>
    <w:rsid w:val="00960F97"/>
    <w:rsid w:val="009B4641"/>
    <w:rsid w:val="00A40702"/>
    <w:rsid w:val="00A5117C"/>
    <w:rsid w:val="00A77644"/>
    <w:rsid w:val="00A85C82"/>
    <w:rsid w:val="00A86031"/>
    <w:rsid w:val="00A902FE"/>
    <w:rsid w:val="00A94ED2"/>
    <w:rsid w:val="00AD4F39"/>
    <w:rsid w:val="00AD7AA4"/>
    <w:rsid w:val="00AE2578"/>
    <w:rsid w:val="00B35202"/>
    <w:rsid w:val="00B6337A"/>
    <w:rsid w:val="00B66663"/>
    <w:rsid w:val="00B81985"/>
    <w:rsid w:val="00B84CD7"/>
    <w:rsid w:val="00B90F54"/>
    <w:rsid w:val="00B943DF"/>
    <w:rsid w:val="00BC7ACB"/>
    <w:rsid w:val="00BF271A"/>
    <w:rsid w:val="00C7684F"/>
    <w:rsid w:val="00C8117F"/>
    <w:rsid w:val="00C95657"/>
    <w:rsid w:val="00C96721"/>
    <w:rsid w:val="00CD15F2"/>
    <w:rsid w:val="00CF086F"/>
    <w:rsid w:val="00CF4F09"/>
    <w:rsid w:val="00D2640B"/>
    <w:rsid w:val="00D31EB5"/>
    <w:rsid w:val="00D62555"/>
    <w:rsid w:val="00DE1457"/>
    <w:rsid w:val="00DF6E6A"/>
    <w:rsid w:val="00E05AE1"/>
    <w:rsid w:val="00E14A44"/>
    <w:rsid w:val="00E20B34"/>
    <w:rsid w:val="00E2601D"/>
    <w:rsid w:val="00E647D0"/>
    <w:rsid w:val="00E802EB"/>
    <w:rsid w:val="00EA07FE"/>
    <w:rsid w:val="00EB0D9C"/>
    <w:rsid w:val="00EE4A1A"/>
    <w:rsid w:val="00EF529E"/>
    <w:rsid w:val="00EF6BD2"/>
    <w:rsid w:val="00EF6D90"/>
    <w:rsid w:val="00F075C8"/>
    <w:rsid w:val="00F3322E"/>
    <w:rsid w:val="00F546E0"/>
    <w:rsid w:val="00F5723E"/>
    <w:rsid w:val="00F76C4D"/>
    <w:rsid w:val="00FA1001"/>
    <w:rsid w:val="00FB6D91"/>
    <w:rsid w:val="00FD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31A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76A38"/>
    <w:pPr>
      <w:ind w:left="720"/>
      <w:contextualSpacing/>
    </w:pPr>
  </w:style>
  <w:style w:type="paragraph" w:styleId="Textpoznpodarou">
    <w:name w:val="footnote text"/>
    <w:aliases w:val="Schriftart: 9 pt,Schriftart: 10 pt,Schriftart: 8 pt,Char Char Char Char Char,Char Char Char Char,Char Char Char,Char, Char3,Char Char,Text pozn. pod čarou1,Footnote Text Char1,Footnote Text Char1 Char1 Char"/>
    <w:basedOn w:val="Normln"/>
    <w:link w:val="TextpoznpodarouChar"/>
    <w:unhideWhenUsed/>
    <w:rsid w:val="001F74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Char Char Char Char Char Char,Char Char Char Char Char1,Char Char Char Char1,Char Char1, Char3 Char,Char Char Char2,Text pozn. pod čarou1 Char"/>
    <w:basedOn w:val="Standardnpsmoodstavce"/>
    <w:link w:val="Textpoznpodarou"/>
    <w:uiPriority w:val="99"/>
    <w:semiHidden/>
    <w:rsid w:val="001F741A"/>
    <w:rPr>
      <w:sz w:val="20"/>
      <w:szCs w:val="20"/>
    </w:rPr>
  </w:style>
  <w:style w:type="character" w:styleId="Znakapoznpodarou">
    <w:name w:val="footnote reference"/>
    <w:aliases w:val="BVI fnr,Footnote symbol,Footnote Refernece,callout,Footnotes refss,Footnote Reference Superscript,Footnote Reference Number,Footnote Refernece + (Latein) Arial,10 pt,Blau,Fußnotenzeichen_Raxen,Footnote Refe,FR,..."/>
    <w:basedOn w:val="Standardnpsmoodstavce"/>
    <w:unhideWhenUsed/>
    <w:rsid w:val="001F741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A07F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088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A7B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B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B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B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B43"/>
    <w:rPr>
      <w:b/>
      <w:bCs/>
      <w:sz w:val="20"/>
      <w:szCs w:val="20"/>
    </w:rPr>
  </w:style>
  <w:style w:type="character" w:customStyle="1" w:styleId="TextpoznpodarouChar1">
    <w:name w:val="Text pozn. pod čarou Char1"/>
    <w:aliases w:val="Text pozn. pod čarou Char Char1,Schriftart: 9 pt Char1,Schriftart: 10 pt Char1,Schriftart: 8 pt Char1,Char Char Char Char Char Char1,Char Char Char Char Char2,Char Char Char Char3,Char Char2, Char3 Char1,Char Char Char1"/>
    <w:rsid w:val="00DF6E6A"/>
    <w:rPr>
      <w:lang w:val="cs-CZ" w:eastAsia="cs-CZ" w:bidi="ar-SA"/>
    </w:rPr>
  </w:style>
  <w:style w:type="paragraph" w:styleId="Zkladntextodsazen2">
    <w:name w:val="Body Text Indent 2"/>
    <w:basedOn w:val="Normln"/>
    <w:link w:val="Zkladntextodsazen2Char"/>
    <w:rsid w:val="00A85C82"/>
    <w:pPr>
      <w:widowControl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A85C8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85C82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85C82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A8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431AB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3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3F1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186A"/>
  </w:style>
  <w:style w:type="paragraph" w:styleId="Zpat">
    <w:name w:val="footer"/>
    <w:basedOn w:val="Normln"/>
    <w:link w:val="ZpatChar"/>
    <w:uiPriority w:val="99"/>
    <w:unhideWhenUsed/>
    <w:rsid w:val="003F1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18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31A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76A38"/>
    <w:pPr>
      <w:ind w:left="720"/>
      <w:contextualSpacing/>
    </w:pPr>
  </w:style>
  <w:style w:type="paragraph" w:styleId="Textpoznpodarou">
    <w:name w:val="footnote text"/>
    <w:aliases w:val="Schriftart: 9 pt,Schriftart: 10 pt,Schriftart: 8 pt,Char Char Char Char Char,Char Char Char Char,Char Char Char,Char, Char3,Char Char,Text pozn. pod čarou1,Footnote Text Char1,Footnote Text Char1 Char1 Char"/>
    <w:basedOn w:val="Normln"/>
    <w:link w:val="TextpoznpodarouChar"/>
    <w:unhideWhenUsed/>
    <w:rsid w:val="001F74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Char Char Char Char Char Char,Char Char Char Char Char1,Char Char Char Char1,Char Char1, Char3 Char,Char Char Char2,Text pozn. pod čarou1 Char"/>
    <w:basedOn w:val="Standardnpsmoodstavce"/>
    <w:link w:val="Textpoznpodarou"/>
    <w:uiPriority w:val="99"/>
    <w:semiHidden/>
    <w:rsid w:val="001F741A"/>
    <w:rPr>
      <w:sz w:val="20"/>
      <w:szCs w:val="20"/>
    </w:rPr>
  </w:style>
  <w:style w:type="character" w:styleId="Znakapoznpodarou">
    <w:name w:val="footnote reference"/>
    <w:aliases w:val="BVI fnr,Footnote symbol,Footnote Refernece,callout,Footnotes refss,Footnote Reference Superscript,Footnote Reference Number,Footnote Refernece + (Latein) Arial,10 pt,Blau,Fußnotenzeichen_Raxen,Footnote Refe,FR,..."/>
    <w:basedOn w:val="Standardnpsmoodstavce"/>
    <w:unhideWhenUsed/>
    <w:rsid w:val="001F741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A07F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088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A7B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B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B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B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B43"/>
    <w:rPr>
      <w:b/>
      <w:bCs/>
      <w:sz w:val="20"/>
      <w:szCs w:val="20"/>
    </w:rPr>
  </w:style>
  <w:style w:type="character" w:customStyle="1" w:styleId="TextpoznpodarouChar1">
    <w:name w:val="Text pozn. pod čarou Char1"/>
    <w:aliases w:val="Text pozn. pod čarou Char Char1,Schriftart: 9 pt Char1,Schriftart: 10 pt Char1,Schriftart: 8 pt Char1,Char Char Char Char Char Char1,Char Char Char Char Char2,Char Char Char Char3,Char Char2, Char3 Char1,Char Char Char1"/>
    <w:rsid w:val="00DF6E6A"/>
    <w:rPr>
      <w:lang w:val="cs-CZ" w:eastAsia="cs-CZ" w:bidi="ar-SA"/>
    </w:rPr>
  </w:style>
  <w:style w:type="paragraph" w:styleId="Zkladntextodsazen2">
    <w:name w:val="Body Text Indent 2"/>
    <w:basedOn w:val="Normln"/>
    <w:link w:val="Zkladntextodsazen2Char"/>
    <w:rsid w:val="00A85C82"/>
    <w:pPr>
      <w:widowControl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A85C8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85C82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85C82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A8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431AB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3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3F1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186A"/>
  </w:style>
  <w:style w:type="paragraph" w:styleId="Zpat">
    <w:name w:val="footer"/>
    <w:basedOn w:val="Normln"/>
    <w:link w:val="ZpatChar"/>
    <w:uiPriority w:val="99"/>
    <w:unhideWhenUsed/>
    <w:rsid w:val="003F1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1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6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9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7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F2122-2AE6-4406-9FFE-39588218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1841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 cr</Company>
  <LinksUpToDate>false</LinksUpToDate>
  <CharactersWithSpaces>12684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Plavinová Aneta</dc:creator>
  <cp:keywords/>
  <dc:description/>
  <cp:lastModifiedBy>Plavinová Aneta</cp:lastModifiedBy>
  <cp:revision>3</cp:revision>
  <cp:lastPrinted>2013-02-14T10:03:00Z</cp:lastPrinted>
  <dcterms:created xsi:type="dcterms:W3CDTF">2013-10-08T15:30:00Z</dcterms:created>
  <dcterms:modified xsi:type="dcterms:W3CDTF">2013-10-11T08:03:00Z</dcterms:modified>
</cp:coreProperties>
</file>