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D" w:rsidRDefault="00B1247D" w:rsidP="00B1247D">
      <w:pPr>
        <w:spacing w:after="240" w:line="271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2106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Usnesení Výboru pro práva cizinců Rady vlády České republiky pro lidská práva (dále jen „Výbor“) k otázce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protiprávního zajišťování cizinců a dalšího porušování jejich práv</w:t>
      </w:r>
      <w:r w:rsidRPr="0052106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:rsidR="00B1247D" w:rsidRPr="00B1247D" w:rsidRDefault="00B1247D" w:rsidP="00B1247D">
      <w:pPr>
        <w:spacing w:after="240" w:line="271" w:lineRule="auto"/>
        <w:jc w:val="center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B1247D">
        <w:rPr>
          <w:rFonts w:ascii="Times New Roman" w:hAnsi="Times New Roman" w:cs="Times New Roman"/>
          <w:bCs/>
          <w:sz w:val="24"/>
          <w:szCs w:val="24"/>
          <w:lang w:val="cs-CZ"/>
        </w:rPr>
        <w:t>ze dne 16. září 2015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1067">
        <w:rPr>
          <w:rFonts w:ascii="Times New Roman" w:hAnsi="Times New Roman" w:cs="Times New Roman"/>
          <w:sz w:val="24"/>
          <w:szCs w:val="24"/>
          <w:lang w:val="cs-CZ"/>
        </w:rPr>
        <w:t xml:space="preserve">Výbor </w:t>
      </w:r>
      <w:r>
        <w:rPr>
          <w:rFonts w:ascii="Times New Roman" w:hAnsi="Times New Roman" w:cs="Times New Roman"/>
          <w:sz w:val="24"/>
          <w:szCs w:val="24"/>
          <w:lang w:val="cs-CZ"/>
        </w:rPr>
        <w:t>vyjadřuje zásadní znepokojení nad</w:t>
      </w:r>
      <w:r w:rsidRPr="00521067">
        <w:rPr>
          <w:rFonts w:ascii="Times New Roman" w:hAnsi="Times New Roman" w:cs="Times New Roman"/>
          <w:sz w:val="24"/>
          <w:szCs w:val="24"/>
          <w:lang w:val="cs-CZ"/>
        </w:rPr>
        <w:t xml:space="preserve"> aktuální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521067">
        <w:rPr>
          <w:rFonts w:ascii="Times New Roman" w:hAnsi="Times New Roman" w:cs="Times New Roman"/>
          <w:sz w:val="24"/>
          <w:szCs w:val="24"/>
          <w:lang w:val="cs-CZ"/>
        </w:rPr>
        <w:t xml:space="preserve"> dění</w:t>
      </w:r>
      <w:r>
        <w:rPr>
          <w:rFonts w:ascii="Times New Roman" w:hAnsi="Times New Roman" w:cs="Times New Roman"/>
          <w:sz w:val="24"/>
          <w:szCs w:val="24"/>
          <w:lang w:val="cs-CZ"/>
        </w:rPr>
        <w:t>m v České republice souvisejícím s migrační situací v Evropě včetně zajištění práv cizinců. Výbor doporučuje čtyři zásadní změny v postupu státních orgánů České republiky a žádá, aby:</w:t>
      </w:r>
    </w:p>
    <w:p w:rsidR="00B1247D" w:rsidRPr="00B1247D" w:rsidRDefault="00B1247D" w:rsidP="00B1247D">
      <w:pPr>
        <w:pStyle w:val="Odstavecseseznamem"/>
        <w:numPr>
          <w:ilvl w:val="0"/>
          <w:numId w:val="2"/>
        </w:numPr>
        <w:spacing w:after="240" w:line="271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1247D">
        <w:rPr>
          <w:rFonts w:ascii="Times New Roman" w:hAnsi="Times New Roman" w:cs="Times New Roman"/>
          <w:b/>
          <w:sz w:val="24"/>
          <w:szCs w:val="24"/>
          <w:lang w:val="cs-CZ"/>
        </w:rPr>
        <w:t>V zařízeních pro zajištění cizinců byly takové podmínky, které neodporují lidské důstojnosti a v případě, že takové podmínky zajištěny nejsou, aby byly zajištěné osoby propuštěny.</w:t>
      </w:r>
    </w:p>
    <w:p w:rsidR="00B1247D" w:rsidRPr="00B1247D" w:rsidRDefault="00B1247D" w:rsidP="00B1247D">
      <w:pPr>
        <w:pStyle w:val="Odstavecseseznamem"/>
        <w:numPr>
          <w:ilvl w:val="0"/>
          <w:numId w:val="2"/>
        </w:numPr>
        <w:spacing w:after="240" w:line="271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1247D">
        <w:rPr>
          <w:rFonts w:ascii="Times New Roman" w:hAnsi="Times New Roman" w:cs="Times New Roman"/>
          <w:b/>
          <w:sz w:val="24"/>
          <w:szCs w:val="24"/>
          <w:lang w:val="cs-CZ"/>
        </w:rPr>
        <w:t>Ministerstvo vnitra přestalo zajišťovat žadatele o mezinárodní ochranu za účelem jejich přemístění do jiného členského státu EU podle nařízení Dublin III, pokud není dán předpoklad naplnění účelu zajištění.</w:t>
      </w:r>
      <w:r w:rsidRPr="00B1247D">
        <w:rPr>
          <w:rStyle w:val="Znakapoznpodarou"/>
          <w:rFonts w:ascii="Times New Roman" w:hAnsi="Times New Roman" w:cs="Times New Roman"/>
          <w:b/>
          <w:sz w:val="24"/>
          <w:szCs w:val="24"/>
          <w:lang w:val="cs-CZ"/>
        </w:rPr>
        <w:footnoteReference w:id="1"/>
      </w:r>
    </w:p>
    <w:p w:rsidR="00B1247D" w:rsidRPr="00B1247D" w:rsidRDefault="00B1247D" w:rsidP="00B1247D">
      <w:pPr>
        <w:pStyle w:val="Odstavecseseznamem"/>
        <w:numPr>
          <w:ilvl w:val="0"/>
          <w:numId w:val="2"/>
        </w:numPr>
        <w:spacing w:after="240" w:line="271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1247D">
        <w:rPr>
          <w:rFonts w:ascii="Times New Roman" w:hAnsi="Times New Roman" w:cs="Times New Roman"/>
          <w:b/>
          <w:sz w:val="24"/>
          <w:szCs w:val="24"/>
          <w:lang w:val="cs-CZ"/>
        </w:rPr>
        <w:t>Česká republika dostála své povinnosti zajistit poskytování právní pomoci zajištěným cizincům.</w:t>
      </w:r>
    </w:p>
    <w:p w:rsidR="00B1247D" w:rsidRPr="00B1247D" w:rsidRDefault="00B1247D" w:rsidP="00B1247D">
      <w:pPr>
        <w:pStyle w:val="Odstavecseseznamem"/>
        <w:numPr>
          <w:ilvl w:val="0"/>
          <w:numId w:val="2"/>
        </w:numPr>
        <w:spacing w:after="240" w:line="271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1247D">
        <w:rPr>
          <w:rFonts w:ascii="Times New Roman" w:hAnsi="Times New Roman" w:cs="Times New Roman"/>
          <w:b/>
          <w:sz w:val="24"/>
          <w:szCs w:val="24"/>
          <w:lang w:val="cs-CZ"/>
        </w:rPr>
        <w:t>Správa uprchlických zařízení Ministerstva vnitra nevybírala od cizinců zajištěných v režimu nařízení Dublin III poplatek za ubytování a stravu. Výbor doporučuje zvážit, aby osobám bez jakýchkoliv finančních prostředků byla při propuštění poskytována alespoň jednorázová finanční pomoc.</w:t>
      </w:r>
    </w:p>
    <w:p w:rsidR="00B1247D" w:rsidRPr="00B1247D" w:rsidRDefault="00B1247D" w:rsidP="00B1247D">
      <w:pPr>
        <w:spacing w:before="720" w:after="240" w:line="271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B1247D">
        <w:rPr>
          <w:rFonts w:ascii="Times New Roman" w:hAnsi="Times New Roman" w:cs="Times New Roman"/>
          <w:sz w:val="24"/>
          <w:szCs w:val="24"/>
          <w:u w:val="single"/>
          <w:lang w:val="cs-CZ"/>
        </w:rPr>
        <w:t>Odůvodnění:</w:t>
      </w:r>
    </w:p>
    <w:p w:rsidR="00B1247D" w:rsidRPr="00AB4A76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2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Cizinci ze třetích zemí, kteří požádali o mezinárodní ochranu v jiném členském státě EU, a ocitnou se na území České republiky, jsou dle současné praxe cizinecké policie zajišťováni v zařízeních pro zajištění cizinců v režimu nařízení Dublin III. Toto nařízení upravuje institut zajištění v čl. 28 a uvádí, že žádná osoba nesmí být zajištěna pouze proto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>, že se na ni vztahuje řízení podle tohoto nařízení</w:t>
      </w:r>
      <w:r>
        <w:rPr>
          <w:rFonts w:ascii="Times New Roman" w:hAnsi="Times New Roman" w:cs="Times New Roman"/>
          <w:sz w:val="24"/>
          <w:szCs w:val="24"/>
          <w:lang w:val="cs-CZ"/>
        </w:rPr>
        <w:t>. Dále stanoví tři kritéria, která musí být vždy současně splněna, aby mohlo k zajištění osoby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 xml:space="preserve"> za účelem jejího přemístění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dojít, a to a) u dotyčné osoby existuje</w:t>
      </w:r>
      <w:r w:rsidRPr="00B0017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0017F">
        <w:rPr>
          <w:rFonts w:ascii="Times New Roman" w:hAnsi="Times New Roman" w:cs="Times New Roman"/>
          <w:b/>
          <w:sz w:val="24"/>
          <w:szCs w:val="24"/>
          <w:lang w:val="cs-CZ"/>
        </w:rPr>
        <w:t>vážné</w:t>
      </w:r>
      <w:r w:rsidRPr="00B0017F">
        <w:rPr>
          <w:rFonts w:ascii="Times New Roman" w:hAnsi="Times New Roman" w:cs="Times New Roman"/>
          <w:sz w:val="24"/>
          <w:szCs w:val="24"/>
          <w:lang w:val="cs-CZ"/>
        </w:rPr>
        <w:t xml:space="preserve"> nebezpečí útěku na </w:t>
      </w:r>
      <w:r w:rsidRPr="00B0017F">
        <w:rPr>
          <w:rFonts w:ascii="Times New Roman" w:hAnsi="Times New Roman" w:cs="Times New Roman"/>
          <w:b/>
          <w:sz w:val="24"/>
          <w:szCs w:val="24"/>
          <w:lang w:val="cs-CZ"/>
        </w:rPr>
        <w:t>základě posouzení každého jednotlivého případu</w:t>
      </w:r>
      <w:r>
        <w:rPr>
          <w:rFonts w:ascii="Times New Roman" w:hAnsi="Times New Roman" w:cs="Times New Roman"/>
          <w:sz w:val="24"/>
          <w:szCs w:val="24"/>
          <w:lang w:val="cs-CZ"/>
        </w:rPr>
        <w:t>, b) zajištění je přiměřené a c) n</w:t>
      </w:r>
      <w:r w:rsidRPr="00B0017F">
        <w:rPr>
          <w:rFonts w:ascii="Times New Roman" w:hAnsi="Times New Roman" w:cs="Times New Roman"/>
          <w:sz w:val="24"/>
          <w:szCs w:val="24"/>
          <w:lang w:val="cs-CZ"/>
        </w:rPr>
        <w:t>elze účinně použít jiná mírnější donucovací opatření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Na tato kritéria navazuje čl. 2 písm. n) nařízení Dublin III, který uvádí, 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>že</w:t>
      </w:r>
      <w:r w:rsidRPr="00B001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>nebezpečím útěku je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B0017F">
        <w:rPr>
          <w:rFonts w:ascii="Times New Roman" w:hAnsi="Times New Roman" w:cs="Times New Roman"/>
          <w:b/>
          <w:sz w:val="24"/>
          <w:szCs w:val="24"/>
          <w:lang w:val="cs-CZ"/>
        </w:rPr>
        <w:t>existence důvodů, které se zakládají na objektivních kritériích vymezených právními předpisy</w:t>
      </w:r>
      <w:r w:rsidRPr="00B0017F">
        <w:rPr>
          <w:rFonts w:ascii="Times New Roman" w:hAnsi="Times New Roman" w:cs="Times New Roman"/>
          <w:sz w:val="24"/>
          <w:szCs w:val="24"/>
          <w:lang w:val="cs-CZ"/>
        </w:rPr>
        <w:t xml:space="preserve">, pro které je možné se v konkrétním případě domnívat, že žadatel nebo státní příslušník třetí země nebo osoba bez státní příslušnosti, na které se vztahuje řízení o přemístění, může </w:t>
      </w:r>
      <w:r w:rsidRPr="00B0017F">
        <w:rPr>
          <w:rFonts w:ascii="Times New Roman" w:hAnsi="Times New Roman" w:cs="Times New Roman"/>
          <w:sz w:val="24"/>
          <w:szCs w:val="24"/>
          <w:lang w:val="cs-CZ"/>
        </w:rPr>
        <w:lastRenderedPageBreak/>
        <w:t>uprchnout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AB12E2">
        <w:rPr>
          <w:rFonts w:ascii="Times New Roman" w:hAnsi="Times New Roman" w:cs="Times New Roman"/>
          <w:b/>
          <w:sz w:val="24"/>
          <w:szCs w:val="24"/>
          <w:lang w:val="cs-CZ"/>
        </w:rPr>
        <w:t>Česká právní úprava však tato objektivní kritéria v žádném předpise nestanoví.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Ustanovení § 129 zákona č. 326/1999 Sb., o pobytu cizinců (dále jen „zákon o pobytu cizinců“) pouze zmocňuje policii zajistit 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>na dobu nezbytně nutnou cizince, který neoprávněně vstoupil nebo pobýval na území, za účelem jeho předání podle přímo použitelného právního předpisu Evropských společenství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1247D" w:rsidRPr="00842ED1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F4466">
        <w:rPr>
          <w:rFonts w:ascii="Times New Roman" w:hAnsi="Times New Roman" w:cs="Times New Roman"/>
          <w:sz w:val="24"/>
          <w:szCs w:val="24"/>
          <w:lang w:val="cs-CZ"/>
        </w:rPr>
        <w:t>Z tohoto důvodu rozhodl Krajský soud v Ústí nad Labem v rozsudku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ze dne 1. června 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 xml:space="preserve">2015 </w:t>
      </w:r>
      <w:proofErr w:type="gramStart"/>
      <w:r w:rsidRPr="001F4466">
        <w:rPr>
          <w:rFonts w:ascii="Times New Roman" w:hAnsi="Times New Roman" w:cs="Times New 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>j.</w:t>
      </w:r>
      <w:proofErr w:type="gramEnd"/>
      <w:r w:rsidRPr="001F4466">
        <w:rPr>
          <w:rFonts w:ascii="Times New Roman" w:hAnsi="Times New Roman" w:cs="Times New Roman"/>
          <w:sz w:val="24"/>
          <w:szCs w:val="24"/>
          <w:lang w:val="cs-CZ"/>
        </w:rPr>
        <w:t xml:space="preserve"> 42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12/2015-78, že 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>ČR nemůže omezovat osobní svobodu cizincům</w:t>
      </w:r>
      <w:r w:rsidRPr="001F4466">
        <w:rPr>
          <w:rFonts w:ascii="Times New Roman" w:hAnsi="Times New Roman" w:cs="Times New Roman"/>
          <w:sz w:val="24"/>
          <w:szCs w:val="24"/>
          <w:lang w:val="cs-CZ"/>
        </w:rPr>
        <w:t xml:space="preserve">, kteří by měli být předáni do jiných států EU z důvodů dublinských pravidel, respektive je nemůže zajišťovat 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>na dobu delší než 48 hodin.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Výbor je toho názoru, že Česká republika jedná v rozporu s právem EU, když zajišťuje žadatele</w:t>
      </w:r>
      <w:r w:rsidRPr="00AB12E2">
        <w:rPr>
          <w:rFonts w:ascii="Times New Roman" w:hAnsi="Times New Roman" w:cs="Times New Roman"/>
          <w:sz w:val="24"/>
          <w:szCs w:val="24"/>
          <w:lang w:val="cs-CZ"/>
        </w:rPr>
        <w:t xml:space="preserve"> o mezinárodní ochranu za účelem jejich přemístění do jiného členského státu EU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 situaci, kdy nejsou v české právní úpravě stanovena kritéria nebezpečí útěku. Výbor si je vědom, že v současné době je projednávána Poslaneckou sněmovnou Parlamentu ČR novela zákona o pobytu cizinců, která tato kritéria zavádí, avšak </w:t>
      </w:r>
      <w:r w:rsidR="00B44E93">
        <w:rPr>
          <w:rFonts w:ascii="Times New Roman" w:hAnsi="Times New Roman" w:cs="Times New Roman"/>
          <w:sz w:val="24"/>
          <w:szCs w:val="24"/>
          <w:lang w:val="cs-CZ"/>
        </w:rPr>
        <w:t xml:space="preserve">přinejmenším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 doby, než tato novela nabude účinnosti, 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>považuje Výbor zajištění osob na základě nařízení Dublin III za nezákonná</w:t>
      </w:r>
      <w:r w:rsidR="00B44E93">
        <w:rPr>
          <w:rFonts w:ascii="Times New Roman" w:hAnsi="Times New Roman" w:cs="Times New Roman"/>
          <w:b/>
          <w:sz w:val="24"/>
          <w:szCs w:val="24"/>
          <w:lang w:val="cs-CZ"/>
        </w:rPr>
        <w:t>,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</w:t>
      </w:r>
      <w:r w:rsidR="00B44E93">
        <w:rPr>
          <w:rFonts w:ascii="Times New Roman" w:hAnsi="Times New Roman" w:cs="Times New Roman"/>
          <w:b/>
          <w:sz w:val="24"/>
          <w:szCs w:val="24"/>
          <w:lang w:val="cs-CZ"/>
        </w:rPr>
        <w:t>to i z formálního hlediska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B44E93" w:rsidRDefault="00B44E93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 hlediska obsahového pak Výbor považuje zajišťování osob na základě nařízení Dublin III za nezákonná z toho důvodu, že ve většině případů má být zadržený migrant navrácen do těch států EU, které migranty nyní dlouhodobě nejsou schopny přijímat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B1247D" w:rsidRPr="00AB4A76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3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Česká republika má povinnost vyplývající z práva EU zajistit cizincům přístup k právní pomoci. 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 xml:space="preserve">Většina cizinců zajištěných momentálně v České republice požádala o mezinárodní ochranu v jiném členském státě, a je tedy zajištěna v režimu nařízení Dublin III.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Čl. 27 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 xml:space="preserve">nařízení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Dublin III 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>přiznává cizincům právo na podání účinného opravného prostředku k soudu proti rozhodnutí o přemístění nebo jeho přezkumu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státům ukládá povinnost zajistit cizincům přístup k právní pomoci (a na žádost také k bezplatné právní pomoci, </w:t>
      </w:r>
      <w:r w:rsidRPr="006A2E88">
        <w:rPr>
          <w:rFonts w:ascii="Times New Roman" w:hAnsi="Times New Roman" w:cs="Times New Roman"/>
          <w:sz w:val="24"/>
          <w:szCs w:val="24"/>
          <w:lang w:val="cs-CZ"/>
        </w:rPr>
        <w:t>pokud si dotyčná osoba nemůže dovolit uhradit náklady s ní spojené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D0146A">
        <w:rPr>
          <w:rFonts w:ascii="Times New Roman" w:hAnsi="Times New Roman" w:cs="Times New Roman"/>
          <w:sz w:val="24"/>
          <w:szCs w:val="24"/>
          <w:lang w:val="cs-CZ"/>
        </w:rPr>
        <w:t>. Stát musí také zajistit, aby právní pomoc a zastupování nebyly svévolně omezovány a aby nebylo žadateli bráněno v účinném přístupu ke spravedlnosti.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t>Avšak i u osob, které nepožádaly o mezinárodní ochranu a pobývají na území ČR neoprávněně, existuje povinnost zajistit efektivní výkon práva cizince na poskytnutí právního poradenství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vyplývající z tzv. návratové směrnice,</w:t>
      </w:r>
      <w:r>
        <w:rPr>
          <w:rStyle w:val="Znakapoznpodarou"/>
          <w:rFonts w:ascii="Times New Roman" w:hAnsi="Times New Roman" w:cs="Times New Roman"/>
          <w:sz w:val="24"/>
          <w:szCs w:val="24"/>
          <w:lang w:val="cs-CZ" w:eastAsia="cs-CZ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která v čl. 13 odst. 3 stanoví, že </w:t>
      </w:r>
      <w:r w:rsidRPr="003821A2">
        <w:rPr>
          <w:rFonts w:ascii="Times New Roman" w:hAnsi="Times New Roman" w:cs="Times New Roman"/>
          <w:sz w:val="24"/>
          <w:szCs w:val="24"/>
          <w:lang w:val="cs-CZ"/>
        </w:rPr>
        <w:t>dotčený státní příslušník třetí země musí mít možnost získat právní poradenství, právní zastoupení a v případě potřeby jazykovou pomoc při využívání účinného právního prostředku nápravy proti rozhodnutí týkajícího se navrácení nebo jeho přezkumu. Odst. 4 téhož článku pak navazuje a zakotvuje povinnost členských států na žádost zajistit bezplatné poskytnutí potřebné právní pomoci nebo zastoupení v souladu s příslušnými vnitrostátními právními předpisy či pravidly týkajícími se právní pomoci.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V této souvislosti je nutné poukázat na rozsudek Nejvyššího správního soudu </w:t>
      </w:r>
      <w:proofErr w:type="gramStart"/>
      <w:r w:rsidRPr="003821A2">
        <w:rPr>
          <w:rFonts w:ascii="Times New Roman" w:hAnsi="Times New Roman" w:cs="Times New Roman"/>
          <w:sz w:val="24"/>
          <w:szCs w:val="24"/>
          <w:lang w:val="cs-CZ"/>
        </w:rPr>
        <w:t>č.j.</w:t>
      </w:r>
      <w:proofErr w:type="gramEnd"/>
      <w:r w:rsidRPr="003821A2">
        <w:rPr>
          <w:rFonts w:ascii="Times New Roman" w:hAnsi="Times New Roman" w:cs="Times New Roman"/>
          <w:sz w:val="24"/>
          <w:szCs w:val="24"/>
          <w:lang w:val="cs-CZ"/>
        </w:rPr>
        <w:t xml:space="preserve"> 4 </w:t>
      </w:r>
      <w:proofErr w:type="spellStart"/>
      <w:r w:rsidRPr="003821A2">
        <w:rPr>
          <w:rFonts w:ascii="Times New Roman" w:hAnsi="Times New Roman" w:cs="Times New Roman"/>
          <w:sz w:val="24"/>
          <w:szCs w:val="24"/>
          <w:lang w:val="cs-CZ"/>
        </w:rPr>
        <w:t>Azs</w:t>
      </w:r>
      <w:proofErr w:type="spellEnd"/>
      <w:r w:rsidRPr="003821A2">
        <w:rPr>
          <w:rFonts w:ascii="Times New Roman" w:hAnsi="Times New Roman" w:cs="Times New Roman"/>
          <w:sz w:val="24"/>
          <w:szCs w:val="24"/>
          <w:lang w:val="cs-CZ"/>
        </w:rPr>
        <w:t xml:space="preserve"> 122/2015-23 ze dne 30. června 2015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který uvádí, že transpozice čl. 13 návratové směrnice do českého právního řádu nedostatečně naplňuje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jeho cíl spočívající v zajištění efektivního výkonu práva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cizince na poskytnutí právního poradenství či právního zastoupení</w:t>
      </w:r>
      <w:r>
        <w:rPr>
          <w:rFonts w:ascii="Times New Roman" w:hAnsi="Times New Roman" w:cs="Times New Roman"/>
          <w:sz w:val="24"/>
          <w:szCs w:val="24"/>
          <w:lang w:val="cs-CZ"/>
        </w:rPr>
        <w:t>. Rozhodnutí dále výslovně uvádí, že</w:t>
      </w:r>
      <w:r w:rsidRPr="00842ED1">
        <w:rPr>
          <w:rFonts w:ascii="Times New Roman" w:hAnsi="Times New Roman" w:cs="Times New Roman"/>
          <w:sz w:val="24"/>
          <w:szCs w:val="24"/>
          <w:lang w:val="cs-CZ"/>
        </w:rPr>
        <w:t>: „…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zákon o pobytu cizinců nedává žádnou záruku, že právní pomoc bude cizinci poskytnuta nebo že ji získá včas, neboť v něm není zakotvena obecná povinnost příslušného státního orgánu zajistit cizincům právní poradenství či právní pomoc tak, aby neutrpěli žádnou újmu. Tento legislativní nedostatek je evidentní zejména v případech zajištěných cizinců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či cizinců nacházejících se v přijímacím či pobytovém středisku, jimž bylo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doručeno rozhodnutí vydané v řízení podle zákona o pobytu cizinců a kteří mají velmi krátkou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lhůtu na sepis a podání odvolání či žaloby ke správnímu soudu proti takovému rozhodnutí.</w:t>
      </w:r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Výbor se ztotožňuje s názorem Nejvyššího správního soudu, že tato nedokonalost české právní úpravy může být zčásti překlenuta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praxí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správního orgánu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který by měl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smluvně zabezpečit pravidelnou přítomnost pracovníků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právnické osoby zabývající se poskytováním právní pomoci cizincům s omezenou svobodou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24509">
        <w:rPr>
          <w:rFonts w:ascii="Times New Roman" w:hAnsi="Times New Roman" w:cs="Times New Roman"/>
          <w:sz w:val="24"/>
          <w:szCs w:val="24"/>
          <w:lang w:val="cs-CZ"/>
        </w:rPr>
        <w:t>tak, aby mohli podat v zákonné lhůtě odvolání proti správnímu vyhoštění.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</w:t>
      </w: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rávní poradenství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je v současnosti </w:t>
      </w: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poskytováno neziskovými organizacemi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především </w:t>
      </w: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na dobrovolné bázi. </w:t>
      </w:r>
      <w:r w:rsidRPr="00C97F92">
        <w:rPr>
          <w:rFonts w:ascii="Times New Roman" w:hAnsi="Times New Roman" w:cs="Times New Roman"/>
          <w:color w:val="auto"/>
          <w:sz w:val="24"/>
          <w:szCs w:val="24"/>
          <w:lang w:val="cs-CZ" w:eastAsia="cs-CZ"/>
        </w:rPr>
        <w:t xml:space="preserve">Tato situace je však dlouhodobě neudržitelná. Tyto organizace disponují zcela nedostatečným množstvím pracovníků i finančních prostředků, a tak nejsou schopny </w:t>
      </w:r>
      <w:r>
        <w:rPr>
          <w:rFonts w:ascii="Times New Roman" w:hAnsi="Times New Roman" w:cs="Times New Roman"/>
          <w:color w:val="auto"/>
          <w:sz w:val="24"/>
          <w:szCs w:val="24"/>
          <w:lang w:val="cs-CZ" w:eastAsia="cs-CZ"/>
        </w:rPr>
        <w:t xml:space="preserve">dojíždět do zařízení pro zajištění cizinců v dostatečně častých intervalech a </w:t>
      </w: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zajistit přístup k právní pomoci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všem </w:t>
      </w:r>
      <w:r w:rsidRPr="00C97F92">
        <w:rPr>
          <w:rFonts w:ascii="Times New Roman" w:hAnsi="Times New Roman" w:cs="Times New Roman"/>
          <w:sz w:val="24"/>
          <w:szCs w:val="24"/>
          <w:lang w:val="cs-CZ" w:eastAsia="cs-CZ"/>
        </w:rPr>
        <w:t>potřebným osobám.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2ED1">
        <w:rPr>
          <w:rFonts w:ascii="Times New Roman" w:hAnsi="Times New Roman" w:cs="Times New Roman"/>
          <w:b/>
          <w:sz w:val="24"/>
          <w:szCs w:val="24"/>
          <w:lang w:val="cs-CZ" w:eastAsia="cs-CZ"/>
        </w:rPr>
        <w:t>Výbor proto žádá, aby příslušné ústřední orgány státní správy vyhradily potřebné prostředky pro organizace poskytující právní pomoc v zařízeních pro zajištění cizinců,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aby tak prostřednictvím jejich činnosti mohla být splněna povinnost České republiky zajistit poskytování právního poradenství.</w:t>
      </w:r>
    </w:p>
    <w:p w:rsidR="00B1247D" w:rsidRPr="00AB4A76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 bodu 4</w:t>
      </w:r>
    </w:p>
    <w:p w:rsid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Státní orgány jsou při své činnosti vázány právními předpisy a mohou činit pouze to, co jim zákon výslovně ukládá. Ustanovení § 176c ve spojení s ustanovením § 146 zákona o pobytu cizinců umožňují Správě uprchlických zařízení Ministerstva vnitra (dále jen „SUZ“) p</w:t>
      </w:r>
      <w:r w:rsidRPr="000847D7">
        <w:rPr>
          <w:rFonts w:ascii="Times New Roman" w:hAnsi="Times New Roman" w:cs="Times New Roman"/>
          <w:sz w:val="24"/>
          <w:szCs w:val="24"/>
          <w:lang w:val="cs-CZ"/>
        </w:rPr>
        <w:t>oužít uschované peněžní prostředky zajištěného cizince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47D7">
        <w:rPr>
          <w:rFonts w:ascii="Times New Roman" w:hAnsi="Times New Roman" w:cs="Times New Roman"/>
          <w:sz w:val="24"/>
          <w:szCs w:val="24"/>
          <w:lang w:val="cs-CZ"/>
        </w:rPr>
        <w:t>k úhradě nákladů spojených se zajištěním cizince za účelem předání nebo průvozu podle mezinárodní smlouvy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Žádný právní předpis však neumožňuje tyto prostředky používat na úhradu nákladů spojených se zajištěním cizince za účelem jeho předání na základě </w:t>
      </w:r>
      <w:r w:rsidRPr="000847D7">
        <w:rPr>
          <w:rFonts w:ascii="Times New Roman" w:hAnsi="Times New Roman" w:cs="Times New Roman"/>
          <w:sz w:val="24"/>
          <w:szCs w:val="24"/>
          <w:lang w:val="cs-CZ"/>
        </w:rPr>
        <w:t>přímo použitelného právního předpisu Evropských společenství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tj. nařízení Dublin III. Je však známo, že SUZ účtuje všem cizincům zajištěným v ZZC (tedy včetně cizinců zajištěných za účelem předání dle nařízení Dublin III) částku 242,-Kč za osobu na den na základě vyhlášky č. 447/2005 Sb. </w:t>
      </w: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Vzhledem k tomu, že pro takové jednání neexistuje v právním řádu ČR zmocnění, jedná SUZ v rozporu se zásadou legality. </w:t>
      </w:r>
      <w:r>
        <w:rPr>
          <w:rFonts w:ascii="Times New Roman" w:hAnsi="Times New Roman" w:cs="Times New Roman"/>
          <w:sz w:val="24"/>
          <w:szCs w:val="24"/>
          <w:lang w:val="cs-CZ"/>
        </w:rPr>
        <w:t>Dále upozorňujeme na fakt, že v současné situaci, kdy podmínky v zařízeních pro zajištění cizinců jsou alarmující, na což upozorňuje dlouhodobě např. Veřejná ochránkyně práv a aktuálně také neziskové organizace pracující s cizinci, je vybíraná částka neúměrně vysoká.</w:t>
      </w:r>
    </w:p>
    <w:p w:rsidR="00B1247D" w:rsidRPr="00B1247D" w:rsidRDefault="00B1247D" w:rsidP="00B1247D">
      <w:pPr>
        <w:spacing w:after="240" w:line="271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42ED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Považujeme tedy za nutné, aby SUZ upustila od používání uschovaných peněžních prostředků cizinců zajištěných v režimu nařízení Dublin III, protože pro to neexistuje právní základ a také proto, že částka vybíraná za osobu a den je zcela neúměrná poskytovaným službám.</w:t>
      </w:r>
    </w:p>
    <w:p w:rsidR="00BF19F5" w:rsidRPr="00B1247D" w:rsidRDefault="00BF19F5">
      <w:pPr>
        <w:rPr>
          <w:lang w:val="cs-CZ"/>
        </w:rPr>
      </w:pPr>
    </w:p>
    <w:sectPr w:rsidR="00BF19F5" w:rsidRPr="00B1247D" w:rsidSect="00BF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BA" w:rsidRDefault="001970BA" w:rsidP="00B1247D">
      <w:pPr>
        <w:spacing w:after="0" w:line="240" w:lineRule="auto"/>
      </w:pPr>
      <w:r>
        <w:separator/>
      </w:r>
    </w:p>
  </w:endnote>
  <w:endnote w:type="continuationSeparator" w:id="0">
    <w:p w:rsidR="001970BA" w:rsidRDefault="001970BA" w:rsidP="00B1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BA" w:rsidRDefault="001970BA" w:rsidP="00B1247D">
      <w:pPr>
        <w:spacing w:after="0" w:line="240" w:lineRule="auto"/>
      </w:pPr>
      <w:r>
        <w:separator/>
      </w:r>
    </w:p>
  </w:footnote>
  <w:footnote w:type="continuationSeparator" w:id="0">
    <w:p w:rsidR="001970BA" w:rsidRDefault="001970BA" w:rsidP="00B1247D">
      <w:pPr>
        <w:spacing w:after="0" w:line="240" w:lineRule="auto"/>
      </w:pPr>
      <w:r>
        <w:continuationSeparator/>
      </w:r>
    </w:p>
  </w:footnote>
  <w:footnote w:id="1">
    <w:p w:rsidR="00B1247D" w:rsidRPr="003821A2" w:rsidRDefault="00B1247D" w:rsidP="00B1247D">
      <w:pPr>
        <w:pStyle w:val="Textpoznpodarou"/>
        <w:jc w:val="both"/>
        <w:rPr>
          <w:lang w:val="cs-CZ"/>
        </w:rPr>
      </w:pPr>
      <w:r w:rsidRPr="003821A2">
        <w:rPr>
          <w:rStyle w:val="Znakapoznpodarou"/>
          <w:lang w:val="cs-CZ"/>
        </w:rPr>
        <w:footnoteRef/>
      </w:r>
      <w:r w:rsidRPr="003821A2">
        <w:rPr>
          <w:lang w:val="cs-CZ"/>
        </w:rPr>
        <w:t xml:space="preserve"> Nařízení Evropského parlamentu a Rady (EU) č. 604/2013 ze dne 26. Června 2013, kterým se stanoví kritéria a postupy pro určení členského státu příslušného k posuzování žádosti o mezinárodní ochranu podané státním příslušníkem třetí země nebo osobou bez státní příslušnosti v některém z členských států.</w:t>
      </w:r>
    </w:p>
  </w:footnote>
  <w:footnote w:id="2">
    <w:p w:rsidR="00B1247D" w:rsidRPr="003821A2" w:rsidRDefault="00B1247D" w:rsidP="00B1247D">
      <w:pPr>
        <w:pStyle w:val="Textpoznpodarou"/>
        <w:jc w:val="both"/>
        <w:rPr>
          <w:lang w:val="cs-CZ"/>
        </w:rPr>
      </w:pPr>
      <w:r w:rsidRPr="003821A2">
        <w:rPr>
          <w:rStyle w:val="Znakapoznpodarou"/>
          <w:lang w:val="cs-CZ"/>
        </w:rPr>
        <w:footnoteRef/>
      </w:r>
      <w:r w:rsidRPr="003821A2">
        <w:rPr>
          <w:lang w:val="cs-CZ"/>
        </w:rPr>
        <w:t xml:space="preserve"> Směrnice</w:t>
      </w:r>
      <w:r>
        <w:rPr>
          <w:lang w:val="cs-CZ"/>
        </w:rPr>
        <w:t xml:space="preserve"> </w:t>
      </w:r>
      <w:r w:rsidRPr="003821A2">
        <w:rPr>
          <w:lang w:val="cs-CZ"/>
        </w:rPr>
        <w:t>Evropského parlamentu a Rady2008/115/ES</w:t>
      </w:r>
      <w:r>
        <w:rPr>
          <w:lang w:val="cs-CZ"/>
        </w:rPr>
        <w:t xml:space="preserve"> </w:t>
      </w:r>
      <w:r w:rsidRPr="003821A2">
        <w:rPr>
          <w:lang w:val="cs-CZ"/>
        </w:rPr>
        <w:t>ze dne 16. prosince 2008o společných normách a postupech v členských státech při navracení neoprávněně pobývajících státních příslušníků třetích zemí</w:t>
      </w:r>
      <w:r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B6"/>
    <w:multiLevelType w:val="hybridMultilevel"/>
    <w:tmpl w:val="2FAAF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6875"/>
    <w:multiLevelType w:val="hybridMultilevel"/>
    <w:tmpl w:val="3F30A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82E7B"/>
    <w:multiLevelType w:val="hybridMultilevel"/>
    <w:tmpl w:val="F0F47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47D"/>
    <w:rsid w:val="001970BA"/>
    <w:rsid w:val="00B1247D"/>
    <w:rsid w:val="00B44E93"/>
    <w:rsid w:val="00BF19F5"/>
    <w:rsid w:val="00C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24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47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4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247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2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4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47D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47D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1290</Words>
  <Characters>7615</Characters>
  <Application>Microsoft Office Word</Application>
  <DocSecurity>0</DocSecurity>
  <Lines>63</Lines>
  <Paragraphs>17</Paragraphs>
  <ScaleCrop>false</ScaleCrop>
  <Company>HP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Studecká Kateřina</cp:lastModifiedBy>
  <cp:revision>3</cp:revision>
  <dcterms:created xsi:type="dcterms:W3CDTF">2015-09-16T09:35:00Z</dcterms:created>
  <dcterms:modified xsi:type="dcterms:W3CDTF">2015-09-17T07:47:00Z</dcterms:modified>
</cp:coreProperties>
</file>