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14FC" w14:textId="6C3AAED4" w:rsidR="0078246A" w:rsidRPr="00C56937" w:rsidRDefault="0078246A" w:rsidP="0078246A">
      <w:pPr>
        <w:tabs>
          <w:tab w:val="left" w:pos="851"/>
        </w:tabs>
        <w:spacing w:before="2800" w:after="60"/>
        <w:jc w:val="center"/>
        <w:rPr>
          <w:b/>
          <w:color w:val="17365D"/>
          <w:sz w:val="60"/>
          <w:u w:val="single"/>
        </w:rPr>
      </w:pPr>
      <w:r>
        <w:rPr>
          <w:b/>
          <w:color w:val="17365D"/>
          <w:sz w:val="60"/>
          <w:u w:val="single"/>
        </w:rPr>
        <w:t>Analytické v</w:t>
      </w:r>
      <w:r w:rsidRPr="00C56937">
        <w:rPr>
          <w:b/>
          <w:color w:val="17365D"/>
          <w:sz w:val="60"/>
          <w:u w:val="single"/>
        </w:rPr>
        <w:t xml:space="preserve">yhodnocení plnění národních cílů </w:t>
      </w:r>
      <w:r w:rsidR="006D4A15">
        <w:rPr>
          <w:b/>
          <w:color w:val="17365D"/>
          <w:sz w:val="60"/>
          <w:u w:val="single"/>
        </w:rPr>
        <w:br/>
      </w:r>
      <w:r w:rsidRPr="00C56937">
        <w:rPr>
          <w:b/>
          <w:color w:val="17365D"/>
          <w:sz w:val="60"/>
          <w:u w:val="single"/>
        </w:rPr>
        <w:t>strategie Evropa 2020</w:t>
      </w:r>
      <w:bookmarkStart w:id="0" w:name="_GoBack"/>
      <w:bookmarkEnd w:id="0"/>
    </w:p>
    <w:p w14:paraId="0801F240" w14:textId="77777777" w:rsidR="0078246A" w:rsidRDefault="0078246A" w:rsidP="0078246A">
      <w:pPr>
        <w:tabs>
          <w:tab w:val="left" w:pos="851"/>
        </w:tabs>
        <w:spacing w:after="60"/>
        <w:jc w:val="center"/>
        <w:rPr>
          <w:b/>
          <w:i/>
          <w:color w:val="17365D"/>
          <w:sz w:val="32"/>
          <w:szCs w:val="32"/>
        </w:rPr>
      </w:pPr>
    </w:p>
    <w:p w14:paraId="4DB7278A" w14:textId="77777777" w:rsidR="0078246A" w:rsidRDefault="0078246A" w:rsidP="0078246A">
      <w:pPr>
        <w:tabs>
          <w:tab w:val="left" w:pos="851"/>
        </w:tabs>
        <w:spacing w:after="60"/>
        <w:jc w:val="center"/>
        <w:rPr>
          <w:b/>
          <w:i/>
          <w:color w:val="17365D"/>
          <w:sz w:val="32"/>
          <w:szCs w:val="32"/>
        </w:rPr>
      </w:pPr>
    </w:p>
    <w:p w14:paraId="0674AC02" w14:textId="0D56CC67" w:rsidR="0078246A" w:rsidRPr="00C56937" w:rsidRDefault="0078246A" w:rsidP="0078246A">
      <w:pPr>
        <w:tabs>
          <w:tab w:val="left" w:pos="851"/>
        </w:tabs>
        <w:spacing w:after="60"/>
        <w:jc w:val="center"/>
        <w:rPr>
          <w:b/>
          <w:i/>
          <w:color w:val="17365D"/>
          <w:sz w:val="32"/>
          <w:szCs w:val="32"/>
        </w:rPr>
      </w:pPr>
    </w:p>
    <w:p w14:paraId="44F77828" w14:textId="6DF8E983" w:rsidR="008F1157" w:rsidRDefault="008F1157"/>
    <w:p w14:paraId="64C96F8B" w14:textId="303673CB" w:rsidR="0078246A" w:rsidRDefault="0078246A"/>
    <w:p w14:paraId="3404F296" w14:textId="3CDB350A" w:rsidR="00940AD4" w:rsidRDefault="00940AD4"/>
    <w:p w14:paraId="408EA496" w14:textId="3B4CF42C" w:rsidR="00940AD4" w:rsidRDefault="00940AD4"/>
    <w:p w14:paraId="1240021F" w14:textId="3C9E1356" w:rsidR="00940AD4" w:rsidRDefault="00940AD4"/>
    <w:p w14:paraId="1758AD4D" w14:textId="3FFD1B65" w:rsidR="00940AD4" w:rsidRDefault="00940AD4"/>
    <w:p w14:paraId="6C10C2E9" w14:textId="5A1260F3" w:rsidR="00940AD4" w:rsidRDefault="00940AD4"/>
    <w:p w14:paraId="0E1E314F" w14:textId="37564DCF" w:rsidR="00940AD4" w:rsidRDefault="00940AD4"/>
    <w:p w14:paraId="04F3DB30" w14:textId="1A2C83E0" w:rsidR="00940AD4" w:rsidRDefault="00940AD4"/>
    <w:p w14:paraId="38CBEE22" w14:textId="027B6C51" w:rsidR="00940AD4" w:rsidRDefault="00940AD4"/>
    <w:p w14:paraId="53F70A5C" w14:textId="47554856" w:rsidR="00940AD4" w:rsidRDefault="00940AD4"/>
    <w:p w14:paraId="2DC4DEB7" w14:textId="5B7CBF90" w:rsidR="00940AD4" w:rsidRDefault="00940AD4"/>
    <w:p w14:paraId="58D6C2A8" w14:textId="2DCDE71D" w:rsidR="00940AD4" w:rsidRDefault="00940AD4"/>
    <w:p w14:paraId="27F7457B" w14:textId="5D8F734E" w:rsidR="00940AD4" w:rsidRDefault="00940AD4"/>
    <w:p w14:paraId="1EC91F9C" w14:textId="63474E8D" w:rsidR="0078246A" w:rsidRDefault="00940AD4">
      <w:pPr>
        <w:spacing w:after="160" w:line="259" w:lineRule="auto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922C3E" wp14:editId="237F458A">
            <wp:simplePos x="0" y="0"/>
            <wp:positionH relativeFrom="margin">
              <wp:posOffset>1938596</wp:posOffset>
            </wp:positionH>
            <wp:positionV relativeFrom="paragraph">
              <wp:posOffset>402590</wp:posOffset>
            </wp:positionV>
            <wp:extent cx="1818005" cy="557530"/>
            <wp:effectExtent l="0" t="0" r="0" b="0"/>
            <wp:wrapTight wrapText="bothSides">
              <wp:wrapPolygon edited="0">
                <wp:start x="0" y="0"/>
                <wp:lineTo x="0" y="20665"/>
                <wp:lineTo x="21276" y="20665"/>
                <wp:lineTo x="21276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6A">
        <w:br w:type="page"/>
      </w:r>
    </w:p>
    <w:bookmarkStart w:id="1" w:name="_Toc74145491" w:displacedByCustomXml="next"/>
    <w:bookmarkStart w:id="2" w:name="_Toc55915911" w:displacedByCustomXml="next"/>
    <w:bookmarkStart w:id="3" w:name="_Toc56755565" w:displacedByCustomXml="next"/>
    <w:bookmarkStart w:id="4" w:name="_Toc58485949" w:displacedByCustomXml="next"/>
    <w:sdt>
      <w:sdtPr>
        <w:rPr>
          <w:rFonts w:ascii="Times New Roman" w:hAnsi="Times New Roman"/>
          <w:b w:val="0"/>
          <w:color w:val="000000"/>
          <w:sz w:val="22"/>
          <w:szCs w:val="24"/>
          <w:lang w:val="cs-CZ" w:eastAsia="cs-CZ"/>
        </w:rPr>
        <w:id w:val="101304822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End w:id="1" w:displacedByCustomXml="prev"/>
        <w:p w14:paraId="021431F4" w14:textId="256FDB39" w:rsidR="00DC575F" w:rsidRPr="009B55AE" w:rsidRDefault="00DC575F" w:rsidP="00DC575F">
          <w:pPr>
            <w:pStyle w:val="Nadpisobsahu"/>
            <w:numPr>
              <w:ilvl w:val="0"/>
              <w:numId w:val="0"/>
            </w:numPr>
          </w:pPr>
        </w:p>
        <w:p w14:paraId="7F03B116" w14:textId="3FE41CF8" w:rsidR="009B55AE" w:rsidRPr="009B55AE" w:rsidRDefault="009B55AE">
          <w:pPr>
            <w:pStyle w:val="Obsah1"/>
            <w:tabs>
              <w:tab w:val="right" w:leader="dot" w:pos="9062"/>
            </w:tabs>
            <w:rPr>
              <w:b/>
            </w:rPr>
          </w:pPr>
          <w:r w:rsidRPr="009B55AE">
            <w:rPr>
              <w:b/>
            </w:rPr>
            <w:t xml:space="preserve">Obsah </w:t>
          </w:r>
        </w:p>
        <w:p w14:paraId="29D66CBB" w14:textId="7C561B4C" w:rsidR="009B55AE" w:rsidRDefault="00DC575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55272" w:history="1">
            <w:r w:rsidR="009B55AE" w:rsidRPr="006F477C">
              <w:rPr>
                <w:rStyle w:val="Hypertextovodkaz"/>
                <w:noProof/>
              </w:rPr>
              <w:t>Úvod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_Toc74655272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 w:rsidR="00EA58E0">
              <w:rPr>
                <w:noProof/>
                <w:webHidden/>
              </w:rPr>
              <w:t>3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22161DA6" w14:textId="3393CF18" w:rsidR="009B55AE" w:rsidRDefault="00EA58E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3" w:history="1">
            <w:r w:rsidR="009B55AE" w:rsidRPr="006F477C">
              <w:rPr>
                <w:rStyle w:val="Hypertextovodkaz"/>
                <w:noProof/>
              </w:rPr>
              <w:t>Plnění cílů strategie Evropa 2020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_Toc74655273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457C295E" w14:textId="70D131A7" w:rsidR="009B55AE" w:rsidRDefault="00EA58E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4" w:history="1">
            <w:r w:rsidR="009B55AE" w:rsidRPr="006F477C">
              <w:rPr>
                <w:rStyle w:val="Hypertextovodkaz"/>
                <w:noProof/>
              </w:rPr>
              <w:t>1. Zaměstnanost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_Toc74655274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474BE09A" w14:textId="306EADD9" w:rsidR="009B55AE" w:rsidRDefault="00EA58E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5" w:history="1">
            <w:r w:rsidR="009B55AE" w:rsidRPr="006F477C">
              <w:rPr>
                <w:rStyle w:val="Hypertextovodkaz"/>
                <w:noProof/>
              </w:rPr>
              <w:t>2. Chudoba a sociální vyloučení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_Toc74655275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44F44B89" w14:textId="039C9109" w:rsidR="009B55AE" w:rsidRDefault="00EA58E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6" w:history="1">
            <w:r w:rsidR="009B55AE" w:rsidRPr="006F477C">
              <w:rPr>
                <w:rStyle w:val="Hypertextovodkaz"/>
                <w:noProof/>
              </w:rPr>
              <w:t>3. Vzdělávání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_Toc74655276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6B02AD92" w14:textId="1FE4531F" w:rsidR="009B55AE" w:rsidRDefault="00EA58E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7" w:history="1">
            <w:r w:rsidR="009B55AE" w:rsidRPr="006F477C">
              <w:rPr>
                <w:rStyle w:val="Hypertextovodkaz"/>
                <w:noProof/>
              </w:rPr>
              <w:t>4. Výzkum, vývoj a inovace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_Toc74655277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60C99BF8" w14:textId="10E36FDB" w:rsidR="009B55AE" w:rsidRDefault="00EA58E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74655278" w:history="1">
            <w:r w:rsidR="009B55AE" w:rsidRPr="006F477C">
              <w:rPr>
                <w:rStyle w:val="Hypertextovodkaz"/>
                <w:noProof/>
              </w:rPr>
              <w:t>5. Klimaticko-energetická politika</w:t>
            </w:r>
            <w:r w:rsidR="009B55AE">
              <w:rPr>
                <w:noProof/>
                <w:webHidden/>
              </w:rPr>
              <w:tab/>
            </w:r>
            <w:r w:rsidR="009B55AE">
              <w:rPr>
                <w:noProof/>
                <w:webHidden/>
              </w:rPr>
              <w:fldChar w:fldCharType="begin"/>
            </w:r>
            <w:r w:rsidR="009B55AE">
              <w:rPr>
                <w:noProof/>
                <w:webHidden/>
              </w:rPr>
              <w:instrText xml:space="preserve"> PAGEREF _Toc74655278 \h </w:instrText>
            </w:r>
            <w:r w:rsidR="009B55AE">
              <w:rPr>
                <w:noProof/>
                <w:webHidden/>
              </w:rPr>
            </w:r>
            <w:r w:rsidR="009B55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B55AE">
              <w:rPr>
                <w:noProof/>
                <w:webHidden/>
              </w:rPr>
              <w:fldChar w:fldCharType="end"/>
            </w:r>
          </w:hyperlink>
        </w:p>
        <w:p w14:paraId="5BCD1A55" w14:textId="1910854C" w:rsidR="00DC575F" w:rsidRDefault="00DC575F">
          <w:r>
            <w:rPr>
              <w:b/>
              <w:bCs/>
            </w:rPr>
            <w:fldChar w:fldCharType="end"/>
          </w:r>
        </w:p>
      </w:sdtContent>
    </w:sdt>
    <w:p w14:paraId="53616ED7" w14:textId="77777777" w:rsidR="00DC575F" w:rsidRDefault="00DC575F">
      <w:pPr>
        <w:spacing w:after="160" w:line="259" w:lineRule="auto"/>
        <w:jc w:val="left"/>
        <w:rPr>
          <w:rFonts w:ascii="Arial" w:hAnsi="Arial"/>
          <w:b/>
          <w:color w:val="17365D"/>
          <w:sz w:val="28"/>
          <w:szCs w:val="30"/>
          <w:lang w:eastAsia="x-none"/>
        </w:rPr>
      </w:pPr>
      <w:r>
        <w:br w:type="page"/>
      </w:r>
    </w:p>
    <w:p w14:paraId="24CE5DAB" w14:textId="10F2F303" w:rsidR="0078246A" w:rsidRPr="003A3EC5" w:rsidRDefault="0078246A" w:rsidP="0078246A">
      <w:pPr>
        <w:pStyle w:val="Nadpisobsahu"/>
        <w:numPr>
          <w:ilvl w:val="0"/>
          <w:numId w:val="0"/>
        </w:numPr>
        <w:rPr>
          <w:lang w:val="cs-CZ"/>
        </w:rPr>
      </w:pPr>
      <w:bookmarkStart w:id="5" w:name="_Toc74655272"/>
      <w:r w:rsidRPr="003A3EC5">
        <w:rPr>
          <w:lang w:val="cs-CZ"/>
        </w:rPr>
        <w:lastRenderedPageBreak/>
        <w:t>Úvod</w:t>
      </w:r>
      <w:bookmarkEnd w:id="5"/>
      <w:bookmarkEnd w:id="3"/>
      <w:bookmarkEnd w:id="2"/>
      <w:r w:rsidRPr="003A3EC5">
        <w:rPr>
          <w:lang w:val="cs-CZ"/>
        </w:rPr>
        <w:t xml:space="preserve"> </w:t>
      </w:r>
      <w:bookmarkEnd w:id="4"/>
    </w:p>
    <w:p w14:paraId="4F760432" w14:textId="7EA07275" w:rsidR="0078246A" w:rsidRPr="00C56937" w:rsidRDefault="0078246A" w:rsidP="000E7CB4">
      <w:pPr>
        <w:pStyle w:val="Normlnweb"/>
        <w:shd w:val="clear" w:color="auto" w:fill="FFFFFF"/>
        <w:spacing w:before="240" w:beforeAutospacing="0" w:after="120" w:afterAutospacing="0" w:line="276" w:lineRule="auto"/>
        <w:jc w:val="both"/>
        <w:rPr>
          <w:color w:val="000000"/>
          <w:sz w:val="22"/>
          <w:szCs w:val="22"/>
        </w:rPr>
      </w:pPr>
      <w:bookmarkStart w:id="6" w:name="h.3znysh7" w:colFirst="0" w:colLast="0"/>
      <w:bookmarkEnd w:id="6"/>
      <w:r w:rsidRPr="003A3EC5">
        <w:rPr>
          <w:color w:val="000000"/>
          <w:sz w:val="22"/>
          <w:szCs w:val="22"/>
        </w:rPr>
        <w:t xml:space="preserve">Strategie Evropa 2020 představovala </w:t>
      </w:r>
      <w:r w:rsidRPr="003A3EC5">
        <w:rPr>
          <w:bCs/>
          <w:sz w:val="22"/>
          <w:szCs w:val="22"/>
        </w:rPr>
        <w:t>hlavní hospodářskou reformní agendu Evropské unie</w:t>
      </w:r>
      <w:r w:rsidR="000610DA">
        <w:rPr>
          <w:bCs/>
          <w:sz w:val="22"/>
          <w:szCs w:val="22"/>
        </w:rPr>
        <w:t xml:space="preserve"> (EU) </w:t>
      </w:r>
      <w:r w:rsidRPr="00B567FB">
        <w:rPr>
          <w:color w:val="000000"/>
          <w:sz w:val="22"/>
          <w:szCs w:val="22"/>
        </w:rPr>
        <w:t xml:space="preserve">s </w:t>
      </w:r>
      <w:r w:rsidRPr="00780CDD">
        <w:rPr>
          <w:color w:val="000000"/>
          <w:sz w:val="22"/>
          <w:szCs w:val="22"/>
        </w:rPr>
        <w:t xml:space="preserve"> horizontem do roku 2020. </w:t>
      </w:r>
      <w:r w:rsidRPr="00C56937">
        <w:rPr>
          <w:color w:val="000000"/>
          <w:sz w:val="22"/>
          <w:szCs w:val="22"/>
        </w:rPr>
        <w:t xml:space="preserve">Proklamovaným cílem i podtitulem strategie </w:t>
      </w:r>
      <w:r w:rsidRPr="00C56937">
        <w:rPr>
          <w:b/>
          <w:i/>
          <w:color w:val="000000"/>
          <w:sz w:val="22"/>
          <w:szCs w:val="22"/>
        </w:rPr>
        <w:t>(</w:t>
      </w:r>
      <w:r w:rsidRPr="00C56937">
        <w:rPr>
          <w:rStyle w:val="Siln"/>
          <w:b w:val="0"/>
          <w:i/>
          <w:color w:val="000000"/>
          <w:sz w:val="22"/>
          <w:szCs w:val="22"/>
          <w:shd w:val="clear" w:color="auto" w:fill="FFFFFF"/>
        </w:rPr>
        <w:t>Strategie pro inteligentní a udržitelný růst podporující začlenění)</w:t>
      </w:r>
      <w:r w:rsidRPr="003A3EC5">
        <w:rPr>
          <w:b/>
          <w:i/>
          <w:color w:val="000000"/>
          <w:sz w:val="22"/>
          <w:szCs w:val="22"/>
        </w:rPr>
        <w:t xml:space="preserve"> </w:t>
      </w:r>
      <w:r w:rsidRPr="003A3EC5">
        <w:rPr>
          <w:color w:val="000000"/>
          <w:sz w:val="22"/>
          <w:szCs w:val="22"/>
        </w:rPr>
        <w:t>bylo dosažení takového hospodářského růstu, jenž bude </w:t>
      </w:r>
      <w:r w:rsidRPr="00B567FB">
        <w:rPr>
          <w:bCs/>
          <w:sz w:val="22"/>
          <w:szCs w:val="22"/>
        </w:rPr>
        <w:t>založen na principech znalostní ekonom</w:t>
      </w:r>
      <w:r w:rsidRPr="00780CDD">
        <w:rPr>
          <w:bCs/>
          <w:sz w:val="22"/>
          <w:szCs w:val="22"/>
        </w:rPr>
        <w:t xml:space="preserve">iky, bude udržitelný a bude podporovat začleňování, a to jak </w:t>
      </w:r>
      <w:r w:rsidR="00106FEA">
        <w:rPr>
          <w:bCs/>
          <w:sz w:val="22"/>
          <w:szCs w:val="22"/>
        </w:rPr>
        <w:t xml:space="preserve">v dimenzi </w:t>
      </w:r>
      <w:r w:rsidRPr="00780CDD">
        <w:rPr>
          <w:bCs/>
          <w:sz w:val="22"/>
          <w:szCs w:val="22"/>
        </w:rPr>
        <w:t>sociální, tak územní.</w:t>
      </w:r>
      <w:r w:rsidRPr="00780CDD">
        <w:rPr>
          <w:color w:val="000000"/>
          <w:sz w:val="22"/>
          <w:szCs w:val="22"/>
        </w:rPr>
        <w:t> Z podstaty s</w:t>
      </w:r>
      <w:r w:rsidRPr="00C56937">
        <w:rPr>
          <w:color w:val="000000"/>
          <w:sz w:val="22"/>
          <w:szCs w:val="22"/>
        </w:rPr>
        <w:t>trategie jako hlavní hospodářské strategie EU uplyn</w:t>
      </w:r>
      <w:r w:rsidR="00106FEA">
        <w:rPr>
          <w:color w:val="000000"/>
          <w:sz w:val="22"/>
          <w:szCs w:val="22"/>
        </w:rPr>
        <w:t xml:space="preserve">ulých deseti let vyplývá, že </w:t>
      </w:r>
      <w:r w:rsidRPr="00C56937">
        <w:rPr>
          <w:color w:val="000000"/>
          <w:sz w:val="22"/>
          <w:szCs w:val="22"/>
        </w:rPr>
        <w:t xml:space="preserve">tato strategie </w:t>
      </w:r>
      <w:r w:rsidR="00106FEA">
        <w:rPr>
          <w:color w:val="000000"/>
          <w:sz w:val="22"/>
          <w:szCs w:val="22"/>
        </w:rPr>
        <w:t>ovlivňovala</w:t>
      </w:r>
      <w:r w:rsidRPr="00C56937">
        <w:rPr>
          <w:color w:val="000000"/>
          <w:sz w:val="22"/>
          <w:szCs w:val="22"/>
        </w:rPr>
        <w:t xml:space="preserve"> výrazné části sektorových politik. </w:t>
      </w:r>
    </w:p>
    <w:p w14:paraId="7D8BE0FB" w14:textId="2E781821" w:rsidR="0078246A" w:rsidRPr="00C56937" w:rsidRDefault="0078246A" w:rsidP="0078246A">
      <w:pPr>
        <w:pStyle w:val="Normlnweb"/>
        <w:spacing w:before="0" w:beforeAutospacing="0" w:after="120" w:afterAutospacing="0" w:line="276" w:lineRule="auto"/>
        <w:jc w:val="both"/>
        <w:rPr>
          <w:color w:val="333333"/>
          <w:sz w:val="22"/>
          <w:szCs w:val="22"/>
        </w:rPr>
      </w:pPr>
      <w:r w:rsidRPr="00C56937">
        <w:rPr>
          <w:color w:val="000000"/>
          <w:sz w:val="22"/>
          <w:szCs w:val="22"/>
        </w:rPr>
        <w:t>Strategii Evropa 2020 představ</w:t>
      </w:r>
      <w:r w:rsidR="00106FEA">
        <w:rPr>
          <w:color w:val="000000"/>
          <w:sz w:val="22"/>
          <w:szCs w:val="22"/>
        </w:rPr>
        <w:t xml:space="preserve">ila EK dne </w:t>
      </w:r>
      <w:r w:rsidR="002F1D0A">
        <w:rPr>
          <w:color w:val="000000"/>
          <w:sz w:val="22"/>
          <w:szCs w:val="22"/>
        </w:rPr>
        <w:t>3. 3. 2010</w:t>
      </w:r>
      <w:r w:rsidRPr="00C56937">
        <w:rPr>
          <w:color w:val="000000"/>
          <w:sz w:val="22"/>
          <w:szCs w:val="22"/>
        </w:rPr>
        <w:t>.</w:t>
      </w:r>
      <w:r w:rsidRPr="003A3EC5">
        <w:rPr>
          <w:rStyle w:val="Znakapoznpodarou"/>
          <w:color w:val="000000"/>
          <w:sz w:val="22"/>
          <w:szCs w:val="22"/>
        </w:rPr>
        <w:footnoteReference w:id="1"/>
      </w:r>
      <w:r w:rsidRPr="003A3EC5">
        <w:rPr>
          <w:color w:val="000000"/>
          <w:sz w:val="22"/>
          <w:szCs w:val="22"/>
        </w:rPr>
        <w:t xml:space="preserve"> S ohledem na konzultace s EK o podobě národních cílů ČR, na závazky </w:t>
      </w:r>
      <w:r w:rsidR="000610DA">
        <w:rPr>
          <w:color w:val="000000"/>
          <w:sz w:val="22"/>
          <w:szCs w:val="22"/>
        </w:rPr>
        <w:t xml:space="preserve">již </w:t>
      </w:r>
      <w:r w:rsidRPr="003A3EC5">
        <w:rPr>
          <w:color w:val="000000"/>
          <w:sz w:val="22"/>
          <w:szCs w:val="22"/>
        </w:rPr>
        <w:t>plynoucí ze </w:t>
      </w:r>
      <w:hyperlink r:id="rId9" w:history="1">
        <w:r w:rsidRPr="00C56937">
          <w:rPr>
            <w:color w:val="000000"/>
            <w:sz w:val="22"/>
            <w:szCs w:val="22"/>
          </w:rPr>
          <w:t>závěrů Evropské rady ze dne 26. 3. 2010</w:t>
        </w:r>
      </w:hyperlink>
      <w:r w:rsidRPr="003A3EC5">
        <w:rPr>
          <w:color w:val="000000"/>
          <w:sz w:val="22"/>
          <w:szCs w:val="22"/>
        </w:rPr>
        <w:t xml:space="preserve"> </w:t>
      </w:r>
      <w:r w:rsidRPr="00780CDD">
        <w:rPr>
          <w:color w:val="000000"/>
          <w:sz w:val="22"/>
          <w:szCs w:val="22"/>
        </w:rPr>
        <w:t>a s </w:t>
      </w:r>
      <w:r w:rsidRPr="00C56937">
        <w:rPr>
          <w:color w:val="000000"/>
          <w:sz w:val="22"/>
          <w:szCs w:val="22"/>
        </w:rPr>
        <w:t>p</w:t>
      </w:r>
      <w:r w:rsidR="000610DA">
        <w:rPr>
          <w:color w:val="000000"/>
          <w:sz w:val="22"/>
          <w:szCs w:val="22"/>
        </w:rPr>
        <w:t>řihlédnutím k domácí ekonomické</w:t>
      </w:r>
      <w:r w:rsidRPr="00C56937">
        <w:rPr>
          <w:color w:val="000000"/>
          <w:sz w:val="22"/>
          <w:szCs w:val="22"/>
        </w:rPr>
        <w:t xml:space="preserve">, sociální a politické situaci a </w:t>
      </w:r>
      <w:r w:rsidR="000610DA">
        <w:rPr>
          <w:color w:val="000000"/>
          <w:sz w:val="22"/>
          <w:szCs w:val="22"/>
        </w:rPr>
        <w:t xml:space="preserve">k </w:t>
      </w:r>
      <w:r w:rsidRPr="00C56937">
        <w:rPr>
          <w:color w:val="000000"/>
          <w:sz w:val="22"/>
          <w:szCs w:val="22"/>
        </w:rPr>
        <w:t>jednáním na půdě tripartity, schválila vláda dne 7. 6. 2010 některé </w:t>
      </w:r>
      <w:r w:rsidRPr="00C56937">
        <w:rPr>
          <w:bCs/>
          <w:sz w:val="22"/>
          <w:szCs w:val="22"/>
        </w:rPr>
        <w:t>kvantifikované národní hlavní cíle a podcíle strategie Evropa 2020.</w:t>
      </w:r>
      <w:r w:rsidRPr="00C56937">
        <w:rPr>
          <w:color w:val="000000"/>
          <w:sz w:val="22"/>
          <w:szCs w:val="22"/>
        </w:rPr>
        <w:t xml:space="preserve"> Tyto cíle byly následně rozšířeny dne 1. 9. 2010, kdy vládní </w:t>
      </w:r>
      <w:hyperlink r:id="rId10" w:history="1">
        <w:r w:rsidRPr="000610DA">
          <w:rPr>
            <w:i/>
            <w:color w:val="000000"/>
            <w:sz w:val="22"/>
            <w:szCs w:val="22"/>
          </w:rPr>
          <w:t>Výbor pro Evropskou unii</w:t>
        </w:r>
      </w:hyperlink>
      <w:r w:rsidRPr="003A3EC5">
        <w:rPr>
          <w:color w:val="000000"/>
          <w:sz w:val="22"/>
          <w:szCs w:val="22"/>
        </w:rPr>
        <w:t xml:space="preserve"> schválil národní cíl v oblasti sociálního začleňování a snížení chudoby</w:t>
      </w:r>
      <w:r w:rsidRPr="00C56937">
        <w:rPr>
          <w:color w:val="000000"/>
          <w:sz w:val="22"/>
          <w:szCs w:val="22"/>
        </w:rPr>
        <w:t xml:space="preserve">. Dne 17. 6. 2010 došlo k finálnímu schválení strategie Evropa 2020, kdy bylo potvrzeno všech 5 hlavních cílů pro EU jako celek. Konkrétně šlo o dosažení: </w:t>
      </w:r>
    </w:p>
    <w:p w14:paraId="7A42EFD2" w14:textId="77777777" w:rsidR="0078246A" w:rsidRPr="00780CDD" w:rsidRDefault="0078246A" w:rsidP="000610DA">
      <w:pPr>
        <w:numPr>
          <w:ilvl w:val="0"/>
          <w:numId w:val="2"/>
        </w:numPr>
        <w:spacing w:after="0"/>
        <w:ind w:left="714" w:hanging="357"/>
      </w:pPr>
      <w:r w:rsidRPr="00780CDD">
        <w:t>75 % zaměstnanosti obyvatelstva ve věku od 20 do 64 let;</w:t>
      </w:r>
    </w:p>
    <w:p w14:paraId="74F74831" w14:textId="1DF2B70D" w:rsidR="0078246A" w:rsidRPr="00780CDD" w:rsidRDefault="0078246A" w:rsidP="000610DA">
      <w:pPr>
        <w:numPr>
          <w:ilvl w:val="0"/>
          <w:numId w:val="2"/>
        </w:numPr>
        <w:spacing w:after="0"/>
        <w:ind w:left="714" w:hanging="357"/>
      </w:pPr>
      <w:r w:rsidRPr="00780CDD">
        <w:t xml:space="preserve">3 % podílu HDP </w:t>
      </w:r>
      <w:r w:rsidR="000610DA">
        <w:t>EU</w:t>
      </w:r>
      <w:r w:rsidRPr="00780CDD">
        <w:t xml:space="preserve"> být investovaného do výzkumu a vývoje;</w:t>
      </w:r>
    </w:p>
    <w:p w14:paraId="4D997836" w14:textId="599DC037" w:rsidR="0078246A" w:rsidRPr="00C56937" w:rsidRDefault="000610DA" w:rsidP="000610DA">
      <w:pPr>
        <w:numPr>
          <w:ilvl w:val="0"/>
          <w:numId w:val="2"/>
        </w:numPr>
        <w:spacing w:after="0"/>
        <w:ind w:left="714" w:hanging="357"/>
      </w:pPr>
      <w:r>
        <w:t xml:space="preserve">dosažení </w:t>
      </w:r>
      <w:r w:rsidR="0078246A" w:rsidRPr="00C56937">
        <w:t>cílů „20-20-20“ v oblasti klimatu a energie, tedy nížení emisí skleníkových plynů o 20</w:t>
      </w:r>
      <w:r>
        <w:t> </w:t>
      </w:r>
      <w:r w:rsidR="0078246A" w:rsidRPr="00C56937">
        <w:t>% oproti úrovním roku 1990</w:t>
      </w:r>
      <w:r>
        <w:t>;</w:t>
      </w:r>
      <w:r w:rsidR="0078246A" w:rsidRPr="00C56937">
        <w:t xml:space="preserve"> zvýšení podílu energie z</w:t>
      </w:r>
      <w:r>
        <w:t> </w:t>
      </w:r>
      <w:r w:rsidR="0078246A" w:rsidRPr="00C56937">
        <w:t>obnovitelných zdrojů v</w:t>
      </w:r>
      <w:r>
        <w:t> </w:t>
      </w:r>
      <w:r w:rsidR="0078246A" w:rsidRPr="00C56937">
        <w:t>konečné spotřebě energie na 20 %</w:t>
      </w:r>
      <w:r>
        <w:t>;</w:t>
      </w:r>
      <w:r w:rsidR="0078246A" w:rsidRPr="00C56937">
        <w:t xml:space="preserve"> a posun ke zvýšení energetické účinnosti o 20 %;</w:t>
      </w:r>
    </w:p>
    <w:p w14:paraId="13A58590" w14:textId="77777777" w:rsidR="0078246A" w:rsidRPr="00C56937" w:rsidRDefault="0078246A" w:rsidP="000610DA">
      <w:pPr>
        <w:numPr>
          <w:ilvl w:val="0"/>
          <w:numId w:val="2"/>
        </w:numPr>
        <w:spacing w:after="0"/>
        <w:ind w:left="714" w:hanging="357"/>
      </w:pPr>
      <w:r w:rsidRPr="00C56937">
        <w:t>snížení podílu dětí, které předčasně ukončí školní docházku, pod hranicí 10 % a dosažení terciární úrovně vzdělání nejméně u 40 % mladší generace;</w:t>
      </w:r>
    </w:p>
    <w:p w14:paraId="5001A5E6" w14:textId="77777777" w:rsidR="0078246A" w:rsidRPr="00C56937" w:rsidRDefault="0078246A" w:rsidP="000610DA">
      <w:pPr>
        <w:numPr>
          <w:ilvl w:val="0"/>
          <w:numId w:val="2"/>
        </w:numPr>
        <w:spacing w:after="0"/>
        <w:ind w:left="714" w:hanging="357"/>
      </w:pPr>
      <w:r w:rsidRPr="00C56937">
        <w:t>pokles počtu osob ohrožených chudobou o 20 milionů.</w:t>
      </w:r>
    </w:p>
    <w:p w14:paraId="6A46586C" w14:textId="41A338B5" w:rsidR="0078246A" w:rsidRPr="003A3EC5" w:rsidRDefault="000610DA" w:rsidP="0078246A">
      <w:pPr>
        <w:pStyle w:val="Normlnweb"/>
        <w:shd w:val="clear" w:color="auto" w:fill="FFFFFF"/>
        <w:spacing w:before="240" w:beforeAutospacing="0" w:after="120" w:afterAutospacing="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Tyto hlavní cíle byly </w:t>
      </w:r>
      <w:r w:rsidR="0078246A" w:rsidRPr="00C56937">
        <w:rPr>
          <w:color w:val="000000"/>
          <w:sz w:val="22"/>
        </w:rPr>
        <w:t>definovány na základě celoevropského průměru. Jednotlivé </w:t>
      </w:r>
      <w:hyperlink r:id="rId11" w:history="1">
        <w:r w:rsidR="0078246A" w:rsidRPr="003A3EC5">
          <w:rPr>
            <w:color w:val="000000"/>
            <w:sz w:val="22"/>
          </w:rPr>
          <w:t>národní cíle</w:t>
        </w:r>
      </w:hyperlink>
      <w:r w:rsidR="0078246A" w:rsidRPr="003A3EC5">
        <w:rPr>
          <w:color w:val="000000"/>
          <w:sz w:val="22"/>
        </w:rPr>
        <w:t xml:space="preserve"> (tedy také závazky ČR) byly vyjednány individuálně tak, aby odrážely rozdílné podmínky a okolnosti, které v</w:t>
      </w:r>
      <w:r>
        <w:rPr>
          <w:color w:val="000000"/>
          <w:sz w:val="22"/>
        </w:rPr>
        <w:t> </w:t>
      </w:r>
      <w:r w:rsidR="0078246A" w:rsidRPr="003A3EC5">
        <w:rPr>
          <w:color w:val="000000"/>
          <w:sz w:val="22"/>
        </w:rPr>
        <w:t xml:space="preserve">jednotlivých </w:t>
      </w:r>
      <w:r>
        <w:rPr>
          <w:color w:val="000000"/>
          <w:sz w:val="22"/>
        </w:rPr>
        <w:t xml:space="preserve">členských </w:t>
      </w:r>
      <w:r w:rsidR="0078246A" w:rsidRPr="003A3EC5">
        <w:rPr>
          <w:color w:val="000000"/>
          <w:sz w:val="22"/>
        </w:rPr>
        <w:t>státech panovaly.</w:t>
      </w:r>
    </w:p>
    <w:p w14:paraId="3DF10404" w14:textId="77777777" w:rsidR="000610DA" w:rsidRDefault="0078246A" w:rsidP="0078246A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</w:rPr>
      </w:pPr>
      <w:r w:rsidRPr="003A3EC5">
        <w:rPr>
          <w:color w:val="000000"/>
          <w:sz w:val="22"/>
        </w:rPr>
        <w:t>ČR byla v plnění národních cílů strategie Evropa 2020 celkově úspěšná. Většinu národních cílů se podařilo naplnit, v některých případech i</w:t>
      </w:r>
      <w:r w:rsidRPr="00780CDD">
        <w:rPr>
          <w:color w:val="000000"/>
          <w:sz w:val="22"/>
        </w:rPr>
        <w:t xml:space="preserve"> výrazně dříve před rokem 2020, či s relativně velkou rezervou. </w:t>
      </w:r>
    </w:p>
    <w:p w14:paraId="27BB0858" w14:textId="5FBAAB74" w:rsidR="0078246A" w:rsidRPr="00C56937" w:rsidRDefault="00E502EC" w:rsidP="0078246A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Tento dokument představuje analytické vyhodnocení založené na datech a komentovaných grafech</w:t>
      </w:r>
      <w:r w:rsidR="0078246A" w:rsidRPr="00C56937">
        <w:rPr>
          <w:color w:val="000000"/>
          <w:sz w:val="22"/>
        </w:rPr>
        <w:t xml:space="preserve"> týkající</w:t>
      </w:r>
      <w:r>
        <w:rPr>
          <w:color w:val="000000"/>
          <w:sz w:val="22"/>
        </w:rPr>
        <w:t>ch</w:t>
      </w:r>
      <w:r w:rsidR="0078246A" w:rsidRPr="00C56937">
        <w:rPr>
          <w:color w:val="000000"/>
          <w:sz w:val="22"/>
        </w:rPr>
        <w:t xml:space="preserve"> se p</w:t>
      </w:r>
      <w:r>
        <w:rPr>
          <w:color w:val="000000"/>
          <w:sz w:val="22"/>
        </w:rPr>
        <w:t>lnění jednotlivých národních cílů. Materiál byl přípraven</w:t>
      </w:r>
      <w:r w:rsidR="0078246A" w:rsidRPr="00C56937">
        <w:rPr>
          <w:color w:val="000000"/>
          <w:sz w:val="22"/>
        </w:rPr>
        <w:t xml:space="preserve"> Úřadem vlády – Sekcí pro evropské záležitosti ve spolupráci s rezorty, kter</w:t>
      </w:r>
      <w:r w:rsidR="000610DA">
        <w:rPr>
          <w:color w:val="000000"/>
          <w:sz w:val="22"/>
        </w:rPr>
        <w:t>é jsou</w:t>
      </w:r>
      <w:r w:rsidR="0078246A" w:rsidRPr="00C56937">
        <w:rPr>
          <w:color w:val="000000"/>
          <w:sz w:val="22"/>
        </w:rPr>
        <w:t xml:space="preserve"> </w:t>
      </w:r>
      <w:r w:rsidR="000610DA">
        <w:rPr>
          <w:color w:val="000000"/>
          <w:sz w:val="22"/>
        </w:rPr>
        <w:t>k jednotlivým</w:t>
      </w:r>
      <w:r w:rsidR="0078246A" w:rsidRPr="00C56937">
        <w:rPr>
          <w:color w:val="000000"/>
          <w:sz w:val="22"/>
        </w:rPr>
        <w:t xml:space="preserve"> cílů</w:t>
      </w:r>
      <w:r w:rsidR="000610DA">
        <w:rPr>
          <w:color w:val="000000"/>
          <w:sz w:val="22"/>
        </w:rPr>
        <w:t>m</w:t>
      </w:r>
      <w:r w:rsidR="0078246A" w:rsidRPr="00C56937">
        <w:rPr>
          <w:color w:val="000000"/>
          <w:sz w:val="22"/>
        </w:rPr>
        <w:t xml:space="preserve"> gesčně příslušné. Grafy cíleně zahrnují delší časový úsek, takže umožňují posouzení celkového vývoje i s ohledem na střídající se hospodářské cykly.</w:t>
      </w:r>
      <w:r w:rsidR="00CE572D">
        <w:rPr>
          <w:color w:val="000000"/>
          <w:sz w:val="22"/>
        </w:rPr>
        <w:t xml:space="preserve"> Materiál rovněž zohledňuje srovnání s ostatními členskými státy. Ke každé z pěti oblastí je vždy uveden komentovaný přehled národních cílů, které si jednotlivé členské státy stanovily, a také informaci o (ne)plnění těchto cílů. </w:t>
      </w:r>
    </w:p>
    <w:p w14:paraId="4D3BDB07" w14:textId="77777777" w:rsidR="0078246A" w:rsidRDefault="0078246A"/>
    <w:p w14:paraId="0C4E8B31" w14:textId="77777777" w:rsidR="0078246A" w:rsidRDefault="0078246A"/>
    <w:p w14:paraId="3C3E7CA4" w14:textId="77777777" w:rsidR="0078246A" w:rsidRDefault="0078246A"/>
    <w:p w14:paraId="44406F01" w14:textId="77777777" w:rsidR="0078246A" w:rsidRDefault="0078246A"/>
    <w:p w14:paraId="76EF4184" w14:textId="177D8F7A" w:rsidR="0078246A" w:rsidRDefault="0078246A"/>
    <w:p w14:paraId="46F60247" w14:textId="77777777" w:rsidR="000E7CB4" w:rsidRDefault="000E7CB4"/>
    <w:p w14:paraId="53B16215" w14:textId="77777777" w:rsidR="0078246A" w:rsidRPr="00C56937" w:rsidRDefault="0078246A" w:rsidP="0078246A">
      <w:pPr>
        <w:pStyle w:val="Styl1"/>
        <w:numPr>
          <w:ilvl w:val="0"/>
          <w:numId w:val="0"/>
        </w:numPr>
        <w:ind w:left="357"/>
        <w:rPr>
          <w:lang w:val="cs-CZ"/>
        </w:rPr>
      </w:pPr>
      <w:bookmarkStart w:id="7" w:name="_Toc55915912"/>
      <w:bookmarkStart w:id="8" w:name="_Toc56755566"/>
      <w:bookmarkStart w:id="9" w:name="_Toc58485950"/>
      <w:bookmarkStart w:id="10" w:name="_Toc74655273"/>
      <w:r w:rsidRPr="00C56937">
        <w:rPr>
          <w:lang w:val="cs-CZ"/>
        </w:rPr>
        <w:lastRenderedPageBreak/>
        <w:t>Plnění cílů strategie Evropa 2020</w:t>
      </w:r>
      <w:bookmarkEnd w:id="7"/>
      <w:bookmarkEnd w:id="8"/>
      <w:bookmarkEnd w:id="9"/>
      <w:bookmarkEnd w:id="10"/>
      <w:r w:rsidRPr="003A3EC5">
        <w:rPr>
          <w:lang w:val="cs-CZ"/>
        </w:rPr>
        <w:t xml:space="preserve"> </w:t>
      </w:r>
    </w:p>
    <w:p w14:paraId="570CA6A7" w14:textId="1F04435B" w:rsidR="0078246A" w:rsidRPr="003A3EC5" w:rsidRDefault="0078246A" w:rsidP="0078246A">
      <w:pPr>
        <w:pStyle w:val="Titulek"/>
        <w:ind w:left="360"/>
        <w:rPr>
          <w:color w:val="auto"/>
          <w:sz w:val="22"/>
          <w:szCs w:val="22"/>
        </w:rPr>
      </w:pPr>
      <w:bookmarkStart w:id="11" w:name="_Toc450807977"/>
      <w:bookmarkStart w:id="12" w:name="_Toc55915913"/>
      <w:r w:rsidRPr="003A3EC5">
        <w:rPr>
          <w:color w:val="auto"/>
          <w:sz w:val="22"/>
          <w:szCs w:val="22"/>
        </w:rPr>
        <w:t xml:space="preserve">Tabulka </w:t>
      </w:r>
      <w:r w:rsidRPr="00C56937">
        <w:rPr>
          <w:color w:val="auto"/>
          <w:sz w:val="22"/>
          <w:szCs w:val="22"/>
        </w:rPr>
        <w:fldChar w:fldCharType="begin"/>
      </w:r>
      <w:r w:rsidRPr="00C56937">
        <w:rPr>
          <w:color w:val="auto"/>
          <w:sz w:val="22"/>
          <w:szCs w:val="22"/>
        </w:rPr>
        <w:instrText xml:space="preserve"> SEQ Tabulka \* ARABIC </w:instrText>
      </w:r>
      <w:r w:rsidRPr="00C56937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1</w:t>
      </w:r>
      <w:r w:rsidRPr="00C56937">
        <w:rPr>
          <w:color w:val="auto"/>
          <w:sz w:val="22"/>
          <w:szCs w:val="22"/>
        </w:rPr>
        <w:fldChar w:fldCharType="end"/>
      </w:r>
      <w:r w:rsidRPr="003A3EC5">
        <w:rPr>
          <w:color w:val="auto"/>
          <w:sz w:val="22"/>
          <w:szCs w:val="22"/>
        </w:rPr>
        <w:t>: Přehled plnění kvantitativních cílů strategie Evropa 2020</w:t>
      </w:r>
      <w:bookmarkEnd w:id="11"/>
      <w:r w:rsidRPr="003A3EC5">
        <w:rPr>
          <w:color w:val="auto"/>
          <w:sz w:val="22"/>
          <w:szCs w:val="22"/>
        </w:rPr>
        <w:t xml:space="preserve"> (zdroj: ČSÚ, </w:t>
      </w:r>
      <w:proofErr w:type="spellStart"/>
      <w:r w:rsidRPr="003A3EC5">
        <w:rPr>
          <w:color w:val="auto"/>
          <w:sz w:val="22"/>
          <w:szCs w:val="22"/>
        </w:rPr>
        <w:t>Eurostat</w:t>
      </w:r>
      <w:proofErr w:type="spellEnd"/>
      <w:r w:rsidRPr="003A3EC5">
        <w:rPr>
          <w:color w:val="auto"/>
          <w:sz w:val="22"/>
          <w:szCs w:val="22"/>
        </w:rPr>
        <w:t>)</w:t>
      </w:r>
    </w:p>
    <w:tbl>
      <w:tblPr>
        <w:tblW w:w="11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90"/>
        <w:gridCol w:w="4252"/>
        <w:gridCol w:w="1559"/>
        <w:gridCol w:w="1843"/>
        <w:gridCol w:w="1843"/>
      </w:tblGrid>
      <w:tr w:rsidR="0078246A" w:rsidRPr="00C56937" w14:paraId="625BA04C" w14:textId="77777777" w:rsidTr="009D7CFF">
        <w:trPr>
          <w:trHeight w:val="780"/>
          <w:jc w:val="center"/>
        </w:trPr>
        <w:tc>
          <w:tcPr>
            <w:tcW w:w="1790" w:type="dxa"/>
            <w:shd w:val="clear" w:color="auto" w:fill="002060"/>
            <w:vAlign w:val="center"/>
          </w:tcPr>
          <w:p w14:paraId="1B624B82" w14:textId="77777777" w:rsidR="0078246A" w:rsidRPr="003A3EC5" w:rsidRDefault="0078246A" w:rsidP="009D7CFF">
            <w:pPr>
              <w:spacing w:line="40" w:lineRule="atLeast"/>
              <w:contextualSpacing/>
              <w:jc w:val="center"/>
              <w:rPr>
                <w:color w:val="FFFFFF"/>
                <w:sz w:val="20"/>
                <w:szCs w:val="20"/>
              </w:rPr>
            </w:pPr>
            <w:bookmarkStart w:id="13" w:name="h.26in1rg" w:colFirst="0" w:colLast="0"/>
            <w:bookmarkEnd w:id="13"/>
            <w:r w:rsidRPr="003A3EC5">
              <w:rPr>
                <w:b/>
                <w:color w:val="FFFFFF"/>
                <w:sz w:val="20"/>
                <w:szCs w:val="20"/>
              </w:rPr>
              <w:t>Oblast</w:t>
            </w:r>
          </w:p>
        </w:tc>
        <w:tc>
          <w:tcPr>
            <w:tcW w:w="4252" w:type="dxa"/>
            <w:shd w:val="clear" w:color="auto" w:fill="002060"/>
            <w:vAlign w:val="center"/>
          </w:tcPr>
          <w:p w14:paraId="24F770DA" w14:textId="77777777" w:rsidR="0078246A" w:rsidRPr="003A3EC5" w:rsidRDefault="0078246A" w:rsidP="009D7CFF">
            <w:pPr>
              <w:spacing w:line="40" w:lineRule="atLeast"/>
              <w:contextualSpacing/>
              <w:jc w:val="center"/>
              <w:rPr>
                <w:color w:val="FFFFFF"/>
                <w:sz w:val="20"/>
                <w:szCs w:val="20"/>
              </w:rPr>
            </w:pPr>
            <w:r w:rsidRPr="003A3EC5">
              <w:rPr>
                <w:b/>
                <w:color w:val="FFFFFF"/>
                <w:sz w:val="20"/>
                <w:szCs w:val="20"/>
              </w:rPr>
              <w:t>Národní cíl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43B11EA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color w:val="FFFFFF"/>
                <w:sz w:val="20"/>
                <w:szCs w:val="20"/>
              </w:rPr>
            </w:pPr>
            <w:r w:rsidRPr="00780CDD">
              <w:rPr>
                <w:b/>
                <w:color w:val="FFFFFF"/>
                <w:sz w:val="20"/>
                <w:szCs w:val="20"/>
              </w:rPr>
              <w:t xml:space="preserve">Referenční hodnota </w:t>
            </w:r>
            <w:r w:rsidRPr="00780CDD">
              <w:rPr>
                <w:color w:val="FFFFFF"/>
                <w:sz w:val="20"/>
                <w:szCs w:val="20"/>
              </w:rPr>
              <w:t xml:space="preserve">(referenční </w:t>
            </w:r>
            <w:r w:rsidRPr="00C56937">
              <w:rPr>
                <w:color w:val="FFFFFF"/>
                <w:sz w:val="20"/>
                <w:szCs w:val="20"/>
              </w:rPr>
              <w:t>rok)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7CF0F29B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color w:val="FFFFFF"/>
                <w:sz w:val="20"/>
                <w:szCs w:val="20"/>
              </w:rPr>
            </w:pPr>
            <w:r w:rsidRPr="00C56937">
              <w:rPr>
                <w:b/>
                <w:color w:val="FFFFFF"/>
                <w:sz w:val="20"/>
                <w:szCs w:val="20"/>
              </w:rPr>
              <w:t xml:space="preserve">Aktuální stav plnění </w:t>
            </w:r>
            <w:r w:rsidRPr="00C56937">
              <w:rPr>
                <w:color w:val="FFFFFF"/>
                <w:sz w:val="20"/>
                <w:szCs w:val="20"/>
              </w:rPr>
              <w:t>(k jakému období)</w:t>
            </w:r>
          </w:p>
        </w:tc>
        <w:tc>
          <w:tcPr>
            <w:tcW w:w="1843" w:type="dxa"/>
            <w:shd w:val="clear" w:color="auto" w:fill="002060"/>
          </w:tcPr>
          <w:p w14:paraId="429828A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b/>
                <w:color w:val="FFFFFF"/>
                <w:sz w:val="20"/>
                <w:szCs w:val="20"/>
              </w:rPr>
            </w:pPr>
            <w:r w:rsidRPr="00C56937">
              <w:rPr>
                <w:b/>
                <w:color w:val="FFFFFF"/>
                <w:sz w:val="20"/>
                <w:szCs w:val="20"/>
              </w:rPr>
              <w:t xml:space="preserve">Aktuální stav plněné </w:t>
            </w:r>
            <w:r w:rsidRPr="00C56937">
              <w:rPr>
                <w:color w:val="FFFFFF"/>
                <w:sz w:val="20"/>
                <w:szCs w:val="20"/>
              </w:rPr>
              <w:t>(ano/ne)</w:t>
            </w:r>
          </w:p>
        </w:tc>
      </w:tr>
      <w:tr w:rsidR="0078246A" w:rsidRPr="00C56937" w14:paraId="4296572E" w14:textId="77777777" w:rsidTr="009D7CFF">
        <w:trPr>
          <w:trHeight w:val="100"/>
          <w:jc w:val="center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70216E74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1. Zaměstnanost</w:t>
            </w:r>
          </w:p>
          <w:p w14:paraId="4D975917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241B86C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Zvýšení celkové míry zaměstnanosti osob ve věku 20-64 let na 75 %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CE4BE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70,4 % (2010)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0413D" w14:textId="2303DD84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1A039083" w14:textId="4C730554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(Q4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843" w:type="dxa"/>
          </w:tcPr>
          <w:p w14:paraId="15CBB2C8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52B5311E" w14:textId="77777777" w:rsidTr="009D7CFF">
        <w:trPr>
          <w:trHeight w:val="100"/>
          <w:jc w:val="center"/>
        </w:trPr>
        <w:tc>
          <w:tcPr>
            <w:tcW w:w="1790" w:type="dxa"/>
            <w:vMerge/>
            <w:shd w:val="clear" w:color="auto" w:fill="auto"/>
            <w:vAlign w:val="center"/>
          </w:tcPr>
          <w:p w14:paraId="1C9B6637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0AD120B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Zvýšení míry zaměstnanosti žen (20-64 let) na 65 %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9DD1A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60,9 % (2010)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4159F" w14:textId="0E7387AC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71,7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0C7E532D" w14:textId="51F6DBB1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(Q4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843" w:type="dxa"/>
          </w:tcPr>
          <w:p w14:paraId="654993BA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4C80B2A7" w14:textId="77777777" w:rsidTr="009D7CFF">
        <w:trPr>
          <w:trHeight w:val="100"/>
          <w:jc w:val="center"/>
        </w:trPr>
        <w:tc>
          <w:tcPr>
            <w:tcW w:w="1790" w:type="dxa"/>
            <w:vMerge/>
            <w:shd w:val="clear" w:color="auto" w:fill="auto"/>
            <w:vAlign w:val="center"/>
          </w:tcPr>
          <w:p w14:paraId="0C2A30FB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9A5C1EF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Zvýšení míry zaměstnanosti starších osob (55-64 let) na 55 %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DC2DD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46,5 % (2010)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99EB4" w14:textId="6381483A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344A5A80" w14:textId="43FC98AD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(Q4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843" w:type="dxa"/>
          </w:tcPr>
          <w:p w14:paraId="237EA4B0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7793187F" w14:textId="77777777" w:rsidTr="009D7CFF">
        <w:trPr>
          <w:trHeight w:val="100"/>
          <w:jc w:val="center"/>
        </w:trPr>
        <w:tc>
          <w:tcPr>
            <w:tcW w:w="1790" w:type="dxa"/>
            <w:vMerge/>
            <w:shd w:val="clear" w:color="auto" w:fill="auto"/>
            <w:vAlign w:val="center"/>
          </w:tcPr>
          <w:p w14:paraId="00528BC9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9C94CB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Snížení míry nezaměstnanosti mladých osob (15-24 let) o třetinu proti roku 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04F16" w14:textId="60012808" w:rsidR="0078246A" w:rsidRPr="00C56937" w:rsidRDefault="00A3532D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 (2010)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6E1F9" w14:textId="46256861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4D87E546" w14:textId="46A7671F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(Q4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843" w:type="dxa"/>
          </w:tcPr>
          <w:p w14:paraId="717383C5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0674972B" w14:textId="77777777" w:rsidTr="009D7CFF">
        <w:trPr>
          <w:trHeight w:val="100"/>
          <w:jc w:val="center"/>
        </w:trPr>
        <w:tc>
          <w:tcPr>
            <w:tcW w:w="179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FAAC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6C09A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Snížení míry nezaměstnanosti osob s nízkou kvalifikací (stupeň ISCED 0-2) o čtvrtinu proti roku 2010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78B8B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25 % (2010)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124CB" w14:textId="09CAA379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1E5D5CA9" w14:textId="056D3517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(Q4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EB87BDC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198799A3" w14:textId="77777777" w:rsidTr="009D7CFF">
        <w:trPr>
          <w:trHeight w:val="100"/>
          <w:jc w:val="center"/>
        </w:trPr>
        <w:tc>
          <w:tcPr>
            <w:tcW w:w="1790" w:type="dxa"/>
            <w:shd w:val="clear" w:color="auto" w:fill="B8CCE4"/>
            <w:vAlign w:val="center"/>
          </w:tcPr>
          <w:p w14:paraId="41D803FE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2. Chudoba a sociální vyloučení</w:t>
            </w:r>
          </w:p>
          <w:p w14:paraId="171E0A08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B8CCE4"/>
            <w:vAlign w:val="center"/>
          </w:tcPr>
          <w:p w14:paraId="767397D0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Snížení počtu osob ohrožených chudobou, materiální deprivací nebo žijících v domácnostech s velmi nízkou pracovní intenzitou o 100 000 osob oproti roku 2008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4B940EA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 xml:space="preserve">1566 tis. </w:t>
            </w:r>
          </w:p>
          <w:p w14:paraId="0A02314D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(2008)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1129FF4A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1306 tis.</w:t>
            </w:r>
          </w:p>
          <w:p w14:paraId="133362B9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843" w:type="dxa"/>
            <w:shd w:val="clear" w:color="auto" w:fill="B8CCE4"/>
          </w:tcPr>
          <w:p w14:paraId="355F0675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3842F11F" w14:textId="77777777" w:rsidTr="009D7CFF">
        <w:trPr>
          <w:trHeight w:val="100"/>
          <w:jc w:val="center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14:paraId="021DC19C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3. Vzdělávání</w:t>
            </w:r>
          </w:p>
          <w:p w14:paraId="4A992469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16A676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Snížení počtu osob předčasně odcházejících ze vzdělávání na 5,5 %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CF74D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4,9 % (2010)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81752" w14:textId="2C23045B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7,6 % (2020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993702B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8246A" w:rsidRPr="00C56937" w14:paraId="5B5E9B8C" w14:textId="77777777" w:rsidTr="009D7CFF">
        <w:trPr>
          <w:trHeight w:val="100"/>
          <w:jc w:val="center"/>
        </w:trPr>
        <w:tc>
          <w:tcPr>
            <w:tcW w:w="179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90162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7059C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Dosáhnout ve věkové kategorii od 30 do 34 let alespoň 32 % podílu obyvatelstva s terciárním vzděláním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F18FF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20,4 % (2010)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EDB0F" w14:textId="5866A485" w:rsidR="0078246A" w:rsidRPr="00C56937" w:rsidRDefault="00C21FA6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35,0 % (2020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B66A1EB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501C5215" w14:textId="77777777" w:rsidTr="009D7CFF">
        <w:trPr>
          <w:trHeight w:val="1020"/>
          <w:jc w:val="center"/>
        </w:trPr>
        <w:tc>
          <w:tcPr>
            <w:tcW w:w="1790" w:type="dxa"/>
            <w:shd w:val="clear" w:color="auto" w:fill="B8CCE4"/>
            <w:vAlign w:val="center"/>
          </w:tcPr>
          <w:p w14:paraId="57822858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4. Výzkum, vývoj a inovace</w:t>
            </w:r>
          </w:p>
          <w:p w14:paraId="375293AF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B8CCE4"/>
            <w:vAlign w:val="center"/>
          </w:tcPr>
          <w:p w14:paraId="75F860A3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Dosáhnout úrovně veřejných výdajů na vědu, výzkum, vývoj a inovace v ČR ve výši 1 % HDP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54A032AB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0,65 % (2010)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20C4A1DD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0,79 % (2019)</w:t>
            </w:r>
          </w:p>
        </w:tc>
        <w:tc>
          <w:tcPr>
            <w:tcW w:w="1843" w:type="dxa"/>
            <w:shd w:val="clear" w:color="auto" w:fill="B8CCE4"/>
          </w:tcPr>
          <w:p w14:paraId="328269A9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8246A" w:rsidRPr="00C56937" w14:paraId="4D84167B" w14:textId="77777777" w:rsidTr="009D7CFF">
        <w:trPr>
          <w:trHeight w:val="100"/>
          <w:jc w:val="center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D9BA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5. Klimaticko-energetická politika</w:t>
            </w:r>
          </w:p>
          <w:p w14:paraId="4EFE9634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165F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Snížení emisí skleníkových plynů – maximální přípustný nárůst emisí mimo systém EU ETS 9 %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E6F1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0,0 % (2005)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A0BD" w14:textId="0AF92098" w:rsidR="0078246A" w:rsidRPr="003A3EC5" w:rsidRDefault="00C21FA6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+7,8 % (2019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  <w:r w:rsidR="0078246A" w:rsidRPr="003A3EC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4FCD" w14:textId="77777777" w:rsidR="0078246A" w:rsidRPr="003A3EC5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EC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78246A" w:rsidRPr="00C56937" w14:paraId="4718C5B3" w14:textId="77777777" w:rsidTr="009D7CFF">
        <w:trPr>
          <w:trHeight w:val="10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090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8305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Zvýšení podílu OZE na hrubé konečné spotřebě energie (13 %) a podíl obnovitelných zdrojů v dopravě (10 %)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4770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  <w:r w:rsidRPr="00C56937">
              <w:rPr>
                <w:rFonts w:ascii="Arial" w:hAnsi="Arial" w:cs="Arial"/>
                <w:sz w:val="20"/>
                <w:szCs w:val="20"/>
              </w:rPr>
              <w:t xml:space="preserve"> % (2005)</w:t>
            </w:r>
          </w:p>
          <w:p w14:paraId="44864763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C18F5">
              <w:rPr>
                <w:rFonts w:ascii="Arial" w:hAnsi="Arial" w:cs="Arial"/>
                <w:sz w:val="20"/>
                <w:szCs w:val="20"/>
              </w:rPr>
              <w:t>1,1</w:t>
            </w:r>
            <w:r w:rsidRPr="00C56937">
              <w:rPr>
                <w:rFonts w:ascii="Arial" w:hAnsi="Arial" w:cs="Arial"/>
                <w:sz w:val="20"/>
                <w:szCs w:val="20"/>
              </w:rPr>
              <w:t xml:space="preserve"> % (2005)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878A" w14:textId="2D801A52" w:rsidR="0078246A" w:rsidRPr="00C56937" w:rsidRDefault="008C18F5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16,2 % (2019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F5AC85" w14:textId="046AD750" w:rsidR="0078246A" w:rsidRPr="00C56937" w:rsidRDefault="008C18F5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7,8 % (2019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007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16B8D42C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0577A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8246A" w:rsidRPr="00C56937" w14:paraId="6A6AFA68" w14:textId="77777777" w:rsidTr="009D7CFF">
        <w:trPr>
          <w:trHeight w:val="100"/>
          <w:jc w:val="center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50D3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7E99" w14:textId="77777777" w:rsidR="0078246A" w:rsidRPr="00C56937" w:rsidRDefault="0078246A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Zvyšování energetické účinnosti – vnitrostátní cíl energetické účinnosti, tzn. snížení konečné spotřeby energie na maximálně 25,3 mil. tun ropného ekvivalentu do roku 2020.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2463" w14:textId="45EC63F6" w:rsidR="0078246A" w:rsidRPr="008C18F5" w:rsidRDefault="008C18F5" w:rsidP="008C18F5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23,6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(2014)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B371" w14:textId="77777777" w:rsidR="008C18F5" w:rsidRDefault="008C18F5" w:rsidP="009D7CFF">
            <w:pPr>
              <w:spacing w:line="4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ABB0A" w14:textId="18C39ED9" w:rsidR="0078246A" w:rsidRPr="00C56937" w:rsidRDefault="008C18F5" w:rsidP="009D7CFF">
            <w:pPr>
              <w:spacing w:line="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="0078246A" w:rsidRPr="00C569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6A3" w14:textId="77777777" w:rsidR="0078246A" w:rsidRPr="00C56937" w:rsidRDefault="0078246A" w:rsidP="009D7CF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937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14:paraId="251556E7" w14:textId="77777777" w:rsidR="0078246A" w:rsidRPr="00C56937" w:rsidRDefault="0078246A" w:rsidP="00A33F2A">
      <w:pPr>
        <w:pStyle w:val="Styl2"/>
        <w:numPr>
          <w:ilvl w:val="0"/>
          <w:numId w:val="0"/>
        </w:numPr>
        <w:ind w:left="645"/>
        <w:rPr>
          <w:lang w:val="cs-CZ"/>
        </w:rPr>
      </w:pPr>
      <w:bookmarkStart w:id="14" w:name="_Toc56755567"/>
    </w:p>
    <w:p w14:paraId="3EB39DB5" w14:textId="0A0BA00F" w:rsidR="0078246A" w:rsidRPr="00C56937" w:rsidRDefault="0078246A" w:rsidP="0078246A">
      <w:pPr>
        <w:pStyle w:val="Styl2"/>
        <w:numPr>
          <w:ilvl w:val="0"/>
          <w:numId w:val="0"/>
        </w:numPr>
        <w:rPr>
          <w:lang w:val="cs-CZ"/>
        </w:rPr>
      </w:pPr>
      <w:r w:rsidRPr="00C56937">
        <w:rPr>
          <w:lang w:val="cs-CZ"/>
        </w:rPr>
        <w:br w:type="page"/>
      </w:r>
      <w:bookmarkStart w:id="15" w:name="_Toc58485951"/>
      <w:bookmarkStart w:id="16" w:name="_Toc74655274"/>
      <w:r w:rsidR="00C46A85">
        <w:rPr>
          <w:lang w:val="cs-CZ"/>
        </w:rPr>
        <w:lastRenderedPageBreak/>
        <w:t xml:space="preserve">1. </w:t>
      </w:r>
      <w:r w:rsidRPr="00C56937">
        <w:rPr>
          <w:lang w:val="cs-CZ"/>
        </w:rPr>
        <w:t>Zaměstnanost</w:t>
      </w:r>
      <w:bookmarkEnd w:id="12"/>
      <w:bookmarkEnd w:id="14"/>
      <w:bookmarkEnd w:id="15"/>
      <w:bookmarkEnd w:id="16"/>
      <w:r w:rsidRPr="00C56937">
        <w:rPr>
          <w:lang w:val="cs-CZ"/>
        </w:rPr>
        <w:t xml:space="preserve"> </w:t>
      </w:r>
      <w:bookmarkStart w:id="17" w:name="_Toc55915914"/>
    </w:p>
    <w:p w14:paraId="0BB5EEAA" w14:textId="2AA5BE18" w:rsidR="0078246A" w:rsidRPr="00C56937" w:rsidRDefault="0078246A" w:rsidP="0078246A">
      <w:pPr>
        <w:spacing w:before="240"/>
      </w:pPr>
      <w:r w:rsidRPr="00C56937">
        <w:t>Všechny cíle politiky zaměstnanosti byly dosaženy nejpozději v 1. čtvrtletí 2017 a od této doby jsou vytyčené cílové hodnoty plněny. Národní cíl zvýšit míru zaměstnanosti ve věkové skupině 20-64 let na 75 % byl dos</w:t>
      </w:r>
      <w:r w:rsidR="00D92A44">
        <w:t>ažen ve 3. čtvrtletí 2015 a ve 4</w:t>
      </w:r>
      <w:r w:rsidRPr="00C56937">
        <w:t>. čtvrtletí 2020 příslu</w:t>
      </w:r>
      <w:r w:rsidR="00D92A44">
        <w:t>šný ukazatel dosáhl hodnoty 79,6</w:t>
      </w:r>
      <w:r w:rsidRPr="00C56937">
        <w:t xml:space="preserve"> % (4. nejvyšší mezi členskými státy EU). Vzhledem k ekonomickým dopadům pandemie COVID-19 došlo </w:t>
      </w:r>
      <w:r w:rsidR="00D92A44">
        <w:t>k jeho meziročnímu poklesu o 0,7</w:t>
      </w:r>
      <w:r w:rsidRPr="00C56937">
        <w:t xml:space="preserve"> p. b. Míra zaměstnanosti že</w:t>
      </w:r>
      <w:r w:rsidR="00D92A44">
        <w:t>n ve věku 20-64 let dosáhla ve 4</w:t>
      </w:r>
      <w:r w:rsidRPr="00C56937">
        <w:t>. čtvrtletí 2020 hodno</w:t>
      </w:r>
      <w:r w:rsidR="00D92A44">
        <w:t>ty 71,7 % (11</w:t>
      </w:r>
      <w:r w:rsidRPr="00C56937">
        <w:t xml:space="preserve">. nejvyšší mezi členskými státy EU) a národní cíl je tak překročen téměř o 7 p. b., dosaženo jej bylo v závěru roku 2014. Meziročně zaměstnanost žen </w:t>
      </w:r>
      <w:r w:rsidR="00D92A44">
        <w:t>poklesla o 0,9</w:t>
      </w:r>
      <w:r w:rsidRPr="00C56937">
        <w:t xml:space="preserve"> p. b. Navzdory pandemii však bylo dosaženo růstu u starších osob, když míra zaměstnanosti</w:t>
      </w:r>
      <w:r w:rsidR="00D92A44">
        <w:t xml:space="preserve"> ve věku 55-64 let vzrostla ve 4. čtvrtletí 2020 meziročně o 1,8 p. b. </w:t>
      </w:r>
      <w:proofErr w:type="gramStart"/>
      <w:r w:rsidR="00D92A44">
        <w:t>na</w:t>
      </w:r>
      <w:proofErr w:type="gramEnd"/>
      <w:r w:rsidR="00D92A44">
        <w:t> hodnotu 69,2</w:t>
      </w:r>
      <w:r w:rsidRPr="00C56937">
        <w:t xml:space="preserve"> % (6. nejvyšší mezi členskými státy EU). Cílová hodnota byla v tomto </w:t>
      </w:r>
      <w:r w:rsidR="00D92A44">
        <w:t>případě překročena o více než 14</w:t>
      </w:r>
      <w:r w:rsidRPr="00C56937">
        <w:t xml:space="preserve"> </w:t>
      </w:r>
      <w:proofErr w:type="gramStart"/>
      <w:r w:rsidRPr="00C56937">
        <w:t>p. b. a bylo</w:t>
      </w:r>
      <w:proofErr w:type="gramEnd"/>
      <w:r w:rsidRPr="00C56937">
        <w:t xml:space="preserve"> jí dosaženo již v roce 2015. </w:t>
      </w:r>
    </w:p>
    <w:p w14:paraId="5D91B54A" w14:textId="4494510B" w:rsidR="0078246A" w:rsidRPr="00B567FB" w:rsidRDefault="0078246A" w:rsidP="0078246A">
      <w:pPr>
        <w:spacing w:before="240"/>
      </w:pPr>
      <w:r w:rsidRPr="00C56937">
        <w:t xml:space="preserve">Ve 3. čtvrtletí 2015 bylo rovněž dosaženo dílčího národního cíle spočívajícího v poklesu míry nezaměstnanosti mladých, </w:t>
      </w:r>
      <w:r w:rsidR="00D92A44">
        <w:t>tj. osob ve věku 15-24 let. Ve 4</w:t>
      </w:r>
      <w:r w:rsidRPr="00C56937">
        <w:t>. čtvrtletí 2020 činil</w:t>
      </w:r>
      <w:r w:rsidR="00D92A44">
        <w:t>a míra nezaměstnanosti mladých 9,3</w:t>
      </w:r>
      <w:r w:rsidRPr="00C56937">
        <w:t xml:space="preserve"> % (</w:t>
      </w:r>
      <w:r w:rsidR="00505E84">
        <w:t xml:space="preserve">druhá </w:t>
      </w:r>
      <w:r w:rsidRPr="00C56937">
        <w:t>nejnižší mezi členskými státy EU</w:t>
      </w:r>
      <w:r w:rsidRPr="003A3EC5">
        <w:t>). Meziročně se zvýš</w:t>
      </w:r>
      <w:r w:rsidR="00505E84">
        <w:t>ila o 4,</w:t>
      </w:r>
      <w:r w:rsidRPr="003A3EC5">
        <w:t>4</w:t>
      </w:r>
      <w:r w:rsidRPr="00B567FB">
        <w:t xml:space="preserve"> p. b., avšak národní cíl byl </w:t>
      </w:r>
      <w:r w:rsidRPr="00780CDD">
        <w:t xml:space="preserve">stále plněn </w:t>
      </w:r>
      <w:r w:rsidR="00505E84">
        <w:t>téměř o 3</w:t>
      </w:r>
      <w:r w:rsidRPr="00780CDD">
        <w:t xml:space="preserve"> p. b. Nejobtížněji se dařilo naplňovat dílčí národní cíl spočívající v poklesu nezaměstnanosti osob s ní</w:t>
      </w:r>
      <w:r w:rsidRPr="00C56937">
        <w:t>zkým vzděláním (úroveň ISCED 0-2), tj. osob s nejvýše dosaženým základním vzděláním. Tohoto cíle bylo dosaženo až v 1. čtvrtletí 2017. Nezaměstnanos</w:t>
      </w:r>
      <w:r w:rsidR="00505E84">
        <w:t>t osob s nízkou kvalifikací ve 4</w:t>
      </w:r>
      <w:r w:rsidRPr="00C56937">
        <w:t>. čtvr</w:t>
      </w:r>
      <w:r w:rsidR="00505E84">
        <w:t>tletí 2020 dosahovala hodnoty 12,6</w:t>
      </w:r>
      <w:r w:rsidRPr="00C56937">
        <w:t xml:space="preserve"> % (14. nejnižší mezi členskými státy EU</w:t>
      </w:r>
      <w:r w:rsidRPr="003A3EC5">
        <w:rPr>
          <w:rStyle w:val="Znakapoznpodarou"/>
        </w:rPr>
        <w:footnoteReference w:id="3"/>
      </w:r>
      <w:r w:rsidRPr="003A3EC5">
        <w:t xml:space="preserve">) a meziročně se </w:t>
      </w:r>
      <w:r w:rsidR="00505E84">
        <w:t>zvýšila o 2,5</w:t>
      </w:r>
      <w:r w:rsidRPr="003A3EC5">
        <w:t xml:space="preserve"> p. b</w:t>
      </w:r>
      <w:r w:rsidRPr="00B567FB">
        <w:t xml:space="preserve">. Cíl je plněn o </w:t>
      </w:r>
      <w:r w:rsidR="00505E84">
        <w:t>více než 6</w:t>
      </w:r>
      <w:r w:rsidRPr="00B567FB">
        <w:t xml:space="preserve"> p. b. </w:t>
      </w:r>
    </w:p>
    <w:p w14:paraId="39E4C74D" w14:textId="49C96EFF" w:rsidR="0078246A" w:rsidRPr="00780CDD" w:rsidRDefault="0078246A" w:rsidP="0078246A">
      <w:pPr>
        <w:rPr>
          <w:b/>
          <w:szCs w:val="22"/>
        </w:rPr>
      </w:pPr>
      <w:r w:rsidRPr="00780CDD">
        <w:rPr>
          <w:b/>
          <w:szCs w:val="22"/>
        </w:rPr>
        <w:t>Graf 1: míry zaměstnanosti v ČR (MZ v %)</w:t>
      </w:r>
      <w:r w:rsidR="007D0EF0">
        <w:rPr>
          <w:rStyle w:val="Znakapoznpodarou"/>
          <w:b/>
          <w:szCs w:val="22"/>
        </w:rPr>
        <w:footnoteReference w:id="4"/>
      </w:r>
    </w:p>
    <w:p w14:paraId="18BEB2A3" w14:textId="4C795700" w:rsidR="0078246A" w:rsidRPr="003A3EC5" w:rsidRDefault="00505E84" w:rsidP="00782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CE0BAE2" wp14:editId="38D2A0D7">
            <wp:extent cx="5749290" cy="3629025"/>
            <wp:effectExtent l="0" t="0" r="381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8" b="1374"/>
                    <a:stretch/>
                  </pic:blipFill>
                  <pic:spPr bwMode="auto">
                    <a:xfrm>
                      <a:off x="0" y="0"/>
                      <a:ext cx="574929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2769B" w14:textId="79799EAE" w:rsidR="0078246A" w:rsidRPr="003A3EC5" w:rsidRDefault="0078246A" w:rsidP="0078246A">
      <w:pPr>
        <w:rPr>
          <w:i/>
        </w:rPr>
      </w:pPr>
      <w:r w:rsidRPr="003A3EC5">
        <w:rPr>
          <w:i/>
        </w:rPr>
        <w:t xml:space="preserve">Zdroj: </w:t>
      </w:r>
      <w:proofErr w:type="spellStart"/>
      <w:r w:rsidRPr="003A3EC5">
        <w:rPr>
          <w:i/>
        </w:rPr>
        <w:t>Eurostat</w:t>
      </w:r>
      <w:proofErr w:type="spellEnd"/>
    </w:p>
    <w:p w14:paraId="481D2001" w14:textId="73070746" w:rsidR="0078246A" w:rsidRPr="003A3EC5" w:rsidRDefault="0078246A" w:rsidP="0078246A">
      <w:pPr>
        <w:rPr>
          <w:b/>
          <w:szCs w:val="22"/>
        </w:rPr>
      </w:pPr>
      <w:r w:rsidRPr="003A3EC5">
        <w:rPr>
          <w:b/>
          <w:szCs w:val="22"/>
        </w:rPr>
        <w:lastRenderedPageBreak/>
        <w:t>Graf 2: míry nezaměstnanosti v ČR (MN v %)</w:t>
      </w:r>
      <w:r w:rsidR="007D0EF0">
        <w:rPr>
          <w:rStyle w:val="Znakapoznpodarou"/>
          <w:b/>
          <w:szCs w:val="22"/>
        </w:rPr>
        <w:footnoteReference w:id="5"/>
      </w:r>
    </w:p>
    <w:p w14:paraId="20619E68" w14:textId="3B13A462" w:rsidR="0078246A" w:rsidRPr="003A3EC5" w:rsidRDefault="007D0EF0" w:rsidP="00782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83F3961" wp14:editId="0C93464D">
            <wp:extent cx="5732281" cy="3133725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2" b="3916"/>
                    <a:stretch/>
                  </pic:blipFill>
                  <pic:spPr bwMode="auto">
                    <a:xfrm>
                      <a:off x="0" y="0"/>
                      <a:ext cx="5746295" cy="314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6BFAA" w14:textId="3EC69E77" w:rsidR="0078246A" w:rsidRDefault="0078246A" w:rsidP="0078246A">
      <w:pPr>
        <w:rPr>
          <w:i/>
        </w:rPr>
      </w:pPr>
      <w:r w:rsidRPr="003A3EC5">
        <w:rPr>
          <w:i/>
        </w:rPr>
        <w:t xml:space="preserve">Zdroj: </w:t>
      </w:r>
      <w:proofErr w:type="spellStart"/>
      <w:r w:rsidRPr="003A3EC5">
        <w:rPr>
          <w:i/>
        </w:rPr>
        <w:t>Eurostat</w:t>
      </w:r>
      <w:proofErr w:type="spellEnd"/>
    </w:p>
    <w:p w14:paraId="64BA1FB5" w14:textId="2A7D09E0" w:rsidR="00DC575F" w:rsidRDefault="00DC575F" w:rsidP="0078246A">
      <w:pPr>
        <w:rPr>
          <w:i/>
        </w:rPr>
      </w:pPr>
    </w:p>
    <w:p w14:paraId="19F0ADAB" w14:textId="3608D26C" w:rsidR="00DC575F" w:rsidRPr="00E37946" w:rsidRDefault="00D50ABE" w:rsidP="0078246A">
      <w:pPr>
        <w:rPr>
          <w:b/>
        </w:rPr>
      </w:pPr>
      <w:r w:rsidRPr="00E37946">
        <w:rPr>
          <w:b/>
        </w:rPr>
        <w:t>Srovnání</w:t>
      </w:r>
      <w:r w:rsidR="00DC575F" w:rsidRPr="00E37946">
        <w:rPr>
          <w:b/>
        </w:rPr>
        <w:t xml:space="preserve"> ostatních členských států</w:t>
      </w:r>
    </w:p>
    <w:p w14:paraId="7AB0D97C" w14:textId="2B316365" w:rsidR="009D7CFF" w:rsidRDefault="00DC575F" w:rsidP="006D7EC0">
      <w:r>
        <w:t xml:space="preserve">Spolu s Českou republikou se podařilo splnit stanovené národní cíle v oblasti </w:t>
      </w:r>
      <w:r w:rsidRPr="00780CDD">
        <w:t>zaměstnanosti obyvatelstva ve věku od 20 do 64 let</w:t>
      </w:r>
      <w:r>
        <w:t xml:space="preserve"> k roku 2020 také Chorvatsku s cílem 62,9 %, Estonsku 76 %, Irsku 69 – 71 %, Litvě 72,8 % (i celoevropský cíl 75%), Lotyšsku 73 % (současně i 75%), Maďarsku 75 %, Maltě 70 % (i 75%) a Německu 77 %. Stanovený národní cíl splnilo dále Nizozemsko 80 %, Polsko 71 %, Rumunsko 70%, Slovensko 72 %, Slovinsko 75 % a </w:t>
      </w:r>
      <w:r w:rsidR="009D7CFF">
        <w:t>Švédsko, které si stanovilo v rámci národního cíle dosažení podílu</w:t>
      </w:r>
      <w:r w:rsidRPr="00780CDD">
        <w:t xml:space="preserve"> zaměstnanosti obyvatelstva ve věku od 20 do 64 let</w:t>
      </w:r>
      <w:r>
        <w:t xml:space="preserve"> nad 80 %. Národní cíl v této oblasti nesplnila Belgie, Bulharsko, Dánsko, Finsko, Francie, Itálie, Kypr, Lucembursko, Portugalsko, Rakousko, Řecko a Španělsko. </w:t>
      </w:r>
      <w:r w:rsidR="006A2D02">
        <w:t xml:space="preserve">V případě uvedeného Bulharska se cíle podařilo dosáhnout v roce 2019, </w:t>
      </w:r>
      <w:r w:rsidR="00E7539E">
        <w:t xml:space="preserve">(pravděpodobně </w:t>
      </w:r>
      <w:r w:rsidR="006A2D02">
        <w:t>externími vlivy</w:t>
      </w:r>
      <w:r w:rsidR="00E7539E">
        <w:t xml:space="preserve"> – dopady pandemie COVID-19)</w:t>
      </w:r>
      <w:r w:rsidR="006A2D02">
        <w:t xml:space="preserve"> v roce 2020 došlo k propadu pod míru stanoveného cíle. Rakouskem stanovený národní cíl v oblasti zaměstnanosti se</w:t>
      </w:r>
      <w:r w:rsidR="00D50ABE">
        <w:t xml:space="preserve"> sice</w:t>
      </w:r>
      <w:r w:rsidR="006A2D02">
        <w:t xml:space="preserve"> nepodařilo naplnit, celoevropský cíl stanovující podíl 75 % byl k roku 2020 splněn. Navzdory dosaženým pokrokům však v případě Rakouska zůstává prostor pro zlepšení i v oblastech zaměstnanosti žen a starších osob.</w:t>
      </w:r>
      <w:r w:rsidR="006A2D02" w:rsidRPr="001503EA">
        <w:rPr>
          <w:vertAlign w:val="superscript"/>
        </w:rPr>
        <w:footnoteReference w:id="6"/>
      </w:r>
      <w:r w:rsidR="006A2D02">
        <w:t xml:space="preserve"> </w:t>
      </w:r>
      <w:r>
        <w:t>Přestože Chorvatsko, Irsko, Polsko, Rumunsko a Slovensko splnily svůj stanovený národní cíl, nepodařilo se napln</w:t>
      </w:r>
      <w:r w:rsidR="006A2D02">
        <w:t>it celoevropský požadavek 75 %.</w:t>
      </w:r>
    </w:p>
    <w:p w14:paraId="0B4AF4A2" w14:textId="77777777" w:rsidR="009D7CFF" w:rsidRDefault="009D7CFF">
      <w:pPr>
        <w:spacing w:after="160" w:line="259" w:lineRule="auto"/>
        <w:jc w:val="left"/>
      </w:pPr>
      <w:r>
        <w:br w:type="page"/>
      </w:r>
    </w:p>
    <w:p w14:paraId="041A3869" w14:textId="77777777" w:rsidR="00DC575F" w:rsidRDefault="00DC575F" w:rsidP="00DC575F">
      <w:pPr>
        <w:ind w:firstLine="708"/>
      </w:pPr>
    </w:p>
    <w:p w14:paraId="6FF61886" w14:textId="361841D0" w:rsidR="00D50ABE" w:rsidRPr="00D50ABE" w:rsidRDefault="00D50ABE" w:rsidP="00D50ABE">
      <w:pPr>
        <w:pStyle w:val="Titulek"/>
        <w:keepNext/>
        <w:rPr>
          <w:color w:val="auto"/>
          <w:sz w:val="22"/>
          <w:szCs w:val="22"/>
        </w:rPr>
      </w:pPr>
    </w:p>
    <w:p w14:paraId="05E19D3A" w14:textId="0F202B47" w:rsidR="006D7EC0" w:rsidRPr="006D7EC0" w:rsidRDefault="006D7EC0" w:rsidP="006D7EC0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t xml:space="preserve">Tabulka </w:t>
      </w:r>
      <w:r w:rsidRPr="006D7EC0">
        <w:rPr>
          <w:color w:val="auto"/>
          <w:sz w:val="22"/>
          <w:szCs w:val="22"/>
        </w:rPr>
        <w:fldChar w:fldCharType="begin"/>
      </w:r>
      <w:r w:rsidRPr="006D7EC0">
        <w:rPr>
          <w:color w:val="auto"/>
          <w:sz w:val="22"/>
          <w:szCs w:val="22"/>
        </w:rPr>
        <w:instrText xml:space="preserve"> SEQ Tabulka \* ARABIC </w:instrText>
      </w:r>
      <w:r w:rsidRPr="006D7EC0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2</w:t>
      </w:r>
      <w:r w:rsidRPr="006D7EC0">
        <w:rPr>
          <w:color w:val="auto"/>
          <w:sz w:val="22"/>
          <w:szCs w:val="22"/>
        </w:rPr>
        <w:fldChar w:fldCharType="end"/>
      </w:r>
      <w:r w:rsidRPr="006D7EC0">
        <w:rPr>
          <w:color w:val="auto"/>
          <w:sz w:val="22"/>
          <w:szCs w:val="22"/>
        </w:rPr>
        <w:t xml:space="preserve"> </w:t>
      </w:r>
      <w:r w:rsidR="0092418D">
        <w:rPr>
          <w:color w:val="auto"/>
          <w:sz w:val="22"/>
          <w:szCs w:val="22"/>
        </w:rPr>
        <w:t>Míra z</w:t>
      </w:r>
      <w:r w:rsidRPr="006D7EC0">
        <w:rPr>
          <w:color w:val="auto"/>
          <w:sz w:val="22"/>
          <w:szCs w:val="22"/>
        </w:rPr>
        <w:t>aměstnanost</w:t>
      </w:r>
      <w:r w:rsidR="0092418D">
        <w:rPr>
          <w:color w:val="auto"/>
          <w:sz w:val="22"/>
          <w:szCs w:val="22"/>
        </w:rPr>
        <w:t>i</w:t>
      </w:r>
      <w:r w:rsidRPr="006D7EC0">
        <w:rPr>
          <w:color w:val="auto"/>
          <w:sz w:val="22"/>
          <w:szCs w:val="22"/>
        </w:rPr>
        <w:t xml:space="preserve"> obyvatelstva ve věku od 20 do 64 let (zdroj Evropská komise)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3"/>
        <w:gridCol w:w="1098"/>
        <w:gridCol w:w="1098"/>
        <w:gridCol w:w="1260"/>
        <w:gridCol w:w="2293"/>
      </w:tblGrid>
      <w:tr w:rsidR="009D7CFF" w:rsidRPr="009D7CFF" w14:paraId="46196E94" w14:textId="77777777" w:rsidTr="00D76A47">
        <w:trPr>
          <w:trHeight w:val="5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DF97F" w14:textId="275C2974" w:rsidR="009D7CFF" w:rsidRPr="009D7CFF" w:rsidRDefault="0092418D" w:rsidP="009D7CFF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Míra z</w:t>
            </w:r>
            <w:r w:rsidR="009D7CFF" w:rsidRPr="009D7CFF">
              <w:rPr>
                <w:rFonts w:ascii="Calibri" w:hAnsi="Calibri"/>
                <w:szCs w:val="22"/>
              </w:rPr>
              <w:t>aměstnanost</w:t>
            </w:r>
            <w:r>
              <w:rPr>
                <w:rFonts w:ascii="Calibri" w:hAnsi="Calibri"/>
                <w:szCs w:val="22"/>
              </w:rPr>
              <w:t>i</w:t>
            </w:r>
            <w:r w:rsidR="009D7CFF" w:rsidRPr="009D7CFF">
              <w:rPr>
                <w:rFonts w:ascii="Calibri" w:hAnsi="Calibri"/>
                <w:szCs w:val="22"/>
              </w:rPr>
              <w:t xml:space="preserve"> obyvatelstva ve věku od 20 do 64 let</w:t>
            </w:r>
          </w:p>
        </w:tc>
      </w:tr>
      <w:tr w:rsidR="009D7CFF" w:rsidRPr="009D7CFF" w14:paraId="7567D70E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DC1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4BA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2019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E5A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2020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E80A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Cíl EU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622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Národní cíl</w:t>
            </w:r>
          </w:p>
        </w:tc>
      </w:tr>
      <w:tr w:rsidR="009D7CFF" w:rsidRPr="009D7CFF" w14:paraId="485A296D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BFA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Belgie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06A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34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AE0616" w14:textId="4579137F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2C3E2C" w14:textId="50EDD84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73,2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4AA5D502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5C9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Bulharsko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C08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BAD8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73,4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96C570" w14:textId="4F8E561C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2132C7" w14:textId="228A4CDC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55734F53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9F6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Česká republika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335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73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79,7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B32FEB" w14:textId="2EB361D9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23EE3" w14:textId="32BD981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6B6B089D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FA38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Chorvatsko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2BB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85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66,9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B90510" w14:textId="2E7FED5E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03EB6B" w14:textId="7CC1E82A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62,9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17FD7AFA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757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Dánsko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92A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78,3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1D1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77,8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B8570" w14:textId="3406952C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0ACA3D" w14:textId="55979A4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1407CD00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330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Estonsko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561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EA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78,8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509B8D" w14:textId="7B958ABA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6C766C" w14:textId="32F8084B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6D01D359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295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Finsko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FD7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06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FBD5CC" w14:textId="7062EF7F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45E228" w14:textId="1E8ADB91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7D0973C7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EDB9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Francie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DBB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71,6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B95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71,4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2B5FC5E" w14:textId="50160A0A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9F5193" w14:textId="788BFC9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690D4141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167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Irsko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CDA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0857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73,4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36E6F2" w14:textId="2D6640B1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696A1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69 - 71 %</w:t>
            </w:r>
          </w:p>
        </w:tc>
      </w:tr>
      <w:tr w:rsidR="009D7CFF" w:rsidRPr="009D7CFF" w14:paraId="65DA9D34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F3F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Itálie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C3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88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62,6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E3FB80" w14:textId="46CC8850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3420C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67 - 69 %</w:t>
            </w:r>
          </w:p>
        </w:tc>
      </w:tr>
      <w:tr w:rsidR="009D7CFF" w:rsidRPr="009D7CFF" w14:paraId="575E3EB0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A19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Kypr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FB45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3A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74,9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53C69B5" w14:textId="2F963FE0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B03140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76 - 77 %</w:t>
            </w:r>
          </w:p>
        </w:tc>
      </w:tr>
      <w:tr w:rsidR="009D7CFF" w:rsidRPr="009D7CFF" w14:paraId="3512C9BA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8FE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Litva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70F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78,2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BAD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A6FB6E" w14:textId="321D53E9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086B8D" w14:textId="7C8600BF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72,8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667BB222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5AE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Lotyšsko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747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1B6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7D5F52" w14:textId="2A28DBD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BE9C36" w14:textId="3BD78A16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2262E636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F8F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Lucembursko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86F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72,8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8BE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72,1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16E7044" w14:textId="56D93AA5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D59FDE" w14:textId="76BBE1A9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6ABCE72E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1EF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Maďarsko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02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7D1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7CB0FF" w14:textId="20CD00DD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9EF8D6" w14:textId="1720A3AB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15ED0FF6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DD0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Malta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94E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8D0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77,4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1C153D" w14:textId="42EDB5E6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678F30" w14:textId="657E8CD5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4CFBF489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D05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Německo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BB0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4BB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152F4" w14:textId="5A3399A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A80606" w14:textId="089AA74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48BE0E10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C3C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Nizozemsko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C4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B57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8ED4F5" w14:textId="5C7C715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C985D" w14:textId="300F780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4F47CA83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354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Polsko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D5A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563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73,6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66A993" w14:textId="2D151DC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845899" w14:textId="1E2428D9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71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28DDD38F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0D8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Portugalsko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C5C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09D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74,7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B4DCAF" w14:textId="64BE8880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830183" w14:textId="6C3FC03B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4237C0F3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E0A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Rakousko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E5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89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75,5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6F9385" w14:textId="7C877415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7B1DEC" w14:textId="737D44CF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77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0E1BA7C8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86D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Řecko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8BF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61,2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7A2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61,1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5DA04B" w14:textId="65330F8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9DB5369" w14:textId="27C5AAB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0510D126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65D1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Rumunsko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EBAC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324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70,8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B4E702" w14:textId="72E6F70B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0F03C8" w14:textId="21A054C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181A7D7E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8D6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Slovensko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61F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12E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72,5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439D87" w14:textId="26EABAF0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FF52DC" w14:textId="1EE088BF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2B7275FD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DC3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Slovinsko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B27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76,4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4C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75,6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360941" w14:textId="161261D5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DF4BB" w14:textId="5A3FD748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3C06AA29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C65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Španělsko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573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929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65,7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FBC173" w14:textId="5FE69F7E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394485" w14:textId="5E32DA1E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74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</w:tr>
      <w:tr w:rsidR="009D7CFF" w:rsidRPr="009D7CFF" w14:paraId="2A48C9F9" w14:textId="77777777" w:rsidTr="00D76A47">
        <w:trPr>
          <w:trHeight w:val="290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CDF" w14:textId="77777777" w:rsidR="009D7CFF" w:rsidRPr="009D7CFF" w:rsidRDefault="009D7CFF" w:rsidP="009D7CF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Švédsko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905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82,1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EC6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80,8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A4A01E" w14:textId="2D818283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75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9D7CFF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9F95F5" w14:textId="77777777" w:rsidR="009D7CFF" w:rsidRPr="009D7CFF" w:rsidRDefault="009D7CFF" w:rsidP="009D7CFF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9D7CFF">
              <w:rPr>
                <w:rFonts w:ascii="Calibri" w:hAnsi="Calibri"/>
                <w:szCs w:val="22"/>
              </w:rPr>
              <w:t>nad 80 %</w:t>
            </w:r>
          </w:p>
        </w:tc>
      </w:tr>
    </w:tbl>
    <w:p w14:paraId="3161E8A7" w14:textId="51947B49" w:rsidR="00DC575F" w:rsidRDefault="009D7CFF" w:rsidP="0078246A">
      <w:pPr>
        <w:rPr>
          <w:i/>
        </w:rPr>
      </w:pPr>
      <w:r>
        <w:rPr>
          <w:i/>
        </w:rPr>
        <w:t>Zdroj: Evropská komise</w:t>
      </w:r>
    </w:p>
    <w:p w14:paraId="53701F43" w14:textId="62986F28" w:rsidR="00D76A47" w:rsidRPr="00D76A47" w:rsidRDefault="00D76A47" w:rsidP="00D76A47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09F3CC54" w14:textId="7D1ADC26" w:rsidR="0078246A" w:rsidRPr="003A3EC5" w:rsidRDefault="00C46A85" w:rsidP="0078246A">
      <w:pPr>
        <w:pStyle w:val="Styl2"/>
        <w:numPr>
          <w:ilvl w:val="0"/>
          <w:numId w:val="0"/>
        </w:numPr>
        <w:rPr>
          <w:lang w:val="cs-CZ"/>
        </w:rPr>
      </w:pPr>
      <w:bookmarkStart w:id="18" w:name="_Toc56755568"/>
      <w:bookmarkStart w:id="19" w:name="_Toc58485952"/>
      <w:bookmarkStart w:id="20" w:name="_Toc74655275"/>
      <w:r>
        <w:rPr>
          <w:lang w:val="cs-CZ"/>
        </w:rPr>
        <w:lastRenderedPageBreak/>
        <w:t xml:space="preserve">2. </w:t>
      </w:r>
      <w:r w:rsidR="0078246A" w:rsidRPr="003A3EC5">
        <w:rPr>
          <w:lang w:val="cs-CZ"/>
        </w:rPr>
        <w:t>Chudoba a sociální vyloučení</w:t>
      </w:r>
      <w:bookmarkStart w:id="21" w:name="_Toc55915915"/>
      <w:bookmarkEnd w:id="17"/>
      <w:bookmarkEnd w:id="18"/>
      <w:bookmarkEnd w:id="19"/>
      <w:bookmarkEnd w:id="20"/>
    </w:p>
    <w:p w14:paraId="4432F6EB" w14:textId="77777777" w:rsidR="00D76A47" w:rsidRDefault="0078246A" w:rsidP="0079670A">
      <w:pPr>
        <w:spacing w:before="120"/>
      </w:pPr>
      <w:r w:rsidRPr="003A3EC5">
        <w:t xml:space="preserve">V souvislosti s dosavadním vývojem v oblasti chudoby a sociálního vyloučení se jeví jako zcela reálné splnění cíle ČR v rámci strategie Evropa 2020 (snížení počtu osob ohrožených chudobou nebo sociálním vyloučením o 100 tis. osob). </w:t>
      </w:r>
      <w:r w:rsidRPr="00780CDD">
        <w:t>Do roku 2019 (1 306 tis.) došlo ve srovnání s rokem 2008 (1</w:t>
      </w:r>
      <w:r w:rsidRPr="00C56937">
        <w:t> 566 tis.) k poklesu počtu osob ohrožených chudobou, materiální deprivací nebo žijících v domácnostech s velmi nízkou pracovní intenzitou o 260 tisíc. Oproti roku 2018 se ukazatel meziročně zvýšil o 42 tisíc osob. Podíl osob ohrožených chudobou nebo sociálním vyloučením byl v roce 2019 v ČR opět nejnižší ze všech členských zemí EU (12,5 % populace). Stanovený cíl je bez přerušení plněn od roku 2015.</w:t>
      </w:r>
    </w:p>
    <w:p w14:paraId="38E8D44C" w14:textId="233F086D" w:rsidR="0078246A" w:rsidRPr="00D76A47" w:rsidRDefault="0078246A" w:rsidP="00D76A47">
      <w:pPr>
        <w:spacing w:before="120"/>
      </w:pPr>
      <w:r w:rsidRPr="00C56937">
        <w:rPr>
          <w:b/>
          <w:szCs w:val="22"/>
        </w:rPr>
        <w:t>Graf 3: počet osob ohrožených chudobou nebo sociálním vyloučením v ČR (v tisících)</w:t>
      </w:r>
    </w:p>
    <w:p w14:paraId="57252F64" w14:textId="60CE6E79" w:rsidR="0078246A" w:rsidRPr="003A3EC5" w:rsidRDefault="00BD24F1" w:rsidP="0078246A">
      <w:pPr>
        <w:spacing w:before="240"/>
      </w:pPr>
      <w:r>
        <w:rPr>
          <w:noProof/>
        </w:rPr>
        <w:drawing>
          <wp:inline distT="0" distB="0" distL="0" distR="0" wp14:anchorId="2AF37D40" wp14:editId="293C9BAD">
            <wp:extent cx="5019675" cy="25155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9" b="3582"/>
                    <a:stretch/>
                  </pic:blipFill>
                  <pic:spPr bwMode="auto">
                    <a:xfrm>
                      <a:off x="0" y="0"/>
                      <a:ext cx="5066907" cy="2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7E99E" w14:textId="4FB845C8" w:rsidR="0078246A" w:rsidRDefault="0078246A" w:rsidP="0078246A">
      <w:pPr>
        <w:spacing w:after="0"/>
        <w:rPr>
          <w:i/>
        </w:rPr>
      </w:pPr>
      <w:r w:rsidRPr="003A3EC5">
        <w:rPr>
          <w:i/>
        </w:rPr>
        <w:t xml:space="preserve">Zdroj: </w:t>
      </w:r>
      <w:proofErr w:type="spellStart"/>
      <w:r w:rsidRPr="003A3EC5">
        <w:rPr>
          <w:i/>
        </w:rPr>
        <w:t>Eurostat</w:t>
      </w:r>
      <w:proofErr w:type="spellEnd"/>
    </w:p>
    <w:p w14:paraId="6B59FACC" w14:textId="024E0FE8" w:rsidR="00B34A8C" w:rsidRDefault="00B34A8C" w:rsidP="0078246A">
      <w:pPr>
        <w:spacing w:after="0"/>
        <w:rPr>
          <w:i/>
        </w:rPr>
      </w:pPr>
    </w:p>
    <w:p w14:paraId="538BB3B8" w14:textId="7E3307F3" w:rsidR="00D76A47" w:rsidRPr="00D76A47" w:rsidRDefault="00D76A47" w:rsidP="00D76A4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  <w:r w:rsidR="00D50ABE" w:rsidRPr="00D76A47">
        <w:rPr>
          <w:b/>
        </w:rPr>
        <w:lastRenderedPageBreak/>
        <w:t>Srovnání ostatních členských států</w:t>
      </w:r>
    </w:p>
    <w:p w14:paraId="072B9EC0" w14:textId="7BDDF419" w:rsidR="00B34A8C" w:rsidRDefault="00B34A8C" w:rsidP="00D76A47">
      <w:r>
        <w:t>Naplnit stanovený národní cíl v oblasti snížení počtu osob ohrožených chudobou (ve srovnání s rokem 2008) se, podle dat Evropské komise, podařilo vedle České republiky Bulharsku, Litvě, Lotyšsku, Maďarsku, Polsku, Portugalsku, Rumunsku, Slovensku a Slovensku. Své národní cíle naopak nedokázaly naplnit Belgie, Chorvatsko, Dánsko, Finsko, Francie, Irsko, Itálie, Kypr, Lucembursko, Malta, Nizozemsko, Rakousko, Řecko a Španělsko.</w:t>
      </w:r>
    </w:p>
    <w:p w14:paraId="3DB89FCB" w14:textId="681B51C9" w:rsidR="006D7EC0" w:rsidRPr="006D7EC0" w:rsidRDefault="006D7EC0" w:rsidP="006D7EC0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t xml:space="preserve">Tabulka </w:t>
      </w:r>
      <w:r w:rsidRPr="006D7EC0">
        <w:rPr>
          <w:color w:val="auto"/>
          <w:sz w:val="22"/>
          <w:szCs w:val="22"/>
        </w:rPr>
        <w:fldChar w:fldCharType="begin"/>
      </w:r>
      <w:r w:rsidRPr="006D7EC0">
        <w:rPr>
          <w:color w:val="auto"/>
          <w:sz w:val="22"/>
          <w:szCs w:val="22"/>
        </w:rPr>
        <w:instrText xml:space="preserve"> SEQ Tabulka \* ARABIC </w:instrText>
      </w:r>
      <w:r w:rsidRPr="006D7EC0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3</w:t>
      </w:r>
      <w:r w:rsidRPr="006D7EC0">
        <w:rPr>
          <w:color w:val="auto"/>
          <w:sz w:val="22"/>
          <w:szCs w:val="22"/>
        </w:rPr>
        <w:fldChar w:fldCharType="end"/>
      </w:r>
      <w:r w:rsidRPr="006D7EC0">
        <w:rPr>
          <w:color w:val="auto"/>
          <w:sz w:val="22"/>
          <w:szCs w:val="22"/>
        </w:rPr>
        <w:t xml:space="preserve"> </w:t>
      </w:r>
      <w:r w:rsidR="00744DF1">
        <w:rPr>
          <w:color w:val="auto"/>
          <w:sz w:val="22"/>
          <w:szCs w:val="22"/>
        </w:rPr>
        <w:t>Změna</w:t>
      </w:r>
      <w:r w:rsidRPr="006D7EC0">
        <w:rPr>
          <w:color w:val="auto"/>
          <w:sz w:val="22"/>
          <w:szCs w:val="22"/>
        </w:rPr>
        <w:t xml:space="preserve"> počtu osob ohrožených chudobou</w:t>
      </w:r>
      <w:r w:rsidR="0092418D">
        <w:rPr>
          <w:color w:val="auto"/>
          <w:sz w:val="22"/>
          <w:szCs w:val="22"/>
        </w:rPr>
        <w:t xml:space="preserve"> nebo sociálním vyloučením</w:t>
      </w:r>
      <w:r w:rsidRPr="006D7EC0">
        <w:rPr>
          <w:color w:val="auto"/>
          <w:sz w:val="22"/>
          <w:szCs w:val="22"/>
        </w:rPr>
        <w:t xml:space="preserve"> ve srovnání s rokem 2008 (Zdroj: Evropská komise)</w:t>
      </w: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5300"/>
      </w:tblGrid>
      <w:tr w:rsidR="00B34A8C" w:rsidRPr="00B34A8C" w14:paraId="5C065D08" w14:textId="77777777" w:rsidTr="00B34A8C">
        <w:trPr>
          <w:trHeight w:val="29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50D1" w14:textId="30EB0DB7" w:rsidR="00B34A8C" w:rsidRPr="00B34A8C" w:rsidRDefault="00744DF1" w:rsidP="00B34A8C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Změna</w:t>
            </w:r>
            <w:r w:rsidR="00B34A8C" w:rsidRPr="00B34A8C">
              <w:rPr>
                <w:rFonts w:ascii="Calibri" w:hAnsi="Calibri"/>
                <w:szCs w:val="22"/>
              </w:rPr>
              <w:t xml:space="preserve"> počtu osob ohrožených chudobou </w:t>
            </w:r>
            <w:r w:rsidR="0092418D">
              <w:rPr>
                <w:rFonts w:ascii="Calibri" w:hAnsi="Calibri"/>
                <w:szCs w:val="22"/>
              </w:rPr>
              <w:t xml:space="preserve">nebo sociálním vyloučením </w:t>
            </w:r>
            <w:r w:rsidR="00B34A8C" w:rsidRPr="00B34A8C">
              <w:rPr>
                <w:rFonts w:ascii="Calibri" w:hAnsi="Calibri"/>
                <w:szCs w:val="22"/>
              </w:rPr>
              <w:t>ve srovnání s rokem 2008</w:t>
            </w:r>
          </w:p>
        </w:tc>
      </w:tr>
      <w:tr w:rsidR="00B34A8C" w:rsidRPr="00B34A8C" w14:paraId="05DFADD0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673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538" w14:textId="77777777" w:rsidR="00B34A8C" w:rsidRPr="00B34A8C" w:rsidRDefault="00B34A8C" w:rsidP="00B34A8C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A088" w14:textId="77777777" w:rsidR="00B34A8C" w:rsidRPr="00B34A8C" w:rsidRDefault="00B34A8C" w:rsidP="00B34A8C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2020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D6A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Národní cíl</w:t>
            </w:r>
          </w:p>
        </w:tc>
      </w:tr>
      <w:tr w:rsidR="00B34A8C" w:rsidRPr="00B34A8C" w14:paraId="49989107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33D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Belgie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195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+ 3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5E0" w14:textId="696F0E69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AF5690" w14:textId="129039F8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380 tisíc</w:t>
            </w:r>
          </w:p>
        </w:tc>
      </w:tr>
      <w:tr w:rsidR="00B34A8C" w:rsidRPr="00B34A8C" w14:paraId="154DC6DF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94A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Bulharsko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614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- 1121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70A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- 1189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EDFD6" w14:textId="46535A68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260 tisíc</w:t>
            </w:r>
          </w:p>
        </w:tc>
      </w:tr>
      <w:tr w:rsidR="00B34A8C" w:rsidRPr="00B34A8C" w14:paraId="6C46BC9B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05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Česká republika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6D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- 260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10B" w14:textId="761386DB" w:rsidR="007556E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1427C6" w14:textId="2E223430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100 tisíc</w:t>
            </w:r>
          </w:p>
        </w:tc>
      </w:tr>
      <w:tr w:rsidR="00B34A8C" w:rsidRPr="00B34A8C" w14:paraId="4CE7FC7E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2CD" w14:textId="37203EEC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Chorvatsko</w:t>
            </w:r>
            <w:r w:rsidR="00F13C5D">
              <w:rPr>
                <w:rStyle w:val="Znakapoznpodarou"/>
                <w:rFonts w:ascii="Calibri" w:hAnsi="Calibri"/>
                <w:szCs w:val="22"/>
              </w:rPr>
              <w:footnoteReference w:id="7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346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-383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790" w14:textId="1A09F05B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91AEB5" w14:textId="1D6D9853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1,22 milionu</w:t>
            </w:r>
          </w:p>
        </w:tc>
      </w:tr>
      <w:tr w:rsidR="00B34A8C" w:rsidRPr="00B34A8C" w14:paraId="1CC1558E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41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Dánsko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54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+ 52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B7F" w14:textId="63E87916" w:rsidR="00B34A8C" w:rsidRPr="00B34A8C" w:rsidRDefault="00343C54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A0D969" w14:textId="14F5B46E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22 tisíc</w:t>
            </w:r>
          </w:p>
        </w:tc>
      </w:tr>
      <w:tr w:rsidR="00B34A8C" w:rsidRPr="00B34A8C" w14:paraId="5806510F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FC35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Estonsko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C01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+27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9888" w14:textId="3117025C" w:rsidR="00B34A8C" w:rsidRPr="00B34A8C" w:rsidRDefault="00343C54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+ 15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EE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Požadované informace se nepodařilo dohledat</w:t>
            </w:r>
          </w:p>
        </w:tc>
      </w:tr>
      <w:tr w:rsidR="00B34A8C" w:rsidRPr="00B34A8C" w14:paraId="134C1EB1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EB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Finsko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F12" w14:textId="661629A8" w:rsidR="00B34A8C" w:rsidRPr="00B34A8C" w:rsidRDefault="00343C54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- 61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B07" w14:textId="4B3C1997" w:rsidR="00B34A8C" w:rsidRPr="00B34A8C" w:rsidRDefault="00343C54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- 40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CBBE31" w14:textId="264A9D8F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770 tisíc</w:t>
            </w:r>
          </w:p>
        </w:tc>
      </w:tr>
      <w:tr w:rsidR="00B34A8C" w:rsidRPr="00B34A8C" w14:paraId="7C3ADFFC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B5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Francie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930D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- 30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1E49" w14:textId="55A99B48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3891B7" w14:textId="70C48F05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1,9 milionu</w:t>
            </w:r>
          </w:p>
        </w:tc>
      </w:tr>
      <w:tr w:rsidR="00B34A8C" w:rsidRPr="00B34A8C" w14:paraId="55926BF2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3D3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Irsko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A7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- 36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7F6" w14:textId="1D93F36F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84C550" w14:textId="78C375FD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380 tisíc</w:t>
            </w:r>
          </w:p>
        </w:tc>
      </w:tr>
      <w:tr w:rsidR="00B34A8C" w:rsidRPr="00B34A8C" w14:paraId="140E50B4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39B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Itálie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257" w14:textId="4FB2BDA6" w:rsidR="00B34A8C" w:rsidRPr="00B34A8C" w:rsidRDefault="00B626F6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+ </w:t>
            </w:r>
            <w:r w:rsidR="00B34A8C" w:rsidRPr="00B34A8C">
              <w:rPr>
                <w:rFonts w:ascii="Calibri" w:hAnsi="Calibri"/>
                <w:szCs w:val="22"/>
              </w:rPr>
              <w:t>306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624" w14:textId="23D216DA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F96115" w14:textId="6D703C26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2,2 milionu</w:t>
            </w:r>
          </w:p>
        </w:tc>
      </w:tr>
      <w:tr w:rsidR="00B34A8C" w:rsidRPr="00B34A8C" w14:paraId="505CA0D6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B65A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Kypr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D92" w14:textId="0F727069" w:rsidR="00B34A8C" w:rsidRPr="00B34A8C" w:rsidRDefault="00B626F6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+ 13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0B1" w14:textId="5F1BB9CF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EB1A4C" w14:textId="20F5483F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27 tisíc</w:t>
            </w:r>
          </w:p>
        </w:tc>
      </w:tr>
      <w:tr w:rsidR="00B34A8C" w:rsidRPr="00B34A8C" w14:paraId="2147F6B8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9AC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Litva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C7E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- 176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694E" w14:textId="4F287BA1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2C3A1" w14:textId="7FA7DB4A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170 tisíc</w:t>
            </w:r>
          </w:p>
        </w:tc>
      </w:tr>
      <w:tr w:rsidR="00B34A8C" w:rsidRPr="00B34A8C" w14:paraId="24FEDA3C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4A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Lotyšsko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345" w14:textId="61EE41AD" w:rsidR="00B34A8C" w:rsidRPr="00B34A8C" w:rsidRDefault="00B626F6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- 222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76B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2CD67" w14:textId="6C2E8E5D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</w:t>
            </w:r>
            <w:r w:rsidR="00083274">
              <w:rPr>
                <w:rFonts w:ascii="Calibri" w:hAnsi="Calibri"/>
                <w:szCs w:val="22"/>
              </w:rPr>
              <w:t xml:space="preserve">les </w:t>
            </w:r>
            <w:r w:rsidRPr="00B34A8C">
              <w:rPr>
                <w:rFonts w:ascii="Calibri" w:hAnsi="Calibri"/>
                <w:szCs w:val="22"/>
              </w:rPr>
              <w:t>o 121 tisíc</w:t>
            </w:r>
          </w:p>
        </w:tc>
      </w:tr>
      <w:tr w:rsidR="00B34A8C" w:rsidRPr="00B34A8C" w14:paraId="7E8DE62A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643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Lucembursko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9B6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+ 50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7C6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C6AAA9" w14:textId="2C30AAEB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6 tisíc</w:t>
            </w:r>
          </w:p>
        </w:tc>
      </w:tr>
      <w:tr w:rsidR="00B34A8C" w:rsidRPr="00B34A8C" w14:paraId="64313013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21E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Maďarsko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24B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- 986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BF1C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- 1093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3660EC" w14:textId="51D2CB7B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450 tisíc</w:t>
            </w:r>
          </w:p>
        </w:tc>
      </w:tr>
      <w:tr w:rsidR="00B34A8C" w:rsidRPr="00B34A8C" w14:paraId="0CE9E13E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29EF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Malta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849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+ 16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F9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D06CC7" w14:textId="2111CDD4" w:rsidR="00B34A8C" w:rsidRPr="00B34A8C" w:rsidRDefault="00B34A8C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6,5 tisíce</w:t>
            </w:r>
          </w:p>
        </w:tc>
      </w:tr>
      <w:tr w:rsidR="00B34A8C" w:rsidRPr="00B34A8C" w14:paraId="7CBCC916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DED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Německo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BA0" w14:textId="5094DBF6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 </w:t>
            </w:r>
            <w:r w:rsidR="007556EC">
              <w:rPr>
                <w:rFonts w:ascii="Calibri" w:hAnsi="Calibri"/>
                <w:szCs w:val="22"/>
              </w:rPr>
              <w:t>-</w:t>
            </w:r>
            <w:r w:rsidR="00B626F6">
              <w:rPr>
                <w:rFonts w:ascii="Calibri" w:hAnsi="Calibri"/>
                <w:szCs w:val="22"/>
              </w:rPr>
              <w:t xml:space="preserve"> 2098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819D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A82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Požadovaná data se nepodařilo dohledat</w:t>
            </w:r>
          </w:p>
        </w:tc>
      </w:tr>
      <w:tr w:rsidR="00B34A8C" w:rsidRPr="00B34A8C" w14:paraId="2D3A8450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55A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Nizozemsko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159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+ 380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C59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+ 356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6AAB4E" w14:textId="0ECC2CC0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počtu osob žijících v domácnosti bez zaměstnání</w:t>
            </w:r>
            <w:r w:rsidR="002F0C6D">
              <w:rPr>
                <w:rFonts w:ascii="Calibri" w:hAnsi="Calibri"/>
                <w:szCs w:val="22"/>
              </w:rPr>
              <w:t xml:space="preserve"> o</w:t>
            </w:r>
            <w:r w:rsidRPr="00B34A8C">
              <w:rPr>
                <w:rFonts w:ascii="Calibri" w:hAnsi="Calibri"/>
                <w:szCs w:val="22"/>
              </w:rPr>
              <w:t xml:space="preserve"> 100 tisíc</w:t>
            </w:r>
          </w:p>
        </w:tc>
      </w:tr>
      <w:tr w:rsidR="00B34A8C" w:rsidRPr="00B34A8C" w14:paraId="15F509B3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B4A6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800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- 4800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DB8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4B9DE4" w14:textId="68B47C74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1,5 milionu</w:t>
            </w:r>
          </w:p>
        </w:tc>
      </w:tr>
      <w:tr w:rsidR="00B34A8C" w:rsidRPr="00B34A8C" w14:paraId="5F515645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1A5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Portugalsko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AEE" w14:textId="2D880C04" w:rsidR="00B34A8C" w:rsidRPr="00B34A8C" w:rsidRDefault="00B626F6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- 542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D31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77ADBF" w14:textId="56199D47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200 tisíc</w:t>
            </w:r>
          </w:p>
        </w:tc>
      </w:tr>
      <w:tr w:rsidR="00B34A8C" w:rsidRPr="00B34A8C" w14:paraId="370B8977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5C2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Rakousko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4481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- 227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1AE" w14:textId="0BCB1484" w:rsidR="00B34A8C" w:rsidRPr="00B34A8C" w:rsidRDefault="00343C54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  <w:r w:rsidR="00B34A8C" w:rsidRPr="00B34A8C">
              <w:rPr>
                <w:rFonts w:ascii="Calibri" w:hAnsi="Calibri"/>
                <w:szCs w:val="22"/>
              </w:rPr>
              <w:t>-</w:t>
            </w:r>
            <w:r>
              <w:rPr>
                <w:rFonts w:ascii="Calibri" w:hAnsi="Calibri"/>
                <w:szCs w:val="22"/>
              </w:rPr>
              <w:t xml:space="preserve"> 170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FB3420" w14:textId="0827562A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235 tisíc</w:t>
            </w:r>
          </w:p>
        </w:tc>
      </w:tr>
      <w:tr w:rsidR="00B34A8C" w:rsidRPr="00B34A8C" w14:paraId="71DF9C2B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BE7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Řecko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564E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+ 116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2ED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6E69DA" w14:textId="10348E69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450 tisíc</w:t>
            </w:r>
          </w:p>
        </w:tc>
      </w:tr>
      <w:tr w:rsidR="00B34A8C" w:rsidRPr="00B34A8C" w14:paraId="16CEF1ED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24DE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Rumunsko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2D3E" w14:textId="1FF762FB" w:rsidR="00B34A8C" w:rsidRPr="00B34A8C" w:rsidRDefault="00B626F6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- 3042</w:t>
            </w:r>
            <w:r w:rsidR="00B34A8C" w:rsidRPr="00B34A8C">
              <w:rPr>
                <w:rFonts w:ascii="Calibri" w:hAnsi="Calibri"/>
                <w:szCs w:val="22"/>
              </w:rPr>
              <w:t xml:space="preserve">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022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- 3242 tis.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0285AC" w14:textId="35425EEB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580 tisíc</w:t>
            </w:r>
          </w:p>
        </w:tc>
      </w:tr>
      <w:tr w:rsidR="00B34A8C" w:rsidRPr="00B34A8C" w14:paraId="50C66A18" w14:textId="77777777" w:rsidTr="007556E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DCB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Slovensko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D2B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- 234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BD8" w14:textId="1C1789E6" w:rsidR="007556E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67369" w14:textId="3941E64A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podílu o 17,2 %</w:t>
            </w:r>
          </w:p>
        </w:tc>
      </w:tr>
      <w:tr w:rsidR="00B34A8C" w:rsidRPr="00B34A8C" w14:paraId="7E78D6ED" w14:textId="77777777" w:rsidTr="007C0BA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0A96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Slovinsko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D99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- 68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002" w14:textId="02155F8F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22D602" w14:textId="2168758C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40 tisíc</w:t>
            </w:r>
          </w:p>
        </w:tc>
      </w:tr>
      <w:tr w:rsidR="00B34A8C" w:rsidRPr="00B34A8C" w14:paraId="5C42E429" w14:textId="77777777" w:rsidTr="007C0BAC"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7E2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Španělsko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79F" w14:textId="77777777" w:rsidR="00B34A8C" w:rsidRPr="00B34A8C" w:rsidRDefault="00B34A8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 xml:space="preserve"> + 979 tis.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59B" w14:textId="2724DE4E" w:rsidR="00B34A8C" w:rsidRPr="00B34A8C" w:rsidRDefault="007556E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4702CA" w14:textId="75098BA7" w:rsidR="00B34A8C" w:rsidRPr="00B34A8C" w:rsidRDefault="00B34A8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B34A8C">
              <w:rPr>
                <w:rFonts w:ascii="Calibri" w:hAnsi="Calibri"/>
                <w:szCs w:val="22"/>
              </w:rPr>
              <w:t>pokles o 1,4 - 1,5 milionu</w:t>
            </w:r>
          </w:p>
        </w:tc>
      </w:tr>
      <w:tr w:rsidR="007C0BAC" w:rsidRPr="00B34A8C" w14:paraId="3A724F59" w14:textId="77777777" w:rsidTr="00E04E75">
        <w:trPr>
          <w:trHeight w:val="2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57A1" w14:textId="11C4147A" w:rsidR="007C0BAC" w:rsidRPr="00B34A8C" w:rsidRDefault="007C0BA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Švédsko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7B2D" w14:textId="582250A7" w:rsidR="007C0BAC" w:rsidRPr="00B34A8C" w:rsidRDefault="007C0BA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+ 391 tis.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5653" w14:textId="0871ADDF" w:rsidR="007C0BAC" w:rsidRDefault="007C0BAC" w:rsidP="00B34A8C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F5740F" w14:textId="70F764BF" w:rsidR="007C0BAC" w:rsidRPr="00B34A8C" w:rsidRDefault="007C0BAC" w:rsidP="0011086F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Pokles podílu o 14 %</w:t>
            </w:r>
          </w:p>
        </w:tc>
      </w:tr>
    </w:tbl>
    <w:p w14:paraId="1CAF1F3D" w14:textId="007045AC" w:rsidR="00EE076A" w:rsidRDefault="007556EC" w:rsidP="00EE076A">
      <w:pPr>
        <w:spacing w:after="0"/>
        <w:rPr>
          <w:i/>
        </w:rPr>
      </w:pPr>
      <w:r>
        <w:rPr>
          <w:i/>
        </w:rPr>
        <w:t>Zdroj</w:t>
      </w:r>
      <w:r w:rsidR="00DB7AF5">
        <w:rPr>
          <w:i/>
        </w:rPr>
        <w:t>:</w:t>
      </w:r>
      <w:r>
        <w:rPr>
          <w:i/>
        </w:rPr>
        <w:t xml:space="preserve"> Evropská komise</w:t>
      </w:r>
      <w:bookmarkStart w:id="22" w:name="_Toc56755569"/>
      <w:bookmarkStart w:id="23" w:name="_Toc58485953"/>
    </w:p>
    <w:p w14:paraId="540EFE4B" w14:textId="39C9AE6E" w:rsidR="00EE076A" w:rsidRDefault="00EE076A" w:rsidP="00EE076A">
      <w:pPr>
        <w:spacing w:after="0"/>
        <w:rPr>
          <w:i/>
        </w:rPr>
      </w:pPr>
    </w:p>
    <w:p w14:paraId="09359518" w14:textId="67A5791B" w:rsidR="00EE076A" w:rsidRDefault="00EE076A" w:rsidP="00EE076A">
      <w:pPr>
        <w:spacing w:after="0"/>
        <w:rPr>
          <w:i/>
        </w:rPr>
      </w:pPr>
    </w:p>
    <w:p w14:paraId="5223F446" w14:textId="485EF7BF" w:rsidR="00EE076A" w:rsidRDefault="00EE076A" w:rsidP="00EE076A">
      <w:pPr>
        <w:spacing w:after="0"/>
        <w:rPr>
          <w:i/>
        </w:rPr>
      </w:pPr>
    </w:p>
    <w:p w14:paraId="7E533DD0" w14:textId="77777777" w:rsidR="00EE076A" w:rsidRPr="00EE076A" w:rsidRDefault="00EE076A" w:rsidP="00EE076A">
      <w:pPr>
        <w:spacing w:after="0"/>
        <w:rPr>
          <w:i/>
        </w:rPr>
      </w:pPr>
    </w:p>
    <w:p w14:paraId="06EA2785" w14:textId="606FD3ED" w:rsidR="0078246A" w:rsidRPr="003A3EC5" w:rsidRDefault="00C46A85" w:rsidP="0078246A">
      <w:pPr>
        <w:pStyle w:val="Styl2"/>
        <w:numPr>
          <w:ilvl w:val="0"/>
          <w:numId w:val="0"/>
        </w:numPr>
        <w:rPr>
          <w:lang w:val="cs-CZ"/>
        </w:rPr>
      </w:pPr>
      <w:bookmarkStart w:id="24" w:name="_Toc74655276"/>
      <w:r>
        <w:rPr>
          <w:lang w:val="cs-CZ"/>
        </w:rPr>
        <w:lastRenderedPageBreak/>
        <w:t xml:space="preserve">3. </w:t>
      </w:r>
      <w:r w:rsidR="0078246A" w:rsidRPr="003A3EC5">
        <w:rPr>
          <w:lang w:val="cs-CZ"/>
        </w:rPr>
        <w:t>Vzdělávání</w:t>
      </w:r>
      <w:bookmarkStart w:id="25" w:name="_Toc55915916"/>
      <w:bookmarkEnd w:id="21"/>
      <w:bookmarkEnd w:id="22"/>
      <w:bookmarkEnd w:id="23"/>
      <w:bookmarkEnd w:id="24"/>
    </w:p>
    <w:p w14:paraId="5FFAD9FA" w14:textId="2EF4BFAE" w:rsidR="0078246A" w:rsidRPr="00C56937" w:rsidRDefault="0078246A" w:rsidP="0078246A">
      <w:pPr>
        <w:spacing w:before="240"/>
      </w:pPr>
      <w:r w:rsidRPr="003A3EC5">
        <w:t>Hodnoty ukazatele podílu osob předčasně odcházejících ze vzdělávání se v letech 2</w:t>
      </w:r>
      <w:r w:rsidRPr="00B567FB">
        <w:t>006–2014 pohybovaly (mimo jednoho výkyvu v roce 2008) pod hodnotou stanovenou jako národní cíl pro rok 2020 (5,5 %) nebo maximálně</w:t>
      </w:r>
      <w:r w:rsidRPr="00780CDD">
        <w:t xml:space="preserve"> na její úrovni. </w:t>
      </w:r>
      <w:r w:rsidRPr="00C56937">
        <w:t xml:space="preserve">Od té doby se </w:t>
      </w:r>
      <w:r w:rsidR="00BD24F1">
        <w:t xml:space="preserve">však </w:t>
      </w:r>
      <w:r w:rsidRPr="00C56937">
        <w:t xml:space="preserve">podíl osob ve věku 18–24 let, které dosáhly maximálně základního vzdělání a zároveň nepokračují ve vzdělávání, </w:t>
      </w:r>
      <w:r w:rsidR="00BD24F1">
        <w:t>zpravidla zvyšuje. D</w:t>
      </w:r>
      <w:r w:rsidRPr="00C56937">
        <w:t>ošlo tedy k</w:t>
      </w:r>
      <w:r>
        <w:t> </w:t>
      </w:r>
      <w:r w:rsidRPr="00780CDD">
        <w:t>trvalejšímu překročení stanoveného cíle. Ve srovnání s ostatními členskými státy EU byla hodnota tohoto indikátoru pro ČR</w:t>
      </w:r>
      <w:r w:rsidR="00BD24F1">
        <w:t xml:space="preserve"> </w:t>
      </w:r>
      <w:r w:rsidRPr="00780CDD">
        <w:t xml:space="preserve">v roce </w:t>
      </w:r>
      <w:r w:rsidR="00BD24F1">
        <w:t>2020</w:t>
      </w:r>
      <w:r w:rsidRPr="00C56937">
        <w:t xml:space="preserve"> </w:t>
      </w:r>
      <w:r w:rsidR="00BD24F1">
        <w:t>(7,6 %) desátá</w:t>
      </w:r>
      <w:r w:rsidRPr="00C56937">
        <w:t xml:space="preserve"> nejnižší.  </w:t>
      </w:r>
    </w:p>
    <w:p w14:paraId="358942A8" w14:textId="77BA3DE7" w:rsidR="0078246A" w:rsidRPr="00C56937" w:rsidRDefault="0078246A" w:rsidP="0078246A">
      <w:pPr>
        <w:spacing w:before="240"/>
      </w:pPr>
      <w:r w:rsidRPr="00C56937">
        <w:t>Z vývoje hodnot ukazatele podílu obyvatelstva ve věku 30–34 let s terciárním vzděláním vyplývá, že národní cíl (32 %) je soustavně plněn od roku</w:t>
      </w:r>
      <w:r w:rsidR="00580875">
        <w:t xml:space="preserve"> 2016, přičemž příslušný podíl od té doby</w:t>
      </w:r>
      <w:r w:rsidRPr="00C56937">
        <w:t xml:space="preserve"> nadále </w:t>
      </w:r>
      <w:r w:rsidR="00580875">
        <w:t>zpravidla roste</w:t>
      </w:r>
      <w:r w:rsidRPr="00C56937">
        <w:t xml:space="preserve">. V roce </w:t>
      </w:r>
      <w:r w:rsidR="00580875">
        <w:t xml:space="preserve">2020 dosáhl hodnoty 35 %. </w:t>
      </w:r>
      <w:r w:rsidRPr="00C56937">
        <w:t>Ve srovnání s ostatními členskými státy EU však byl v</w:t>
      </w:r>
      <w:r w:rsidR="00580875">
        <w:t xml:space="preserve"> daném roce </w:t>
      </w:r>
      <w:r w:rsidRPr="00C56937">
        <w:t>podíl obyvatelstva ve</w:t>
      </w:r>
      <w:r>
        <w:t> </w:t>
      </w:r>
      <w:r w:rsidRPr="00780CDD">
        <w:t>věku 30–34 let s terciárním vzděláním šestý</w:t>
      </w:r>
      <w:r w:rsidRPr="00C56937">
        <w:t xml:space="preserve"> nejnižší. </w:t>
      </w:r>
    </w:p>
    <w:p w14:paraId="6DCF0404" w14:textId="77777777" w:rsidR="0078246A" w:rsidRPr="00C56937" w:rsidRDefault="0078246A" w:rsidP="0078246A"/>
    <w:p w14:paraId="39D9F741" w14:textId="77777777" w:rsidR="0078246A" w:rsidRPr="00780CDD" w:rsidRDefault="0078246A" w:rsidP="0078246A">
      <w:pPr>
        <w:rPr>
          <w:b/>
          <w:szCs w:val="22"/>
        </w:rPr>
      </w:pPr>
      <w:r w:rsidRPr="00C56937">
        <w:rPr>
          <w:b/>
          <w:szCs w:val="22"/>
        </w:rPr>
        <w:t>Graf 4: podíl osob v ČR ve věku 18-24 let, které dosáhly maximálně základního vzdělání a</w:t>
      </w:r>
      <w:r>
        <w:rPr>
          <w:b/>
          <w:szCs w:val="22"/>
        </w:rPr>
        <w:t> </w:t>
      </w:r>
      <w:r w:rsidRPr="00780CDD">
        <w:rPr>
          <w:b/>
          <w:szCs w:val="22"/>
        </w:rPr>
        <w:t>zároveň nejsou ve vzdělávání (v %)</w:t>
      </w:r>
    </w:p>
    <w:p w14:paraId="79EF3E5E" w14:textId="192790C9" w:rsidR="0078246A" w:rsidRPr="003A3EC5" w:rsidRDefault="00580875" w:rsidP="00782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2D17D3E" wp14:editId="3FC4CC45">
            <wp:extent cx="5732601" cy="3390900"/>
            <wp:effectExtent l="0" t="0" r="190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1" b="998"/>
                    <a:stretch/>
                  </pic:blipFill>
                  <pic:spPr bwMode="auto">
                    <a:xfrm>
                      <a:off x="0" y="0"/>
                      <a:ext cx="5733513" cy="33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8A078" w14:textId="77777777" w:rsidR="0078246A" w:rsidRPr="003A3EC5" w:rsidRDefault="0078246A" w:rsidP="0078246A">
      <w:pPr>
        <w:pStyle w:val="Bezmezer"/>
        <w:spacing w:before="120" w:after="240" w:line="276" w:lineRule="auto"/>
        <w:rPr>
          <w:i/>
        </w:rPr>
      </w:pPr>
      <w:r w:rsidRPr="003A3EC5">
        <w:rPr>
          <w:i/>
          <w:sz w:val="22"/>
        </w:rPr>
        <w:t xml:space="preserve">Zdroj: </w:t>
      </w:r>
      <w:proofErr w:type="spellStart"/>
      <w:r w:rsidRPr="003A3EC5">
        <w:rPr>
          <w:i/>
          <w:sz w:val="22"/>
        </w:rPr>
        <w:t>Eurostat</w:t>
      </w:r>
      <w:proofErr w:type="spellEnd"/>
      <w:r w:rsidRPr="003A3EC5">
        <w:rPr>
          <w:i/>
        </w:rPr>
        <w:t xml:space="preserve"> </w:t>
      </w:r>
    </w:p>
    <w:p w14:paraId="19711368" w14:textId="77777777" w:rsidR="0078246A" w:rsidRPr="00C56937" w:rsidRDefault="0078246A" w:rsidP="0078246A"/>
    <w:p w14:paraId="22024145" w14:textId="77777777" w:rsidR="0078246A" w:rsidRPr="00C56937" w:rsidRDefault="0078246A" w:rsidP="0078246A"/>
    <w:p w14:paraId="4B8EA84B" w14:textId="77777777" w:rsidR="0078246A" w:rsidRPr="00C56937" w:rsidRDefault="0078246A" w:rsidP="0078246A"/>
    <w:p w14:paraId="3ADB0FE0" w14:textId="77777777" w:rsidR="0078246A" w:rsidRPr="00C56937" w:rsidRDefault="0078246A" w:rsidP="0078246A"/>
    <w:p w14:paraId="00FCDAEC" w14:textId="780A8DE7" w:rsidR="0078246A" w:rsidRDefault="0078246A" w:rsidP="0078246A"/>
    <w:p w14:paraId="47F2D074" w14:textId="4933BD98" w:rsidR="00D50ABE" w:rsidRDefault="00D50ABE">
      <w:pPr>
        <w:spacing w:after="160" w:line="259" w:lineRule="auto"/>
        <w:jc w:val="left"/>
      </w:pPr>
      <w:r>
        <w:br w:type="page"/>
      </w:r>
    </w:p>
    <w:p w14:paraId="12EFCD5F" w14:textId="77777777" w:rsidR="0078246A" w:rsidRPr="00C56937" w:rsidRDefault="0078246A" w:rsidP="0078246A">
      <w:pPr>
        <w:rPr>
          <w:b/>
          <w:szCs w:val="22"/>
        </w:rPr>
      </w:pPr>
      <w:r w:rsidRPr="00C56937">
        <w:rPr>
          <w:b/>
          <w:szCs w:val="22"/>
        </w:rPr>
        <w:lastRenderedPageBreak/>
        <w:t>Graf 5: podíl osob v ČR ve věku 30-34 let s terciárním vzděláním (v %)</w:t>
      </w:r>
    </w:p>
    <w:p w14:paraId="5747F440" w14:textId="3204C09A" w:rsidR="0078246A" w:rsidRDefault="00580875" w:rsidP="0078246A">
      <w:pPr>
        <w:rPr>
          <w:i/>
        </w:rPr>
      </w:pPr>
      <w:r>
        <w:rPr>
          <w:noProof/>
        </w:rPr>
        <w:drawing>
          <wp:inline distT="0" distB="0" distL="0" distR="0" wp14:anchorId="37E10181" wp14:editId="7EBE4A55">
            <wp:extent cx="5735816" cy="31908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3" b="3530"/>
                    <a:stretch/>
                  </pic:blipFill>
                  <pic:spPr bwMode="auto">
                    <a:xfrm>
                      <a:off x="0" y="0"/>
                      <a:ext cx="5739911" cy="31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46A" w:rsidRPr="003A3EC5">
        <w:rPr>
          <w:i/>
        </w:rPr>
        <w:t xml:space="preserve">Zdroj: </w:t>
      </w:r>
      <w:proofErr w:type="spellStart"/>
      <w:r w:rsidR="0078246A" w:rsidRPr="003A3EC5">
        <w:rPr>
          <w:i/>
        </w:rPr>
        <w:t>Eurostat</w:t>
      </w:r>
      <w:proofErr w:type="spellEnd"/>
    </w:p>
    <w:p w14:paraId="7B5DA11E" w14:textId="0C734B54" w:rsidR="001503EA" w:rsidRDefault="001503EA" w:rsidP="0078246A">
      <w:pPr>
        <w:rPr>
          <w:i/>
        </w:rPr>
      </w:pPr>
    </w:p>
    <w:p w14:paraId="6ADB0757" w14:textId="77777777" w:rsidR="00D50ABE" w:rsidRPr="00EE076A" w:rsidRDefault="00D50ABE" w:rsidP="00D50ABE">
      <w:pPr>
        <w:rPr>
          <w:b/>
        </w:rPr>
      </w:pPr>
      <w:r w:rsidRPr="00EE076A">
        <w:rPr>
          <w:b/>
        </w:rPr>
        <w:t>Srovnání ostatních členských států</w:t>
      </w:r>
    </w:p>
    <w:p w14:paraId="3638B428" w14:textId="7046F962" w:rsidR="001503EA" w:rsidRDefault="001503EA" w:rsidP="001503EA">
      <w:r>
        <w:t xml:space="preserve">V rámci priority zvýšení podílu </w:t>
      </w:r>
      <w:r w:rsidR="00DE050A">
        <w:t>terciární</w:t>
      </w:r>
      <w:r>
        <w:t xml:space="preserve"> úrovně vzdělání u mladší generace splnila </w:t>
      </w:r>
      <w:r w:rsidR="006D7EC0">
        <w:t xml:space="preserve">stanovený cíl </w:t>
      </w:r>
      <w:r>
        <w:t>Belgie 47 %, Dánsko (nejméně 40%), Estonsko 40 %, Finsko 42 %, Itálie 26 – 27 %, Kypr 46%, Litva 47,8% a Lotyšsko 34 – 36 % podílu obyvatelstva s </w:t>
      </w:r>
      <w:r w:rsidR="00DE050A">
        <w:t>terciárním</w:t>
      </w:r>
      <w:r>
        <w:t xml:space="preserve"> vzděláním. Stanovený cíl 33 % se podařilo dosáhnout také Maltě, Nizozemsku (nejméně 40 %), Polsku 45 %, Rakousku 38 % Řecku 32%, Slovinsku 40 %, Španělsku 44 % a Švédsku 45 – 50 %. Naopak se nepodařilo naplnit ná</w:t>
      </w:r>
      <w:r w:rsidR="006D7EC0">
        <w:t xml:space="preserve">rodní cíl </w:t>
      </w:r>
      <w:r>
        <w:t>Bulharsku, Chorvatsku, Francii, Irsku, Lucembursku, Maďarsku, Německu, Portugalsku, Rumunsku a Slovensku. Itálii a Maltě se spolu s Českou republikou sice podařilo naplnit národní cíl, celoevropský cíl</w:t>
      </w:r>
      <w:r w:rsidR="00CE7A2E">
        <w:t xml:space="preserve"> však</w:t>
      </w:r>
      <w:r>
        <w:t xml:space="preserve"> zůstal nedosažen.</w:t>
      </w:r>
    </w:p>
    <w:p w14:paraId="1F727025" w14:textId="044509BF" w:rsidR="00D50ABE" w:rsidRDefault="00D50ABE">
      <w:pPr>
        <w:spacing w:after="160" w:line="259" w:lineRule="auto"/>
        <w:jc w:val="left"/>
      </w:pPr>
      <w:r>
        <w:br w:type="page"/>
      </w:r>
    </w:p>
    <w:p w14:paraId="679390BE" w14:textId="77777777" w:rsidR="00D50ABE" w:rsidRDefault="00D50ABE" w:rsidP="001503EA"/>
    <w:p w14:paraId="1B0731A3" w14:textId="4BF3952C" w:rsidR="006D7EC0" w:rsidRPr="006D7EC0" w:rsidRDefault="006D7EC0" w:rsidP="006D7EC0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t xml:space="preserve">Tabulka </w:t>
      </w:r>
      <w:r w:rsidRPr="006D7EC0">
        <w:rPr>
          <w:color w:val="auto"/>
          <w:sz w:val="22"/>
          <w:szCs w:val="22"/>
        </w:rPr>
        <w:fldChar w:fldCharType="begin"/>
      </w:r>
      <w:r w:rsidRPr="006D7EC0">
        <w:rPr>
          <w:color w:val="auto"/>
          <w:sz w:val="22"/>
          <w:szCs w:val="22"/>
        </w:rPr>
        <w:instrText xml:space="preserve"> SEQ Tabulka \* ARABIC </w:instrText>
      </w:r>
      <w:r w:rsidRPr="006D7EC0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4</w:t>
      </w:r>
      <w:r w:rsidRPr="006D7EC0">
        <w:rPr>
          <w:color w:val="auto"/>
          <w:sz w:val="22"/>
          <w:szCs w:val="22"/>
        </w:rPr>
        <w:fldChar w:fldCharType="end"/>
      </w:r>
      <w:r w:rsidRPr="006D7EC0">
        <w:rPr>
          <w:color w:val="auto"/>
          <w:sz w:val="22"/>
          <w:szCs w:val="22"/>
        </w:rPr>
        <w:t xml:space="preserve"> Dosažení terciární úrovně vzdělání u mladší generace (Zdroj: Evropská komise)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875"/>
        <w:gridCol w:w="875"/>
        <w:gridCol w:w="2291"/>
        <w:gridCol w:w="2381"/>
      </w:tblGrid>
      <w:tr w:rsidR="001503EA" w:rsidRPr="001503EA" w14:paraId="274D8713" w14:textId="77777777" w:rsidTr="00EE076A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F0D1" w14:textId="0EC8C82D" w:rsidR="001503EA" w:rsidRPr="001503EA" w:rsidRDefault="001503EA" w:rsidP="001503EA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Dosažení terciární úrovně vzdělání u mladší generace</w:t>
            </w:r>
            <w:r w:rsidR="005043DC">
              <w:rPr>
                <w:rFonts w:ascii="Calibri" w:hAnsi="Calibri"/>
                <w:szCs w:val="22"/>
              </w:rPr>
              <w:t xml:space="preserve"> (v %)</w:t>
            </w:r>
          </w:p>
        </w:tc>
      </w:tr>
      <w:tr w:rsidR="001503EA" w:rsidRPr="001503EA" w14:paraId="67045A91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B533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271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2019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585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2020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933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 xml:space="preserve">Cíl EU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0C0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Národní cíl</w:t>
            </w:r>
          </w:p>
        </w:tc>
      </w:tr>
      <w:tr w:rsidR="001503EA" w:rsidRPr="001503EA" w14:paraId="0FEFC3A5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E32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Belgie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5EC2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3F7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A3BC41" w14:textId="4ED7819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79D511" w14:textId="47861C26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7E5EF0AF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BF1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Bulharsko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5F0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32,5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58E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33,3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462895C" w14:textId="3C92A42B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3C60EB" w14:textId="7EF2AF06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29320CCF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732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Česká republika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91D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35,1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01B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847C18" w14:textId="60B0CF33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967DB" w14:textId="3F31757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79576F71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2949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Chorvatsko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EF5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33,1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1A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34,7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900121" w14:textId="7A09BF99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880C95" w14:textId="6774FD1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409F4AC9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E8C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Dánsko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B4D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49,4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5AA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49,8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E4E98B" w14:textId="63085C3F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E04AB9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40 %</w:t>
            </w:r>
          </w:p>
        </w:tc>
      </w:tr>
      <w:tr w:rsidR="001503EA" w:rsidRPr="001503EA" w14:paraId="4006BF2D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7F9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Estonsko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4F6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279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44,3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C03562" w14:textId="52C7CCE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CCB9F4" w14:textId="63F6131D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C42CC56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CA6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Finsko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B3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6C5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49,6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8ADC34" w14:textId="560CA8F6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2E7B73" w14:textId="724837A4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3187EB96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5BF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Francie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DAA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79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48,8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690CB2" w14:textId="3EBAC68D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18EEA5" w14:textId="578B954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3D4BFE88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372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Irsko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30F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55,4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ACA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58,1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20B946" w14:textId="1E5FD941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708FDE" w14:textId="20EB753B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60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4EB261F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CE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Itálie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AAF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27,6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F7BD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27,8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A30864" w14:textId="5E1E57C5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85D28D" w14:textId="03F8297E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 xml:space="preserve">26 </w:t>
            </w:r>
            <w:r>
              <w:rPr>
                <w:rFonts w:ascii="Calibri" w:hAnsi="Calibri"/>
                <w:szCs w:val="22"/>
              </w:rPr>
              <w:t>–</w:t>
            </w:r>
            <w:r w:rsidRPr="001503EA">
              <w:rPr>
                <w:rFonts w:ascii="Calibri" w:hAnsi="Calibri"/>
                <w:szCs w:val="22"/>
              </w:rPr>
              <w:t xml:space="preserve"> 27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5FBFC704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DE5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Kypr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197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58,8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B12C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59,8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B5AD5D" w14:textId="4D1A138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C8B475" w14:textId="625C6FC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5627A83A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E7A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Litva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F8FC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57,8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D25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59,6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A36DC" w14:textId="7C6B2E20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F78EA3" w14:textId="0F384D08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48,70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73BD1B7B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EEF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Lotyšsko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5F2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DEC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49,2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9F4E10" w14:textId="36D581E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8281DF" w14:textId="6B0E1549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 xml:space="preserve">34 </w:t>
            </w:r>
            <w:r>
              <w:rPr>
                <w:rFonts w:ascii="Calibri" w:hAnsi="Calibri"/>
                <w:szCs w:val="22"/>
              </w:rPr>
              <w:t>–</w:t>
            </w:r>
            <w:r w:rsidRPr="001503EA">
              <w:rPr>
                <w:rFonts w:ascii="Calibri" w:hAnsi="Calibri"/>
                <w:szCs w:val="22"/>
              </w:rPr>
              <w:t xml:space="preserve"> 36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1BCB80C7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4DC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Lucembursko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A6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37E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62,2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A8F34" w14:textId="37E5538F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D47CFB" w14:textId="16538B6E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66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2AD72F33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2BB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Maďarsko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1DD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33,4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4A2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33,2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187386" w14:textId="73C36A3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14D25E" w14:textId="1E18C2D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34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3ABA2BDC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8335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Malta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D4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38,1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85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39,7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E064C1C" w14:textId="2ACEB4F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A2CDB4" w14:textId="36F6AD2F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33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12BFD775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CFB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Německo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5C6F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34,9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F175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35,5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2FDD4F8" w14:textId="57007038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E0022A" w14:textId="305EB513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2F8C91EF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0F1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Nizozemsko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BA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51,4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A6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46B178" w14:textId="46DDF90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1332B1" w14:textId="3C555AF1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 xml:space="preserve">nejméně 40 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75EEB5B1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B4D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Polsko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BC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46,6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A36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7D1076" w14:textId="4CA81FFE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ED76AE" w14:textId="318E9C81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F6A37BD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4840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Portugalsko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051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EF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39,6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50F50A" w14:textId="68E03CE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D54FFC" w14:textId="4716C93E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8495F2D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22F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Rakousko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B9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42,4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2D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41,6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2FC1E" w14:textId="7D8E07EA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AF186F" w14:textId="50333B32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68E3838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6C7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Řecko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0F6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43,1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EB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43,9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4417FF" w14:textId="4CD2A893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596BED" w14:textId="5872C7AD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32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3412A41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D02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Rumunsko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63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25,8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F83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26,4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9639E65" w14:textId="4899DFF3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C03F16" w14:textId="466321DF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26,70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55607B4B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B72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Slovensko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1839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40,1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B2A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39,7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13168A" w14:textId="5231513B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545C2A" w14:textId="641742A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337AA339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A63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Slovinsko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89F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44,9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6A9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46,9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E10DA" w14:textId="49062A1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39478C" w14:textId="6B65B871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47CD546B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1A0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Španělsko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848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44,7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BA1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44,8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19562E" w14:textId="0C8A60AC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C029E" w14:textId="3861BFD6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44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  <w:tr w:rsidR="001503EA" w:rsidRPr="001503EA" w14:paraId="09511EE6" w14:textId="77777777" w:rsidTr="00EE076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1BA" w14:textId="77777777" w:rsidR="001503EA" w:rsidRPr="001503EA" w:rsidRDefault="001503EA" w:rsidP="001503EA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Švédsko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2C7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52,5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DB4" w14:textId="77777777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52,2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D7AF5" w14:textId="33AB5A90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>nejméně 40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030E87" w14:textId="53D0E3CB" w:rsidR="001503EA" w:rsidRPr="001503EA" w:rsidRDefault="001503EA" w:rsidP="001503EA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1503EA">
              <w:rPr>
                <w:rFonts w:ascii="Calibri" w:hAnsi="Calibri"/>
                <w:szCs w:val="22"/>
              </w:rPr>
              <w:t xml:space="preserve">45 </w:t>
            </w:r>
            <w:r>
              <w:rPr>
                <w:rFonts w:ascii="Calibri" w:hAnsi="Calibri"/>
                <w:szCs w:val="22"/>
              </w:rPr>
              <w:t>–</w:t>
            </w:r>
            <w:r w:rsidRPr="001503EA">
              <w:rPr>
                <w:rFonts w:ascii="Calibri" w:hAnsi="Calibri"/>
                <w:szCs w:val="22"/>
              </w:rPr>
              <w:t xml:space="preserve"> 50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1503EA">
              <w:rPr>
                <w:rFonts w:ascii="Calibri" w:hAnsi="Calibri"/>
                <w:szCs w:val="22"/>
              </w:rPr>
              <w:t>%</w:t>
            </w:r>
          </w:p>
        </w:tc>
      </w:tr>
    </w:tbl>
    <w:p w14:paraId="351B0434" w14:textId="7706DA1C" w:rsidR="001503EA" w:rsidRPr="00CE7A2E" w:rsidRDefault="001503EA" w:rsidP="001503EA">
      <w:pPr>
        <w:rPr>
          <w:i/>
        </w:rPr>
      </w:pPr>
      <w:r>
        <w:t xml:space="preserve"> </w:t>
      </w:r>
      <w:r w:rsidR="00CE7A2E">
        <w:rPr>
          <w:i/>
        </w:rPr>
        <w:t>Zdroj: Evropská komise</w:t>
      </w:r>
    </w:p>
    <w:p w14:paraId="6DFC16AD" w14:textId="77777777" w:rsidR="00D50ABE" w:rsidRDefault="00D50ABE" w:rsidP="00D50ABE"/>
    <w:p w14:paraId="0E26046C" w14:textId="77777777" w:rsidR="00957D7C" w:rsidRDefault="00957D7C" w:rsidP="00D50ABE"/>
    <w:p w14:paraId="083E2DBA" w14:textId="5DE3FB21" w:rsidR="00D50ABE" w:rsidRDefault="00D50ABE" w:rsidP="00D50ABE">
      <w:r>
        <w:t>V případě cíle snížit podíl dětí, které předčasně ukončí školní docházku, se podařilo naplnit národní cíl Belgii (s cílem snížit podíl dětí, které předčasně ukončí školní docházku na 9,5 %), Chorvatsku (4 %), Dánsku (10 %), Estonsku (9,5 %), Francii (9,5%), Irsku (8 %), Kypru (16 %), Litvě (9%), Lotyšsku (10 %), Lucembursku (pod 10 %), Nizozemsku (8%), Portugalsku (10 %), Rakousku (9%), Řecku (pod 10 %) a Slovinsku (5%). Spolu s Českou republikou nesplnilo v této oblasti stanovený národní cíl Bulharsko (11 %), Finsko (10 %), Kypr (10 %), Maďarsko (10 %), Malta (10 %), Německo (pod 10 %) a Polsko (4,5%). Dále národní cíl nesplnily Rumunsko (11,3%), Slovensko (6 %), Španělsko (15 %) a Švédsko (pod 7%). V případě Bulharska, Itálie, Kypru, Maďarska, Malty, Německa, Rumunska a Španělska se nepodařilo naplnit uvedený celoevropský cíl pod 10 %.</w:t>
      </w:r>
    </w:p>
    <w:p w14:paraId="546CFC3B" w14:textId="77777777" w:rsidR="00D50ABE" w:rsidRDefault="00D50ABE" w:rsidP="00D50ABE"/>
    <w:p w14:paraId="5FBAB47D" w14:textId="2E979D98" w:rsidR="006D7EC0" w:rsidRPr="006D7EC0" w:rsidRDefault="006D7EC0" w:rsidP="006D7EC0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lastRenderedPageBreak/>
        <w:t xml:space="preserve">Tabulka </w:t>
      </w:r>
      <w:r w:rsidRPr="006D7EC0">
        <w:rPr>
          <w:color w:val="auto"/>
          <w:sz w:val="22"/>
          <w:szCs w:val="22"/>
        </w:rPr>
        <w:fldChar w:fldCharType="begin"/>
      </w:r>
      <w:r w:rsidRPr="006D7EC0">
        <w:rPr>
          <w:color w:val="auto"/>
          <w:sz w:val="22"/>
          <w:szCs w:val="22"/>
        </w:rPr>
        <w:instrText xml:space="preserve"> SEQ Tabulka \* ARABIC </w:instrText>
      </w:r>
      <w:r w:rsidRPr="006D7EC0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5</w:t>
      </w:r>
      <w:r w:rsidRPr="006D7EC0">
        <w:rPr>
          <w:color w:val="auto"/>
          <w:sz w:val="22"/>
          <w:szCs w:val="22"/>
        </w:rPr>
        <w:fldChar w:fldCharType="end"/>
      </w:r>
      <w:r w:rsidRPr="006D7EC0">
        <w:rPr>
          <w:color w:val="auto"/>
          <w:sz w:val="22"/>
          <w:szCs w:val="22"/>
        </w:rPr>
        <w:t xml:space="preserve"> Snížení podílu dětí, které předčasně ukončí školní docházku (Zdroj: Evropská komise)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019"/>
        <w:gridCol w:w="1017"/>
        <w:gridCol w:w="1829"/>
        <w:gridCol w:w="2128"/>
      </w:tblGrid>
      <w:tr w:rsidR="00CE7A2E" w:rsidRPr="00CE7A2E" w14:paraId="607914D8" w14:textId="77777777" w:rsidTr="00957D7C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ACE2" w14:textId="33C34054" w:rsidR="00CE7A2E" w:rsidRPr="00CE7A2E" w:rsidRDefault="00CE7A2E" w:rsidP="00CE7A2E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Snížení podílu dětí, které předčasně ukončí školní docházku</w:t>
            </w:r>
            <w:r w:rsidR="005043DC">
              <w:rPr>
                <w:rFonts w:ascii="Calibri" w:hAnsi="Calibri"/>
                <w:szCs w:val="22"/>
              </w:rPr>
              <w:t xml:space="preserve"> (v %)</w:t>
            </w:r>
          </w:p>
        </w:tc>
      </w:tr>
      <w:tr w:rsidR="00CE7A2E" w:rsidRPr="00CE7A2E" w14:paraId="136E6AC2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BE5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97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2019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32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2020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B51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 xml:space="preserve">Cíl EU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0F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Národní cíl</w:t>
            </w:r>
          </w:p>
        </w:tc>
      </w:tr>
      <w:tr w:rsidR="00CE7A2E" w:rsidRPr="00CE7A2E" w14:paraId="60D269C9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BF6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Belgie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AC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041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22E98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64D880" w14:textId="08ADE46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0E64EAF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235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Bulharsko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B1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13,9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845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12,8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14F3A8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D47701" w14:textId="121FF5D9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11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580387C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9F1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Česká republika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84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6,7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85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F74C17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2EE7D2" w14:textId="6F2742AC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5,5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562246E4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4A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Chorvatsko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391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C8AD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4A54C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A2945A" w14:textId="5035AD34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2EDF4561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EF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Dánsko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69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A5C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D31EF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31859A" w14:textId="72AF02A5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C356757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6B50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Estonsko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412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F5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C37845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E9B0EE" w14:textId="3642934F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1685300D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60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Finsko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73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608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31B1BA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7BF57B" w14:textId="3F057BA3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2DA2E1D1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753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Francie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242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64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DC35A3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0291DE" w14:textId="331A1B5C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6D3D248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59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Irsko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E4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35B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C2BEF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5BD17" w14:textId="5064F441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7AA495B4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418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Itálie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65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13,5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27C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13,1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448CD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DB42F5" w14:textId="0B987436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564DC51B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F6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Kypr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2B0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F17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11,5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E6F770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AF549B" w14:textId="4BFB4BDC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590651B1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DF6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Litva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EFB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7E4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E9F0D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C89B9C" w14:textId="029A267F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59F5D61E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F9A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Lotyšsko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F78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758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8BC24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A84F45" w14:textId="6EC37501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0EA0ADA3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4C0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Lucembursko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A2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9D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AEB35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E3BF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</w:tr>
      <w:tr w:rsidR="00CE7A2E" w:rsidRPr="00CE7A2E" w14:paraId="65C93D36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D67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Maďarsko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22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11,8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FC8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12,1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3902C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2D66B0" w14:textId="5B6CA146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AC1E4E7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13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Malta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08A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17,2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DE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16,7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3525A23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958B26D" w14:textId="7173D936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30031BE4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3B93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Německo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F15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E9C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339A97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BE7E61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</w:tr>
      <w:tr w:rsidR="00CE7A2E" w:rsidRPr="00CE7A2E" w14:paraId="55132C72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CB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Nizozemsko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4D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854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5BEA17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302548" w14:textId="0460E435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1499357F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3D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Polsko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3D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C0C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625E60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CB76CC" w14:textId="141F74D6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4,5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774530B2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441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Portugalsko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78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DF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94C76D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B36562" w14:textId="15D1F655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793CF933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389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Rakousko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6CF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ED7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4F1DFC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E11C8" w14:textId="32E3E462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9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0A59A159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7AC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Řecko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BEB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FCA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3,8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132751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D82D96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</w:tr>
      <w:tr w:rsidR="00CE7A2E" w:rsidRPr="00CE7A2E" w14:paraId="679AECD5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C3F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Rumunsko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71B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15,3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5D1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15,6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E1690D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8807AA" w14:textId="6BBD64B5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11,3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405F5F7B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8CC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Slovensko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BF1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8,3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D01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9FC0F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BBC41C" w14:textId="5BCD5D2D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6CBCF968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E72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Slovinsko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04E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8D2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4,1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9A1D20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5C307C" w14:textId="707C7710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71050D5D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E6F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Španělsko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158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17,3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F9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1025BE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84AD9D" w14:textId="71F09A58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15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  <w:tr w:rsidR="00CE7A2E" w:rsidRPr="00CE7A2E" w14:paraId="6F95D35F" w14:textId="77777777" w:rsidTr="00957D7C">
        <w:trPr>
          <w:trHeight w:val="290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4DD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Švédsko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AB3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6,5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4489" w14:textId="77777777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ADF564" w14:textId="77777777" w:rsidR="00CE7A2E" w:rsidRPr="00CE7A2E" w:rsidRDefault="00CE7A2E" w:rsidP="00CE7A2E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10 %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ABCAF5" w14:textId="5229DC90" w:rsidR="00CE7A2E" w:rsidRPr="00CE7A2E" w:rsidRDefault="00CE7A2E" w:rsidP="00CE7A2E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CE7A2E">
              <w:rPr>
                <w:rFonts w:ascii="Calibri" w:hAnsi="Calibri"/>
                <w:szCs w:val="22"/>
              </w:rPr>
              <w:t>pod 7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CE7A2E">
              <w:rPr>
                <w:rFonts w:ascii="Calibri" w:hAnsi="Calibri"/>
                <w:szCs w:val="22"/>
              </w:rPr>
              <w:t>%</w:t>
            </w:r>
          </w:p>
        </w:tc>
      </w:tr>
    </w:tbl>
    <w:p w14:paraId="0D59B42E" w14:textId="7E4308CF" w:rsidR="00CE7A2E" w:rsidRPr="00B34A8C" w:rsidRDefault="00B34A8C" w:rsidP="001503EA">
      <w:pPr>
        <w:rPr>
          <w:i/>
        </w:rPr>
      </w:pPr>
      <w:r>
        <w:rPr>
          <w:i/>
        </w:rPr>
        <w:t>Zdroj: Evropská komise</w:t>
      </w:r>
    </w:p>
    <w:p w14:paraId="3E1D991A" w14:textId="77777777" w:rsidR="001503EA" w:rsidRPr="003A3EC5" w:rsidRDefault="001503EA" w:rsidP="0078246A"/>
    <w:p w14:paraId="7E720E7E" w14:textId="1E9C67BB" w:rsidR="0078246A" w:rsidRPr="003A3EC5" w:rsidRDefault="00C46A85" w:rsidP="0078246A">
      <w:pPr>
        <w:pStyle w:val="Styl2"/>
        <w:numPr>
          <w:ilvl w:val="0"/>
          <w:numId w:val="0"/>
        </w:numPr>
        <w:rPr>
          <w:lang w:val="cs-CZ"/>
        </w:rPr>
      </w:pPr>
      <w:bookmarkStart w:id="26" w:name="_Toc56755570"/>
      <w:bookmarkStart w:id="27" w:name="_Toc58485954"/>
      <w:bookmarkStart w:id="28" w:name="_Toc74655277"/>
      <w:r>
        <w:rPr>
          <w:lang w:val="cs-CZ"/>
        </w:rPr>
        <w:t xml:space="preserve">4. </w:t>
      </w:r>
      <w:r w:rsidR="0078246A" w:rsidRPr="003A3EC5">
        <w:rPr>
          <w:lang w:val="cs-CZ"/>
        </w:rPr>
        <w:t>Výzkum, vývoj a inovace</w:t>
      </w:r>
      <w:bookmarkStart w:id="29" w:name="_Toc55915917"/>
      <w:bookmarkEnd w:id="25"/>
      <w:bookmarkEnd w:id="26"/>
      <w:bookmarkEnd w:id="27"/>
      <w:bookmarkEnd w:id="28"/>
    </w:p>
    <w:p w14:paraId="78A2F068" w14:textId="77777777" w:rsidR="0078246A" w:rsidRPr="00C56937" w:rsidRDefault="0078246A" w:rsidP="0078246A">
      <w:pPr>
        <w:spacing w:before="240"/>
        <w:rPr>
          <w:lang w:eastAsia="x-none"/>
        </w:rPr>
      </w:pPr>
      <w:r w:rsidRPr="00780CDD">
        <w:rPr>
          <w:lang w:eastAsia="x-none"/>
        </w:rPr>
        <w:t xml:space="preserve">Celkové výdaje na </w:t>
      </w:r>
      <w:proofErr w:type="spellStart"/>
      <w:r w:rsidRPr="00780CDD">
        <w:rPr>
          <w:lang w:eastAsia="x-none"/>
        </w:rPr>
        <w:t>VaV</w:t>
      </w:r>
      <w:proofErr w:type="spellEnd"/>
      <w:r w:rsidRPr="00780CDD">
        <w:rPr>
          <w:lang w:eastAsia="x-none"/>
        </w:rPr>
        <w:t xml:space="preserve"> (v mld. Kč) v ČR vykazují za roky 2005 – 2</w:t>
      </w:r>
      <w:r w:rsidRPr="00C56937">
        <w:rPr>
          <w:lang w:eastAsia="x-none"/>
        </w:rPr>
        <w:t xml:space="preserve">019 v průměru dlouhodobý růst a v roce 2019 poprvé přesáhly 110 mld. Kč. Dlouhodobý růst celkových výdajů na </w:t>
      </w:r>
      <w:proofErr w:type="spellStart"/>
      <w:r w:rsidRPr="00C56937">
        <w:rPr>
          <w:lang w:eastAsia="x-none"/>
        </w:rPr>
        <w:t>VaV</w:t>
      </w:r>
      <w:proofErr w:type="spellEnd"/>
      <w:r w:rsidRPr="00C56937">
        <w:rPr>
          <w:lang w:eastAsia="x-none"/>
        </w:rPr>
        <w:t xml:space="preserve"> v ČR byl způsoben zejména trvalým růstem podnikatelských zdrojů, které v roce 2019 činily již téměř 65 mld. Kč. Další složkou celkových výdajů, která mírněji přispěla k dlouhodobému růstu celkových výdajů na </w:t>
      </w:r>
      <w:proofErr w:type="spellStart"/>
      <w:r w:rsidRPr="00C56937">
        <w:rPr>
          <w:lang w:eastAsia="x-none"/>
        </w:rPr>
        <w:t>VaV</w:t>
      </w:r>
      <w:proofErr w:type="spellEnd"/>
      <w:r w:rsidRPr="00C56937">
        <w:rPr>
          <w:lang w:eastAsia="x-none"/>
        </w:rPr>
        <w:t>, jsou veřejné tuzemské zdroje, které poprvé přesáhly 35 mld. Kč v roce 2018 a v roce 2019 dokonce dosáhly výše 37,6 mld. Kč.</w:t>
      </w:r>
    </w:p>
    <w:p w14:paraId="1DEDB0B5" w14:textId="19568327" w:rsidR="0078246A" w:rsidRDefault="0078246A" w:rsidP="0078246A">
      <w:pPr>
        <w:spacing w:before="240"/>
        <w:rPr>
          <w:lang w:eastAsia="x-none"/>
        </w:rPr>
      </w:pPr>
      <w:r w:rsidRPr="00C56937">
        <w:rPr>
          <w:lang w:eastAsia="x-none"/>
        </w:rPr>
        <w:t xml:space="preserve">Stanovenému národnímu cíli (úroveň veřejných výdajů na výzkum, vývoj a inovace v ČR ve výši 1 % HDP) se ČR nejvíce blížila v letech 2012 – 2015. Pokles celkových výdajů a veřejných zdrojů na </w:t>
      </w:r>
      <w:proofErr w:type="spellStart"/>
      <w:r w:rsidRPr="00C56937">
        <w:rPr>
          <w:lang w:eastAsia="x-none"/>
        </w:rPr>
        <w:t>VaV</w:t>
      </w:r>
      <w:proofErr w:type="spellEnd"/>
      <w:r w:rsidRPr="00C56937">
        <w:rPr>
          <w:lang w:eastAsia="x-none"/>
        </w:rPr>
        <w:t xml:space="preserve"> v roce 2016 (i v relativním vyjádření vůči HDP) byl způsoben zásadním snížením zahraničních veřejných zdrojů, což souvisí s přechodem na další programové období čerpání ESIF. Od té doby lze </w:t>
      </w:r>
      <w:r w:rsidRPr="00C56937">
        <w:rPr>
          <w:lang w:eastAsia="x-none"/>
        </w:rPr>
        <w:lastRenderedPageBreak/>
        <w:t xml:space="preserve">sledovat opětovné zvyšování celkových výdajů a veřejných zdrojů na </w:t>
      </w:r>
      <w:proofErr w:type="spellStart"/>
      <w:r w:rsidRPr="00C56937">
        <w:rPr>
          <w:lang w:eastAsia="x-none"/>
        </w:rPr>
        <w:t>VaV</w:t>
      </w:r>
      <w:proofErr w:type="spellEnd"/>
      <w:r w:rsidRPr="00C56937">
        <w:rPr>
          <w:lang w:eastAsia="x-none"/>
        </w:rPr>
        <w:t xml:space="preserve"> (i v relativním vyjádření vůči HDP) a postupné přibližování se stanovenému cíli.</w:t>
      </w:r>
    </w:p>
    <w:p w14:paraId="26F23813" w14:textId="77777777" w:rsidR="006D7EC0" w:rsidRPr="00C56937" w:rsidRDefault="006D7EC0" w:rsidP="0078246A">
      <w:pPr>
        <w:spacing w:before="240"/>
        <w:rPr>
          <w:lang w:eastAsia="x-none"/>
        </w:rPr>
      </w:pPr>
    </w:p>
    <w:p w14:paraId="7C4365FD" w14:textId="77777777" w:rsidR="0078246A" w:rsidRPr="00C56937" w:rsidRDefault="0078246A" w:rsidP="0078246A">
      <w:pPr>
        <w:rPr>
          <w:b/>
          <w:szCs w:val="22"/>
        </w:rPr>
      </w:pPr>
      <w:r w:rsidRPr="00C56937">
        <w:rPr>
          <w:b/>
          <w:szCs w:val="22"/>
        </w:rPr>
        <w:t xml:space="preserve">Graf 6: výdaje na </w:t>
      </w:r>
      <w:proofErr w:type="spellStart"/>
      <w:r w:rsidRPr="00C56937">
        <w:rPr>
          <w:b/>
          <w:szCs w:val="22"/>
        </w:rPr>
        <w:t>VaV</w:t>
      </w:r>
      <w:proofErr w:type="spellEnd"/>
      <w:r w:rsidRPr="00C56937">
        <w:rPr>
          <w:b/>
          <w:szCs w:val="22"/>
        </w:rPr>
        <w:t xml:space="preserve"> (GERD) v ČR podle zdrojů financování (v mld. Kč, % HDP)</w:t>
      </w:r>
    </w:p>
    <w:p w14:paraId="40AC8349" w14:textId="2800E524" w:rsidR="0078246A" w:rsidRPr="003A3EC5" w:rsidRDefault="0049679D" w:rsidP="0078246A">
      <w:pPr>
        <w:spacing w:before="240"/>
        <w:rPr>
          <w:lang w:eastAsia="x-none"/>
        </w:rPr>
      </w:pPr>
      <w:r>
        <w:rPr>
          <w:noProof/>
        </w:rPr>
        <w:drawing>
          <wp:inline distT="0" distB="0" distL="0" distR="0" wp14:anchorId="037F034D" wp14:editId="1FFCC484">
            <wp:extent cx="5714365" cy="3429000"/>
            <wp:effectExtent l="0" t="0" r="63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3" b="914"/>
                    <a:stretch/>
                  </pic:blipFill>
                  <pic:spPr bwMode="auto">
                    <a:xfrm>
                      <a:off x="0" y="0"/>
                      <a:ext cx="5723163" cy="34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AE2BE" w14:textId="63106AA2" w:rsidR="00BA5E9B" w:rsidRDefault="0078246A" w:rsidP="00BA5E9B">
      <w:pPr>
        <w:pStyle w:val="Bezmezer"/>
        <w:spacing w:before="120" w:after="240" w:line="276" w:lineRule="auto"/>
        <w:rPr>
          <w:i/>
          <w:sz w:val="22"/>
        </w:rPr>
      </w:pPr>
      <w:r w:rsidRPr="003A3EC5">
        <w:rPr>
          <w:i/>
          <w:sz w:val="22"/>
        </w:rPr>
        <w:t>Zdroj: ČSÚ</w:t>
      </w:r>
      <w:bookmarkStart w:id="30" w:name="_Toc56755571"/>
      <w:bookmarkStart w:id="31" w:name="_Toc58485955"/>
    </w:p>
    <w:p w14:paraId="07D7C23D" w14:textId="3961143C" w:rsidR="00BA5E9B" w:rsidRDefault="00BA5E9B" w:rsidP="00BA5E9B">
      <w:pPr>
        <w:rPr>
          <w:b/>
        </w:rPr>
      </w:pPr>
      <w:r w:rsidRPr="00EE076A">
        <w:rPr>
          <w:b/>
        </w:rPr>
        <w:t>Srovnání ostatních členských států</w:t>
      </w:r>
    </w:p>
    <w:p w14:paraId="2B364FEB" w14:textId="77777777" w:rsidR="00BA5E9B" w:rsidRDefault="00BA5E9B" w:rsidP="00BA5E9B">
      <w:pPr>
        <w:rPr>
          <w:lang w:eastAsia="x-none"/>
        </w:rPr>
      </w:pPr>
      <w:r>
        <w:t xml:space="preserve">Podle dat Evropské komise se celoevropský cíl 3 % podílu HDP investovaný do výzkumu a vývoje podařilo mezi členskými státy EU splnit pouze Německu, Rakousku a Švédsku, v případě Rakouska a Švédska však nebyl naplněn ambicióznější národní cíl v této oblasti. Národní cíl se tak podle uvedených dat podařilo naplnit Kypru, Německu a Řecku, což je s výjimkou Německa způsobeno stanovením nízkých národních cílů. České republice se nepodařilo naplnit celoevropský ani národní cíl, </w:t>
      </w:r>
      <w:r>
        <w:rPr>
          <w:lang w:eastAsia="x-none"/>
        </w:rPr>
        <w:t xml:space="preserve">přičemž </w:t>
      </w:r>
      <w:r w:rsidRPr="00C56937">
        <w:rPr>
          <w:lang w:eastAsia="x-none"/>
        </w:rPr>
        <w:t xml:space="preserve"> národnímu cíli (úroveň veřejných výdajů na výzkum, vývoj a inovace v ČR ve výši 1 % HDP) se ČR nejvíce blížila v letech 2012 – 2015. Pokles celkových výdajů a veřejných zdrojů na </w:t>
      </w:r>
      <w:r>
        <w:rPr>
          <w:lang w:eastAsia="x-none"/>
        </w:rPr>
        <w:t>výzkum a vývoj</w:t>
      </w:r>
      <w:r w:rsidRPr="00C56937">
        <w:rPr>
          <w:lang w:eastAsia="x-none"/>
        </w:rPr>
        <w:t xml:space="preserve"> v roce 2016 (i v relativním vyjádření vůči HDP) byl způsoben zásadním snížením zahraničních veřejných zdrojů, což souvisí s přechodem na další programové období čerpání ESIF.</w:t>
      </w:r>
    </w:p>
    <w:p w14:paraId="5DA4BAD8" w14:textId="39EC1479" w:rsidR="00BA5E9B" w:rsidRPr="00BA5E9B" w:rsidRDefault="00BA5E9B" w:rsidP="00BA5E9B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t xml:space="preserve">Tabulka </w:t>
      </w:r>
      <w:r w:rsidRPr="006D7EC0">
        <w:rPr>
          <w:color w:val="auto"/>
          <w:sz w:val="22"/>
          <w:szCs w:val="22"/>
        </w:rPr>
        <w:fldChar w:fldCharType="begin"/>
      </w:r>
      <w:r w:rsidRPr="006D7EC0">
        <w:rPr>
          <w:color w:val="auto"/>
          <w:sz w:val="22"/>
          <w:szCs w:val="22"/>
        </w:rPr>
        <w:instrText xml:space="preserve"> SEQ Tabulka \* ARABIC </w:instrText>
      </w:r>
      <w:r w:rsidRPr="006D7EC0">
        <w:rPr>
          <w:color w:val="auto"/>
          <w:sz w:val="22"/>
          <w:szCs w:val="22"/>
        </w:rPr>
        <w:fldChar w:fldCharType="separate"/>
      </w:r>
      <w:r w:rsidR="00EA58E0">
        <w:rPr>
          <w:noProof/>
          <w:color w:val="auto"/>
          <w:sz w:val="22"/>
          <w:szCs w:val="22"/>
        </w:rPr>
        <w:t>6</w:t>
      </w:r>
      <w:r w:rsidRPr="006D7EC0">
        <w:rPr>
          <w:color w:val="auto"/>
          <w:sz w:val="22"/>
          <w:szCs w:val="22"/>
        </w:rPr>
        <w:fldChar w:fldCharType="end"/>
      </w:r>
      <w:r w:rsidRPr="006D7EC0">
        <w:rPr>
          <w:color w:val="auto"/>
          <w:sz w:val="22"/>
          <w:szCs w:val="22"/>
        </w:rPr>
        <w:t xml:space="preserve"> Zvýšení podílu</w:t>
      </w:r>
      <w:r>
        <w:rPr>
          <w:color w:val="auto"/>
          <w:sz w:val="22"/>
          <w:szCs w:val="22"/>
        </w:rPr>
        <w:t xml:space="preserve"> HDP investovaného do výzkumu a vývoje</w:t>
      </w:r>
      <w:r w:rsidRPr="006D7EC0">
        <w:rPr>
          <w:color w:val="auto"/>
          <w:sz w:val="22"/>
          <w:szCs w:val="22"/>
        </w:rPr>
        <w:t xml:space="preserve"> (Zdroj: Evropská komise)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4025"/>
        <w:gridCol w:w="899"/>
        <w:gridCol w:w="2565"/>
      </w:tblGrid>
      <w:tr w:rsidR="00BA5E9B" w:rsidRPr="009E7684" w14:paraId="217A50F6" w14:textId="77777777" w:rsidTr="00BA5E9B">
        <w:trPr>
          <w:trHeight w:val="29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6915BC4" w14:textId="21A77F09" w:rsidR="00BA5E9B" w:rsidRPr="009E7684" w:rsidRDefault="00BA5E9B" w:rsidP="008F3C3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Zvýšení podílu HDP investovaného do výzkumu a vývoje</w:t>
            </w:r>
          </w:p>
        </w:tc>
      </w:tr>
      <w:tr w:rsidR="00BA5E9B" w:rsidRPr="009E7684" w14:paraId="127BD535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C80B047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 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1FF77580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2019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736383F1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Cíl EU</w:t>
            </w:r>
          </w:p>
        </w:tc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4BC9A997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Národní cíl</w:t>
            </w:r>
          </w:p>
        </w:tc>
      </w:tr>
      <w:tr w:rsidR="00BA5E9B" w:rsidRPr="009E7684" w14:paraId="17602DE5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3AF1371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Belgie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E89B0F0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2,89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6355CDB0" w14:textId="01D473FE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6DC0C55B" w14:textId="03F05BD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33A502B9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FCD6B27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Bulharsko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6694A383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0,84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6F51CB74" w14:textId="58268DB5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2FF70C70" w14:textId="03A9FA58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1,5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75275EBE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C664B79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Česká republika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B6A39BF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0,79 (z veřejných zdrojů)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15363798" w14:textId="14F6E412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5BFF8893" w14:textId="6831B30B" w:rsidR="00BA5E9B" w:rsidRPr="009E7684" w:rsidRDefault="00824F12" w:rsidP="00106FE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83274">
              <w:rPr>
                <w:rFonts w:ascii="Calibri" w:hAnsi="Calibri" w:cs="Calibri"/>
              </w:rPr>
              <w:t xml:space="preserve"> </w:t>
            </w:r>
            <w:r w:rsidR="00BA5E9B" w:rsidRPr="009E7684">
              <w:rPr>
                <w:rFonts w:ascii="Calibri" w:hAnsi="Calibri" w:cs="Calibri"/>
              </w:rPr>
              <w:t>% (pouze veřejný sektor)</w:t>
            </w:r>
          </w:p>
        </w:tc>
      </w:tr>
      <w:tr w:rsidR="00BA5E9B" w:rsidRPr="009E7684" w14:paraId="640C160D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26A9C15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Chorvatsko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4EF28B40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1,11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49D4E3E1" w14:textId="60BDF6AD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737001D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1,4%</w:t>
            </w:r>
          </w:p>
        </w:tc>
      </w:tr>
      <w:tr w:rsidR="00BA5E9B" w:rsidRPr="009E7684" w14:paraId="27E64D52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3EB6CF6F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Dánsko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06409F95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2,91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7836CAD4" w14:textId="47E3FC2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69100D97" w14:textId="3F8A652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690FAA89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931191B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Estonsko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7B9D043C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1,61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51B8736C" w14:textId="5C25D219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2C30D95E" w14:textId="2CF5D71F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0192DD42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90E3D3D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lastRenderedPageBreak/>
              <w:t>Finsko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24FFD1D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2,79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61AE24F7" w14:textId="0334D3AB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70CCF2FE" w14:textId="22EB96B5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4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0C7E0CF9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A3EDE80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Francie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8EAD72D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2,19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444DB655" w14:textId="17E1389D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7458C4AD" w14:textId="104C275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0DCEE67C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AC46421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Irsko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3B421E41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0,78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728F7C67" w14:textId="7EB85DF0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5A45EA0" w14:textId="3E48CCB9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2,5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3A90CF00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56CEC07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Itálie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4EA79F3C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1,45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0F94A0B5" w14:textId="25AA8F51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53E60669" w14:textId="778361C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1,53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294EE08D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061F935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Kypr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29A247AA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0,63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51A3FD54" w14:textId="6680EF0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92D050"/>
            <w:noWrap/>
            <w:vAlign w:val="bottom"/>
            <w:hideMark/>
          </w:tcPr>
          <w:p w14:paraId="1B3A5EAD" w14:textId="624DE5D6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0,5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5027FD19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209428F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Litva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484B50C6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0C669A31" w14:textId="3236156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5736109B" w14:textId="1D0B340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1,9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42AF1C07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29258C6A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Lotyšsko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20887A4E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0,64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2EC8B3DD" w14:textId="68C657E8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64A90198" w14:textId="5E974E66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1,5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38EAB778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2D32364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Lucembursko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09018DEC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1,19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1BAE3B01" w14:textId="4C1C1335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61A458C" w14:textId="6024B4A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2,3 - 2,6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23B4CE73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F8D457F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Maďarsko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09AFD6E2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14:paraId="39D342FD" w14:textId="636574F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auto" w:fill="auto"/>
            <w:noWrap/>
            <w:vAlign w:val="bottom"/>
            <w:hideMark/>
          </w:tcPr>
          <w:p w14:paraId="78BDC829" w14:textId="2C212875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1,8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102BBCD6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A60C780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Malta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1DD25C68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0,59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2A2FD2A1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7B043F5" w14:textId="41E4DBB6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1A109D92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8F8255F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Německo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62BEA03A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3,18</w:t>
            </w:r>
          </w:p>
        </w:tc>
        <w:tc>
          <w:tcPr>
            <w:tcW w:w="496" w:type="pct"/>
            <w:shd w:val="clear" w:color="000000" w:fill="92D050"/>
            <w:noWrap/>
            <w:vAlign w:val="bottom"/>
            <w:hideMark/>
          </w:tcPr>
          <w:p w14:paraId="4615AE81" w14:textId="44C96153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92D050"/>
            <w:noWrap/>
            <w:vAlign w:val="bottom"/>
            <w:hideMark/>
          </w:tcPr>
          <w:p w14:paraId="48D4781C" w14:textId="78986579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21EB4592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A79A3E3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Nizozemsko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7790F7A1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2,16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0F78D639" w14:textId="23A273D4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29BF1091" w14:textId="2066B2C1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2,5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2AD9E2B8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9D8C309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Polsko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6BBF17AB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1,32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1CFBEE70" w14:textId="4FCA0028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7F70726" w14:textId="2C94A30B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1,7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7E36F997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03DB833D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Portugalsko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17467F33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1,4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068A784F" w14:textId="5A7C3143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9362BB2" w14:textId="0A1F7086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2,7 - 3,3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3A8D4242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1E122353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Rakousko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38E1D83B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3,19</w:t>
            </w:r>
          </w:p>
        </w:tc>
        <w:tc>
          <w:tcPr>
            <w:tcW w:w="496" w:type="pct"/>
            <w:shd w:val="clear" w:color="000000" w:fill="92D050"/>
            <w:noWrap/>
            <w:vAlign w:val="bottom"/>
            <w:hideMark/>
          </w:tcPr>
          <w:p w14:paraId="4B31284C" w14:textId="0425D21C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37E3D5C9" w14:textId="1490FA0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3,76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39E96226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833A755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Řecko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0A73B0C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1,27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3A912D07" w14:textId="71318664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92D050"/>
            <w:noWrap/>
            <w:vAlign w:val="bottom"/>
            <w:hideMark/>
          </w:tcPr>
          <w:p w14:paraId="6E792E12" w14:textId="2C0FA48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1,20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75FB4C81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9671E27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Rumunsko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13FC898D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0,48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5A358F5B" w14:textId="22879573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53C98B8C" w14:textId="149B191D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5F696F1B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44B2D81D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Slovensko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1C19B611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0,83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216A6260" w14:textId="55701C4F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94CB932" w14:textId="123E1180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1,20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5278C70B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6AD844A2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Slovinsko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05CDF54A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2,04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4947C3DE" w14:textId="4EFC705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6131E706" w14:textId="1E75C186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0ABEFD68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7E78C01E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Španělsko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796F37E8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1,25</w:t>
            </w:r>
          </w:p>
        </w:tc>
        <w:tc>
          <w:tcPr>
            <w:tcW w:w="496" w:type="pct"/>
            <w:shd w:val="clear" w:color="000000" w:fill="FF0000"/>
            <w:noWrap/>
            <w:vAlign w:val="bottom"/>
            <w:hideMark/>
          </w:tcPr>
          <w:p w14:paraId="3AC0A69C" w14:textId="6C1DCF90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0BC474BC" w14:textId="53B5FAE4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2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  <w:tr w:rsidR="00BA5E9B" w:rsidRPr="009E7684" w14:paraId="6397A443" w14:textId="77777777" w:rsidTr="00BA5E9B">
        <w:trPr>
          <w:trHeight w:val="290"/>
        </w:trPr>
        <w:tc>
          <w:tcPr>
            <w:tcW w:w="868" w:type="pct"/>
            <w:shd w:val="clear" w:color="auto" w:fill="auto"/>
            <w:noWrap/>
            <w:vAlign w:val="bottom"/>
            <w:hideMark/>
          </w:tcPr>
          <w:p w14:paraId="5C0C3F98" w14:textId="77777777" w:rsidR="00BA5E9B" w:rsidRPr="009E7684" w:rsidRDefault="00BA5E9B" w:rsidP="00106FEA">
            <w:pPr>
              <w:spacing w:after="0" w:line="240" w:lineRule="auto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Švédsko</w:t>
            </w:r>
          </w:p>
        </w:tc>
        <w:tc>
          <w:tcPr>
            <w:tcW w:w="2221" w:type="pct"/>
            <w:shd w:val="clear" w:color="auto" w:fill="auto"/>
            <w:noWrap/>
            <w:vAlign w:val="bottom"/>
            <w:hideMark/>
          </w:tcPr>
          <w:p w14:paraId="5CF088A1" w14:textId="77777777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3,4</w:t>
            </w:r>
          </w:p>
        </w:tc>
        <w:tc>
          <w:tcPr>
            <w:tcW w:w="496" w:type="pct"/>
            <w:shd w:val="clear" w:color="000000" w:fill="92D050"/>
            <w:noWrap/>
            <w:vAlign w:val="bottom"/>
            <w:hideMark/>
          </w:tcPr>
          <w:p w14:paraId="12B65D3C" w14:textId="2803CA5A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3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  <w:tc>
          <w:tcPr>
            <w:tcW w:w="1415" w:type="pct"/>
            <w:shd w:val="clear" w:color="000000" w:fill="FF0000"/>
            <w:noWrap/>
            <w:vAlign w:val="bottom"/>
            <w:hideMark/>
          </w:tcPr>
          <w:p w14:paraId="79238AFA" w14:textId="4FBDC2AD" w:rsidR="00BA5E9B" w:rsidRPr="009E7684" w:rsidRDefault="00BA5E9B" w:rsidP="00106FE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7684">
              <w:rPr>
                <w:rFonts w:ascii="Calibri" w:hAnsi="Calibri" w:cs="Calibri"/>
              </w:rPr>
              <w:t>4</w:t>
            </w:r>
            <w:r w:rsidR="00083274">
              <w:rPr>
                <w:rFonts w:ascii="Calibri" w:hAnsi="Calibri" w:cs="Calibri"/>
              </w:rPr>
              <w:t xml:space="preserve"> </w:t>
            </w:r>
            <w:r w:rsidRPr="009E7684">
              <w:rPr>
                <w:rFonts w:ascii="Calibri" w:hAnsi="Calibri" w:cs="Calibri"/>
              </w:rPr>
              <w:t>%</w:t>
            </w:r>
          </w:p>
        </w:tc>
      </w:tr>
    </w:tbl>
    <w:p w14:paraId="5C522633" w14:textId="06F42827" w:rsidR="00BA5E9B" w:rsidRPr="00BA5E9B" w:rsidRDefault="00BA5E9B" w:rsidP="00BA5E9B">
      <w:pPr>
        <w:rPr>
          <w:i/>
        </w:rPr>
      </w:pPr>
      <w:r>
        <w:rPr>
          <w:i/>
        </w:rPr>
        <w:t>Zdroj: Evropská komise</w:t>
      </w:r>
    </w:p>
    <w:p w14:paraId="5148653C" w14:textId="6A13EF5F" w:rsidR="0078246A" w:rsidRPr="00780CDD" w:rsidRDefault="00C46A85" w:rsidP="0078246A">
      <w:pPr>
        <w:pStyle w:val="Styl2"/>
        <w:numPr>
          <w:ilvl w:val="0"/>
          <w:numId w:val="0"/>
        </w:numPr>
        <w:rPr>
          <w:lang w:val="cs-CZ"/>
        </w:rPr>
      </w:pPr>
      <w:bookmarkStart w:id="32" w:name="_Toc74655278"/>
      <w:r>
        <w:rPr>
          <w:lang w:val="cs-CZ"/>
        </w:rPr>
        <w:t xml:space="preserve">5. </w:t>
      </w:r>
      <w:r w:rsidR="0078246A" w:rsidRPr="00780CDD">
        <w:rPr>
          <w:lang w:val="cs-CZ"/>
        </w:rPr>
        <w:t>Klimaticko-energetická politika</w:t>
      </w:r>
      <w:bookmarkEnd w:id="29"/>
      <w:bookmarkEnd w:id="30"/>
      <w:bookmarkEnd w:id="31"/>
      <w:bookmarkEnd w:id="32"/>
    </w:p>
    <w:p w14:paraId="6160961F" w14:textId="52FC5805" w:rsidR="0078246A" w:rsidRPr="00B567FB" w:rsidRDefault="0078246A" w:rsidP="0078246A">
      <w:pPr>
        <w:spacing w:before="240"/>
        <w:rPr>
          <w:lang w:eastAsia="x-none"/>
        </w:rPr>
      </w:pPr>
      <w:r w:rsidRPr="00780CDD">
        <w:rPr>
          <w:lang w:eastAsia="x-none"/>
        </w:rPr>
        <w:t>I přes navýšení emisí v sektorech, které nespadají do systému EU ETS</w:t>
      </w:r>
      <w:r w:rsidRPr="003A3EC5">
        <w:rPr>
          <w:rStyle w:val="Znakapoznpodarou"/>
          <w:lang w:eastAsia="x-none"/>
        </w:rPr>
        <w:footnoteReference w:id="8"/>
      </w:r>
      <w:r w:rsidR="000B42ED">
        <w:rPr>
          <w:lang w:eastAsia="x-none"/>
        </w:rPr>
        <w:t xml:space="preserve"> (předběžné výsledky k roku 2019: + 7,8</w:t>
      </w:r>
      <w:r w:rsidRPr="003A3EC5">
        <w:rPr>
          <w:lang w:eastAsia="x-none"/>
        </w:rPr>
        <w:t xml:space="preserve"> %), by měla ČR bez problémů splnit cíl maximálního nárůstu těchto emisí o 9 % mezi roky 2005 a 2020. Ve srovnání s ostatními členskými státy EU se však ČR v růstu emisí mimo systém EU ETS oprot</w:t>
      </w:r>
      <w:r w:rsidR="000B42ED">
        <w:rPr>
          <w:lang w:eastAsia="x-none"/>
        </w:rPr>
        <w:t>i roku 2005 umístila v roce 2019 na 4</w:t>
      </w:r>
      <w:r w:rsidRPr="003A3EC5">
        <w:rPr>
          <w:lang w:eastAsia="x-none"/>
        </w:rPr>
        <w:t>. místě</w:t>
      </w:r>
      <w:r w:rsidRPr="00B567FB">
        <w:rPr>
          <w:lang w:eastAsia="x-none"/>
        </w:rPr>
        <w:t xml:space="preserve">.  </w:t>
      </w:r>
    </w:p>
    <w:p w14:paraId="485406DA" w14:textId="77777777" w:rsidR="005F4462" w:rsidRPr="00C56937" w:rsidRDefault="005F4462" w:rsidP="005F4462">
      <w:pPr>
        <w:spacing w:before="240"/>
        <w:rPr>
          <w:szCs w:val="22"/>
        </w:rPr>
      </w:pPr>
      <w:r w:rsidRPr="00780CDD">
        <w:rPr>
          <w:szCs w:val="22"/>
        </w:rPr>
        <w:t>Nařízení EP a Rady (EU) 2018/842 o závazném každoročním snižování emisí skleníkových plynů členskými státy v období 2021</w:t>
      </w:r>
      <w:r w:rsidRPr="00C56937">
        <w:rPr>
          <w:szCs w:val="22"/>
        </w:rPr>
        <w:t xml:space="preserve"> – 2030 stanovuje pro ČR cíl snížení emisí skleníkových plynů, které nespadají do systému EU ETS, o 14 % mezi roky 2005 a 2030. Podle aktuálních emisních projekcí by i cíl do roku 2030 měl být splnitelný při efektivní implementaci již přijatých politik a opatření. Pro EU ETS platí </w:t>
      </w:r>
      <w:proofErr w:type="spellStart"/>
      <w:r w:rsidRPr="00C56937">
        <w:rPr>
          <w:szCs w:val="22"/>
        </w:rPr>
        <w:t>celounijní</w:t>
      </w:r>
      <w:proofErr w:type="spellEnd"/>
      <w:r w:rsidRPr="00C56937">
        <w:rPr>
          <w:szCs w:val="22"/>
        </w:rPr>
        <w:t xml:space="preserve"> cíl snížení emisí o 21 % do roku 2020 a o 43 % do roku 2030 oproti referenčnímu roku 2005. Mezi roky </w:t>
      </w:r>
      <w:r>
        <w:rPr>
          <w:szCs w:val="22"/>
        </w:rPr>
        <w:t>2019</w:t>
      </w:r>
      <w:r w:rsidRPr="00C56937">
        <w:rPr>
          <w:szCs w:val="22"/>
        </w:rPr>
        <w:t xml:space="preserve"> a </w:t>
      </w:r>
      <w:r>
        <w:rPr>
          <w:szCs w:val="22"/>
        </w:rPr>
        <w:t>2020</w:t>
      </w:r>
      <w:r w:rsidRPr="00C56937">
        <w:rPr>
          <w:szCs w:val="22"/>
        </w:rPr>
        <w:t xml:space="preserve"> došlo ke snížení emisí zařízení v EU ETS</w:t>
      </w:r>
      <w:r>
        <w:rPr>
          <w:szCs w:val="22"/>
        </w:rPr>
        <w:t xml:space="preserve"> registrovaných v ČR</w:t>
      </w:r>
      <w:r w:rsidRPr="00C56937">
        <w:rPr>
          <w:szCs w:val="22"/>
        </w:rPr>
        <w:t xml:space="preserve"> o </w:t>
      </w:r>
      <w:r>
        <w:rPr>
          <w:szCs w:val="22"/>
        </w:rPr>
        <w:t>7,8 mil.</w:t>
      </w:r>
      <w:r w:rsidRPr="00C56937">
        <w:rPr>
          <w:szCs w:val="22"/>
        </w:rPr>
        <w:t xml:space="preserve"> t CO</w:t>
      </w:r>
      <w:r w:rsidRPr="00C56937">
        <w:rPr>
          <w:szCs w:val="22"/>
          <w:vertAlign w:val="subscript"/>
        </w:rPr>
        <w:t>2</w:t>
      </w:r>
      <w:r w:rsidRPr="00C56937">
        <w:rPr>
          <w:szCs w:val="22"/>
        </w:rPr>
        <w:t xml:space="preserve">ekv. V období 2005 – </w:t>
      </w:r>
      <w:r>
        <w:rPr>
          <w:szCs w:val="22"/>
        </w:rPr>
        <w:t>2020</w:t>
      </w:r>
      <w:r w:rsidRPr="00C56937">
        <w:rPr>
          <w:szCs w:val="22"/>
        </w:rPr>
        <w:t xml:space="preserve"> emise zařízení v EU ETS</w:t>
      </w:r>
      <w:r>
        <w:rPr>
          <w:szCs w:val="22"/>
        </w:rPr>
        <w:t xml:space="preserve"> v rámci ČR</w:t>
      </w:r>
      <w:r w:rsidRPr="00C56937">
        <w:rPr>
          <w:szCs w:val="22"/>
        </w:rPr>
        <w:t xml:space="preserve"> poklesly o </w:t>
      </w:r>
      <w:r>
        <w:rPr>
          <w:szCs w:val="22"/>
        </w:rPr>
        <w:t>33,7</w:t>
      </w:r>
      <w:r w:rsidRPr="00C56937">
        <w:rPr>
          <w:szCs w:val="22"/>
        </w:rPr>
        <w:t xml:space="preserve"> %.</w:t>
      </w:r>
    </w:p>
    <w:p w14:paraId="399FA02D" w14:textId="77777777" w:rsidR="0078246A" w:rsidRPr="00C56937" w:rsidRDefault="0078246A" w:rsidP="0078246A">
      <w:pPr>
        <w:spacing w:before="240"/>
        <w:rPr>
          <w:rFonts w:cs="EUAlbertina"/>
          <w:bCs/>
          <w:szCs w:val="22"/>
        </w:rPr>
      </w:pPr>
      <w:r w:rsidRPr="00C56937">
        <w:rPr>
          <w:rFonts w:cs="EUAlbertina"/>
          <w:bCs/>
          <w:szCs w:val="22"/>
        </w:rPr>
        <w:t xml:space="preserve">V prosinci 2019 předložila ČR EK finální verzi </w:t>
      </w:r>
      <w:r w:rsidRPr="00C56937">
        <w:rPr>
          <w:bCs/>
          <w:i/>
          <w:szCs w:val="22"/>
        </w:rPr>
        <w:t>Vnitrostátního plánu započítávání pro lesnictví, včetně navrhované referenční úrovně pro lesy na období 2021 – 2025</w:t>
      </w:r>
      <w:r w:rsidRPr="00C56937">
        <w:rPr>
          <w:bCs/>
          <w:szCs w:val="22"/>
        </w:rPr>
        <w:t>. V souladu s aktuálním vývojem kůrovcové kalamity v ČR se jeví jako pravděpodobné, že ČR bude mít problémy s plněním cíle čistých nulových emisí z odvětví využívání půdy, změn ve využívání půdy a lesnictví (</w:t>
      </w:r>
      <w:r w:rsidRPr="00C56937">
        <w:rPr>
          <w:rFonts w:cs="EUAlbertina"/>
          <w:bCs/>
          <w:szCs w:val="22"/>
        </w:rPr>
        <w:t>LULUCF</w:t>
      </w:r>
      <w:r w:rsidRPr="00C56937">
        <w:rPr>
          <w:bCs/>
          <w:szCs w:val="22"/>
        </w:rPr>
        <w:t xml:space="preserve">), který byl stanoven </w:t>
      </w:r>
      <w:r w:rsidRPr="00C56937">
        <w:rPr>
          <w:szCs w:val="22"/>
        </w:rPr>
        <w:t xml:space="preserve">nařízením EP a Rady (EU) 2018/841 </w:t>
      </w:r>
      <w:r w:rsidRPr="00C56937">
        <w:rPr>
          <w:rFonts w:cs="EUAlbertina"/>
          <w:bCs/>
          <w:szCs w:val="22"/>
        </w:rPr>
        <w:t>o zahrnutí emisí skleníkových plynů a jejich pohlcování v důsledku využívání půdy, změn ve využívání půdy a lesnictví do rámce politiky v oblasti klimatu a energetiky do roku 2030.</w:t>
      </w:r>
    </w:p>
    <w:p w14:paraId="3BD0A348" w14:textId="77777777" w:rsidR="0078246A" w:rsidRPr="00C56937" w:rsidRDefault="0078246A" w:rsidP="0078246A">
      <w:pPr>
        <w:spacing w:before="240"/>
        <w:rPr>
          <w:szCs w:val="22"/>
        </w:rPr>
      </w:pPr>
      <w:r w:rsidRPr="00C56937">
        <w:rPr>
          <w:color w:val="auto"/>
          <w:szCs w:val="22"/>
        </w:rPr>
        <w:lastRenderedPageBreak/>
        <w:t xml:space="preserve">V průběhu roku 2019 byl MPO ve spolupráci s MŽP v návaznosti na doporučení EK dopracován </w:t>
      </w:r>
      <w:r w:rsidRPr="00C56937">
        <w:rPr>
          <w:i/>
          <w:color w:val="auto"/>
          <w:szCs w:val="22"/>
        </w:rPr>
        <w:t xml:space="preserve">Vnitrostátní plán v oblasti energetiky a klimatu </w:t>
      </w:r>
      <w:r w:rsidRPr="00C56937">
        <w:rPr>
          <w:color w:val="auto"/>
          <w:szCs w:val="22"/>
        </w:rPr>
        <w:t>v souladu s Nařízením EP</w:t>
      </w:r>
      <w:r w:rsidRPr="00C56937">
        <w:rPr>
          <w:szCs w:val="22"/>
        </w:rPr>
        <w:t xml:space="preserve"> a Rady (EU) 2018/1999 o správě energetické unie. V návaznosti na schválení vládou byla finální verze plánu</w:t>
      </w:r>
      <w:r w:rsidRPr="00C56937">
        <w:rPr>
          <w:i/>
          <w:szCs w:val="22"/>
        </w:rPr>
        <w:t xml:space="preserve"> </w:t>
      </w:r>
      <w:r w:rsidRPr="00C56937">
        <w:rPr>
          <w:szCs w:val="22"/>
        </w:rPr>
        <w:t>předložena EK dne 13. 1. 2020.</w:t>
      </w:r>
    </w:p>
    <w:p w14:paraId="4E14DF31" w14:textId="77777777" w:rsidR="0078246A" w:rsidRPr="00C56937" w:rsidRDefault="0078246A" w:rsidP="0078246A">
      <w:pPr>
        <w:rPr>
          <w:b/>
          <w:szCs w:val="22"/>
        </w:rPr>
      </w:pPr>
      <w:r w:rsidRPr="00C56937">
        <w:rPr>
          <w:b/>
          <w:szCs w:val="22"/>
        </w:rPr>
        <w:t>Graf 7: emise skleníkových plynů mimo systém EU ETS (% změna oproti roku 2005)</w:t>
      </w:r>
    </w:p>
    <w:p w14:paraId="11C33312" w14:textId="0F631337" w:rsidR="0078246A" w:rsidRPr="003A3EC5" w:rsidRDefault="00D14368" w:rsidP="0078246A">
      <w:r>
        <w:rPr>
          <w:noProof/>
        </w:rPr>
        <w:drawing>
          <wp:inline distT="0" distB="0" distL="0" distR="0" wp14:anchorId="3369AE1D" wp14:editId="5A402A98">
            <wp:extent cx="5514975" cy="3044374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0" b="2827"/>
                    <a:stretch/>
                  </pic:blipFill>
                  <pic:spPr bwMode="auto">
                    <a:xfrm>
                      <a:off x="0" y="0"/>
                      <a:ext cx="5520356" cy="304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EBF8" w14:textId="605464E5" w:rsidR="0078246A" w:rsidRPr="003A3EC5" w:rsidRDefault="0078246A" w:rsidP="0078246A">
      <w:pPr>
        <w:pStyle w:val="Bezmezer"/>
        <w:spacing w:before="120" w:after="240" w:line="276" w:lineRule="auto"/>
      </w:pPr>
      <w:r w:rsidRPr="003A3EC5">
        <w:rPr>
          <w:i/>
          <w:sz w:val="22"/>
        </w:rPr>
        <w:t xml:space="preserve">Zdroj: </w:t>
      </w:r>
      <w:proofErr w:type="spellStart"/>
      <w:r w:rsidR="000B42ED">
        <w:rPr>
          <w:i/>
          <w:sz w:val="22"/>
        </w:rPr>
        <w:t>Eurostat</w:t>
      </w:r>
      <w:proofErr w:type="spellEnd"/>
      <w:r w:rsidR="000B42ED">
        <w:rPr>
          <w:i/>
          <w:sz w:val="22"/>
        </w:rPr>
        <w:t xml:space="preserve"> (Pozn. údaj k roku 2019</w:t>
      </w:r>
      <w:r w:rsidRPr="003A3EC5">
        <w:rPr>
          <w:i/>
          <w:sz w:val="22"/>
        </w:rPr>
        <w:t xml:space="preserve"> je jen předběžný, výsledná hodnota bude pravděpodobně nižší.)</w:t>
      </w:r>
    </w:p>
    <w:p w14:paraId="548B45EF" w14:textId="4DD06897" w:rsidR="0078246A" w:rsidRPr="00C56937" w:rsidRDefault="0078246A" w:rsidP="0078246A">
      <w:pPr>
        <w:spacing w:before="240"/>
        <w:rPr>
          <w:lang w:eastAsia="x-none"/>
        </w:rPr>
      </w:pPr>
      <w:r w:rsidRPr="00780CDD">
        <w:rPr>
          <w:lang w:eastAsia="x-none"/>
        </w:rPr>
        <w:t>ČR rovněž od roku 2013 plní národní cíl stanovující podíl OZE minimálně na 13 % hrubé konečné spotřeby energie. V roce 201</w:t>
      </w:r>
      <w:r w:rsidR="00D14368">
        <w:rPr>
          <w:lang w:eastAsia="x-none"/>
        </w:rPr>
        <w:t>9 se tento podíl zvýšil na 16</w:t>
      </w:r>
      <w:r w:rsidRPr="00C56937">
        <w:rPr>
          <w:lang w:eastAsia="x-none"/>
        </w:rPr>
        <w:t>,2 %. Mezi č</w:t>
      </w:r>
      <w:r w:rsidR="00D14368">
        <w:rPr>
          <w:lang w:eastAsia="x-none"/>
        </w:rPr>
        <w:t>lenskými zeměmi EU se jedná o 19</w:t>
      </w:r>
      <w:r w:rsidRPr="00C56937">
        <w:rPr>
          <w:lang w:eastAsia="x-none"/>
        </w:rPr>
        <w:t xml:space="preserve">. nejvyšší hodnotu. Co se týče cíle v podobě dosažení 10% podílu OZE na hrubé konečné spotřebě v dopravě, k jeho naplnění se ČR </w:t>
      </w:r>
      <w:r w:rsidR="00D14368">
        <w:rPr>
          <w:lang w:eastAsia="x-none"/>
        </w:rPr>
        <w:t>poněkud přiblížila v roce 2019, stále však není plněn</w:t>
      </w:r>
      <w:r w:rsidRPr="00C56937">
        <w:rPr>
          <w:lang w:eastAsia="x-none"/>
        </w:rPr>
        <w:t xml:space="preserve">. </w:t>
      </w:r>
    </w:p>
    <w:p w14:paraId="7E06CE8B" w14:textId="77777777" w:rsidR="0078246A" w:rsidRPr="00C56937" w:rsidRDefault="0078246A" w:rsidP="0078246A">
      <w:pPr>
        <w:keepNext/>
        <w:keepLines/>
        <w:rPr>
          <w:b/>
          <w:szCs w:val="22"/>
        </w:rPr>
      </w:pPr>
      <w:r w:rsidRPr="00C56937">
        <w:rPr>
          <w:b/>
          <w:szCs w:val="22"/>
        </w:rPr>
        <w:t>Graf 8: podíl OZE na hrubé konečné spotřebě energie (v %)</w:t>
      </w:r>
    </w:p>
    <w:p w14:paraId="662E99D6" w14:textId="7234E132" w:rsidR="0078246A" w:rsidRPr="003A3EC5" w:rsidRDefault="00D14368" w:rsidP="0078246A">
      <w:pPr>
        <w:rPr>
          <w:lang w:eastAsia="x-none"/>
        </w:rPr>
      </w:pPr>
      <w:r>
        <w:rPr>
          <w:noProof/>
        </w:rPr>
        <w:drawing>
          <wp:inline distT="0" distB="0" distL="0" distR="0" wp14:anchorId="29F283E8" wp14:editId="64622542">
            <wp:extent cx="5505450" cy="2992706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9" b="3610"/>
                    <a:stretch/>
                  </pic:blipFill>
                  <pic:spPr bwMode="auto">
                    <a:xfrm>
                      <a:off x="0" y="0"/>
                      <a:ext cx="5508484" cy="29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0A3F3" w14:textId="77777777" w:rsidR="0078246A" w:rsidRPr="003A3EC5" w:rsidRDefault="0078246A" w:rsidP="0078246A">
      <w:pPr>
        <w:pStyle w:val="Bezmezer"/>
        <w:spacing w:before="120" w:after="240" w:line="276" w:lineRule="auto"/>
        <w:rPr>
          <w:i/>
        </w:rPr>
      </w:pPr>
      <w:r w:rsidRPr="003A3EC5">
        <w:rPr>
          <w:i/>
          <w:sz w:val="22"/>
        </w:rPr>
        <w:t xml:space="preserve">Zdroj: </w:t>
      </w:r>
      <w:proofErr w:type="spellStart"/>
      <w:r w:rsidRPr="003A3EC5">
        <w:rPr>
          <w:i/>
          <w:sz w:val="22"/>
        </w:rPr>
        <w:t>Eurostat</w:t>
      </w:r>
      <w:proofErr w:type="spellEnd"/>
    </w:p>
    <w:p w14:paraId="732E68C2" w14:textId="4B1EF858" w:rsidR="0078246A" w:rsidRPr="00C56937" w:rsidRDefault="0078246A" w:rsidP="0078246A">
      <w:pPr>
        <w:spacing w:before="240"/>
        <w:rPr>
          <w:lang w:eastAsia="x-none"/>
        </w:rPr>
      </w:pPr>
      <w:r w:rsidRPr="003A3EC5">
        <w:rPr>
          <w:lang w:eastAsia="x-none"/>
        </w:rPr>
        <w:lastRenderedPageBreak/>
        <w:t>ČR je aktuálně na cestě naplnit cíl energetické účinnosti, tzn. cíl snížení koneč</w:t>
      </w:r>
      <w:r w:rsidR="00D14368">
        <w:rPr>
          <w:lang w:eastAsia="x-none"/>
        </w:rPr>
        <w:t>né spotřeby energie. V roce 2019</w:t>
      </w:r>
      <w:r w:rsidRPr="003A3EC5">
        <w:rPr>
          <w:lang w:eastAsia="x-none"/>
        </w:rPr>
        <w:t xml:space="preserve">, dle dat </w:t>
      </w:r>
      <w:proofErr w:type="spellStart"/>
      <w:r w:rsidRPr="003A3EC5">
        <w:rPr>
          <w:lang w:eastAsia="x-none"/>
        </w:rPr>
        <w:t>Eurostat</w:t>
      </w:r>
      <w:r w:rsidR="00D14368">
        <w:rPr>
          <w:lang w:eastAsia="x-none"/>
        </w:rPr>
        <w:t>u</w:t>
      </w:r>
      <w:proofErr w:type="spellEnd"/>
      <w:r w:rsidRPr="003A3EC5">
        <w:rPr>
          <w:lang w:eastAsia="x-none"/>
        </w:rPr>
        <w:t xml:space="preserve">, ČR dosáhla hodnoty konečné spotřeby energie ve výši </w:t>
      </w:r>
      <w:r w:rsidR="0092362B">
        <w:rPr>
          <w:lang w:eastAsia="x-none"/>
        </w:rPr>
        <w:t>25,2 mil. tun ropného ekvivalentu. Nachází se tak mírně pod</w:t>
      </w:r>
      <w:r w:rsidRPr="003A3EC5">
        <w:rPr>
          <w:lang w:eastAsia="x-none"/>
        </w:rPr>
        <w:t xml:space="preserve"> </w:t>
      </w:r>
      <w:r w:rsidR="0092362B">
        <w:rPr>
          <w:lang w:eastAsia="x-none"/>
        </w:rPr>
        <w:t>maximální hodnotou cíle</w:t>
      </w:r>
      <w:r w:rsidRPr="003A3EC5">
        <w:rPr>
          <w:lang w:eastAsia="x-none"/>
        </w:rPr>
        <w:t xml:space="preserve"> pro rok 2020. I přes nerovnoměrný vývoj konečné spotřeby energie, který je ovlivněn externími faktory (klimatické podmínky, ekonomická situace), což se projevilo mezi roky 2014 a 2017, kdy bylo možné po dlouhodobém poklesu sledovat meziroční nárůst spotřeby konečné energie, lze očekávat naplnění stanoveného cíle snížení konečné spotřeby energie o 20 % oproti roku 2007</w:t>
      </w:r>
      <w:r w:rsidR="004B6DB6">
        <w:rPr>
          <w:lang w:eastAsia="x-none"/>
        </w:rPr>
        <w:t>.</w:t>
      </w:r>
      <w:r w:rsidRPr="00C56937">
        <w:rPr>
          <w:lang w:eastAsia="x-none"/>
        </w:rPr>
        <w:t xml:space="preserve"> </w:t>
      </w:r>
    </w:p>
    <w:p w14:paraId="5675BF41" w14:textId="77777777" w:rsidR="0078246A" w:rsidRPr="00C56937" w:rsidRDefault="0078246A" w:rsidP="0078246A">
      <w:pPr>
        <w:rPr>
          <w:b/>
          <w:szCs w:val="22"/>
        </w:rPr>
      </w:pPr>
      <w:r w:rsidRPr="00C56937">
        <w:rPr>
          <w:b/>
          <w:szCs w:val="22"/>
        </w:rPr>
        <w:t>Graf 9: konečná spotřeba energie (v mil. tun ropného ekvivalentu)</w:t>
      </w:r>
    </w:p>
    <w:p w14:paraId="7E37064A" w14:textId="26630EAA" w:rsidR="0078246A" w:rsidRPr="003A3EC5" w:rsidRDefault="0092362B" w:rsidP="0078246A">
      <w:pPr>
        <w:spacing w:before="240"/>
        <w:rPr>
          <w:lang w:eastAsia="x-none"/>
        </w:rPr>
      </w:pPr>
      <w:r>
        <w:rPr>
          <w:noProof/>
        </w:rPr>
        <w:drawing>
          <wp:inline distT="0" distB="0" distL="0" distR="0" wp14:anchorId="6B8903BC" wp14:editId="57E1804D">
            <wp:extent cx="5773420" cy="3152775"/>
            <wp:effectExtent l="0" t="0" r="0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b="2050"/>
                    <a:stretch/>
                  </pic:blipFill>
                  <pic:spPr bwMode="auto">
                    <a:xfrm>
                      <a:off x="0" y="0"/>
                      <a:ext cx="577342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93162" w14:textId="618ECF11" w:rsidR="0078246A" w:rsidRDefault="0078246A" w:rsidP="0078246A">
      <w:pPr>
        <w:rPr>
          <w:i/>
        </w:rPr>
      </w:pPr>
      <w:r w:rsidRPr="003A3EC5">
        <w:rPr>
          <w:i/>
        </w:rPr>
        <w:t xml:space="preserve">Zdroj: </w:t>
      </w:r>
      <w:proofErr w:type="spellStart"/>
      <w:r w:rsidRPr="003A3EC5">
        <w:rPr>
          <w:i/>
        </w:rPr>
        <w:t>Eurostat</w:t>
      </w:r>
      <w:proofErr w:type="spellEnd"/>
    </w:p>
    <w:p w14:paraId="3EAAA1B5" w14:textId="77777777" w:rsidR="007556EC" w:rsidRPr="007556EC" w:rsidRDefault="007556EC" w:rsidP="0078246A"/>
    <w:p w14:paraId="6FB59182" w14:textId="77777777" w:rsidR="00D50ABE" w:rsidRPr="00C46A2C" w:rsidRDefault="00D50ABE" w:rsidP="00D50ABE">
      <w:pPr>
        <w:rPr>
          <w:b/>
        </w:rPr>
      </w:pPr>
      <w:r w:rsidRPr="00C46A2C">
        <w:rPr>
          <w:b/>
        </w:rPr>
        <w:t>Srovnání ostatních členských států</w:t>
      </w:r>
    </w:p>
    <w:p w14:paraId="66B8AC8B" w14:textId="77777777" w:rsidR="00F00F29" w:rsidRDefault="00F00F29" w:rsidP="00F00F29">
      <w:r>
        <w:t>České republice se v oblasti klimaticko-energetické politiky podařilo naplnit národní cíle ve s</w:t>
      </w:r>
      <w:r w:rsidRPr="00FD2814">
        <w:t>ní</w:t>
      </w:r>
      <w:r>
        <w:t xml:space="preserve">žení emisí skleníkových plynů, </w:t>
      </w:r>
      <w:r w:rsidRPr="00FD2814">
        <w:t>zvyšování energetické účinnosti</w:t>
      </w:r>
      <w:r>
        <w:t xml:space="preserve"> zvýšení podílu energie z obnovitelných zdrojů na 13 %. Národní cíl ve zvýšení </w:t>
      </w:r>
      <w:r w:rsidRPr="00FD2814">
        <w:t>podílu obnovitelných zdrojů v</w:t>
      </w:r>
      <w:r>
        <w:t> </w:t>
      </w:r>
      <w:r w:rsidRPr="00FD2814">
        <w:t>dopravě</w:t>
      </w:r>
      <w:r>
        <w:t>.</w:t>
      </w:r>
      <w:r w:rsidRPr="00FD2814">
        <w:t xml:space="preserve"> </w:t>
      </w:r>
      <w:r>
        <w:t xml:space="preserve">Celoevropský cíl zvýšení podílu energie z obnovitelných zdrojů 20 % pro EU však dosud nebyl dosažen. Národní cíle se nepodařilo naplnit Belgii, Francii, Irsku, Maďarsku, Maltě, Německu, Nizozemsku, Polsku, Portugalsku, Rakousku, Slovinsku a Španělsku. V případně zmíněného Rakouska, Portugalska a Slovinska převyšovaly tyto nenaplněné národní cíle celoevropské. </w:t>
      </w:r>
    </w:p>
    <w:p w14:paraId="55C037F9" w14:textId="77777777" w:rsidR="00F00F29" w:rsidRPr="006D7EC0" w:rsidRDefault="00F00F29" w:rsidP="00F00F29">
      <w:pPr>
        <w:pStyle w:val="Titulek"/>
        <w:keepNext/>
        <w:rPr>
          <w:color w:val="auto"/>
          <w:sz w:val="22"/>
          <w:szCs w:val="22"/>
        </w:rPr>
      </w:pPr>
      <w:r w:rsidRPr="006D7EC0">
        <w:rPr>
          <w:color w:val="auto"/>
          <w:sz w:val="22"/>
          <w:szCs w:val="22"/>
        </w:rPr>
        <w:t xml:space="preserve">Tabulka </w:t>
      </w:r>
      <w:r>
        <w:rPr>
          <w:color w:val="auto"/>
          <w:sz w:val="22"/>
          <w:szCs w:val="22"/>
        </w:rPr>
        <w:t>7</w:t>
      </w:r>
      <w:r w:rsidRPr="006D7EC0">
        <w:rPr>
          <w:color w:val="auto"/>
          <w:sz w:val="22"/>
          <w:szCs w:val="22"/>
        </w:rPr>
        <w:t xml:space="preserve"> Zvýšení podílu energie z obnovitelných zdrojů  (Zdroj: Evropská komise)</w:t>
      </w:r>
    </w:p>
    <w:tbl>
      <w:tblPr>
        <w:tblW w:w="32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843"/>
        <w:gridCol w:w="3126"/>
      </w:tblGrid>
      <w:tr w:rsidR="00F00F29" w:rsidRPr="007556EC" w14:paraId="7DE92089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442E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9611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2019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6C2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Národní cíl</w:t>
            </w:r>
          </w:p>
        </w:tc>
      </w:tr>
      <w:tr w:rsidR="00F00F29" w:rsidRPr="007556EC" w14:paraId="149D90A0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395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Belgie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93C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9,924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41CE8B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13 %  z obnovitelných zdrojů</w:t>
            </w:r>
          </w:p>
        </w:tc>
      </w:tr>
      <w:tr w:rsidR="00F00F29" w:rsidRPr="007556EC" w14:paraId="389BE72B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3B4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Bulharsko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877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21,564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F8CB4B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16 % z obnovitelných zdrojů</w:t>
            </w:r>
          </w:p>
        </w:tc>
      </w:tr>
      <w:tr w:rsidR="00F00F29" w:rsidRPr="007556EC" w14:paraId="4AE0E60A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E2D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Česká republika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138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16,244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B0C0CA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13 % z obnovitelných zdrojů</w:t>
            </w:r>
          </w:p>
        </w:tc>
      </w:tr>
      <w:tr w:rsidR="00F00F29" w:rsidRPr="007556EC" w14:paraId="41904CB9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39D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Chorvatsko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89AF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28,466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8709CF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20 % z obnovitelných zdrojů</w:t>
            </w:r>
          </w:p>
        </w:tc>
      </w:tr>
      <w:tr w:rsidR="00F00F29" w:rsidRPr="007556EC" w14:paraId="113A4333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F3B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Dánsko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519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37,204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8332A2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30 % z obnovitelných zdrojů</w:t>
            </w:r>
          </w:p>
        </w:tc>
      </w:tr>
      <w:tr w:rsidR="00F00F29" w:rsidRPr="007556EC" w14:paraId="0FFB330E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6E9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Estonsko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1C9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31,889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C4764C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25 % z obnovitelných zdrojů</w:t>
            </w:r>
          </w:p>
        </w:tc>
      </w:tr>
      <w:tr w:rsidR="00F00F29" w:rsidRPr="007556EC" w14:paraId="01FB2601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3B6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lastRenderedPageBreak/>
              <w:t>Finsko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CBA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43,081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29FDD1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38 % z obnovitelných zdrojů</w:t>
            </w:r>
          </w:p>
        </w:tc>
      </w:tr>
      <w:tr w:rsidR="00F00F29" w:rsidRPr="007556EC" w14:paraId="4197375F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722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Francie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19F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17,216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1F15E2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23 % z obnovitelných zdrojů</w:t>
            </w:r>
          </w:p>
        </w:tc>
      </w:tr>
      <w:tr w:rsidR="00F00F29" w:rsidRPr="007556EC" w14:paraId="2DA33209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129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Irsko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015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11,984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D3FD25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16 % z obnovitelných zdrojů</w:t>
            </w:r>
          </w:p>
        </w:tc>
      </w:tr>
      <w:tr w:rsidR="00F00F29" w:rsidRPr="007556EC" w14:paraId="695FC5EE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295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Itálie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AA1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18,181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49055F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17 % z obnovitelných zdrojů</w:t>
            </w:r>
          </w:p>
        </w:tc>
      </w:tr>
      <w:tr w:rsidR="00F00F29" w:rsidRPr="007556EC" w14:paraId="48AA9A3A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30D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Kypr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34C5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13,8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377E0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13 % z obnovitelných zdrojů</w:t>
            </w:r>
          </w:p>
        </w:tc>
      </w:tr>
      <w:tr w:rsidR="00F00F29" w:rsidRPr="007556EC" w14:paraId="25E068E5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258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Litva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A8E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25,461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F8791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23 % z obnovitelných zdrojů</w:t>
            </w:r>
          </w:p>
        </w:tc>
      </w:tr>
      <w:tr w:rsidR="00F00F29" w:rsidRPr="007556EC" w14:paraId="1C81F968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AE8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Lotyšsko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C39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40,975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D0560C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40 % z obnovitelných zdrojů</w:t>
            </w:r>
          </w:p>
        </w:tc>
      </w:tr>
      <w:tr w:rsidR="00F00F29" w:rsidRPr="007556EC" w14:paraId="3BE7A2E5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59A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Lucembursko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EF9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DE36C2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11 % z obnovitelných zdrojů</w:t>
            </w:r>
          </w:p>
        </w:tc>
      </w:tr>
      <w:tr w:rsidR="00F00F29" w:rsidRPr="007556EC" w14:paraId="335E3762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CAE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Maďarsko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F9B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12,614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B6C2DC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13 % z obnovitelných zdrojů</w:t>
            </w:r>
          </w:p>
        </w:tc>
      </w:tr>
      <w:tr w:rsidR="00F00F29" w:rsidRPr="007556EC" w14:paraId="402E35FB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CB0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Malta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DB7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8,488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C6C988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10 % z obnovitelných zdrojů</w:t>
            </w:r>
          </w:p>
        </w:tc>
      </w:tr>
      <w:tr w:rsidR="00F00F29" w:rsidRPr="007556EC" w14:paraId="2A73E526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447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Německo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652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17,354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3CD995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18 % z obnovitelných zdrojů</w:t>
            </w:r>
          </w:p>
        </w:tc>
      </w:tr>
      <w:tr w:rsidR="00F00F29" w:rsidRPr="007556EC" w14:paraId="4A8A8F93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93D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Nizozemsko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91B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8,768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2DAE75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14 % z obnovitelných zdrojů</w:t>
            </w:r>
          </w:p>
        </w:tc>
      </w:tr>
      <w:tr w:rsidR="00F00F29" w:rsidRPr="007556EC" w14:paraId="749F0A6B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E8C6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Polsko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C3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12,164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43A85F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15 % z obnovitelných zdrojů</w:t>
            </w:r>
          </w:p>
        </w:tc>
      </w:tr>
      <w:tr w:rsidR="00F00F29" w:rsidRPr="007556EC" w14:paraId="6FDFA136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6C5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Portugalsko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CC9F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30,619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928405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31 % z obnovitelných zdrojů</w:t>
            </w:r>
          </w:p>
        </w:tc>
      </w:tr>
      <w:tr w:rsidR="00F00F29" w:rsidRPr="007556EC" w14:paraId="4D5E6A36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5F2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Rakousko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352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33,626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1A69EC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34 % z obnovitelných zdrojů</w:t>
            </w:r>
          </w:p>
        </w:tc>
      </w:tr>
      <w:tr w:rsidR="00F00F29" w:rsidRPr="007556EC" w14:paraId="01512E12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D8A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Řecko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B65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19,677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624DF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18 % z obnovitelných zdrojů</w:t>
            </w:r>
          </w:p>
        </w:tc>
      </w:tr>
      <w:tr w:rsidR="00F00F29" w:rsidRPr="007556EC" w14:paraId="3438A877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EB7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Rumunsko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279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24,29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B66B22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24 % z obnovitelných zdrojů</w:t>
            </w:r>
          </w:p>
        </w:tc>
      </w:tr>
      <w:tr w:rsidR="00F00F29" w:rsidRPr="007556EC" w14:paraId="2C27381A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EC0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Slovensko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92E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16,894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01A516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14 % z obnovitelných zdrojů</w:t>
            </w:r>
          </w:p>
        </w:tc>
      </w:tr>
      <w:tr w:rsidR="00F00F29" w:rsidRPr="007556EC" w14:paraId="00A039CF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1B4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Slovinsko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4270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21,974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D53D5F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25 % z obnovitelných zdrojů</w:t>
            </w:r>
          </w:p>
        </w:tc>
      </w:tr>
      <w:tr w:rsidR="00F00F29" w:rsidRPr="007556EC" w14:paraId="3B106A88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AF1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Španělsko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0A1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18,356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2037FB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20 % z obnovitelných zdrojů</w:t>
            </w:r>
          </w:p>
        </w:tc>
      </w:tr>
      <w:tr w:rsidR="00F00F29" w:rsidRPr="007556EC" w14:paraId="4BBD13AD" w14:textId="77777777" w:rsidTr="00F00F29">
        <w:trPr>
          <w:trHeight w:val="29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EC8" w14:textId="77777777" w:rsidR="00F00F29" w:rsidRPr="007556EC" w:rsidRDefault="00F00F29" w:rsidP="002F0C6D">
            <w:pPr>
              <w:spacing w:after="0" w:line="240" w:lineRule="auto"/>
              <w:jc w:val="lef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Švédsko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484" w14:textId="77777777" w:rsidR="00F00F29" w:rsidRPr="007556EC" w:rsidRDefault="00F00F29" w:rsidP="002F0C6D">
            <w:pPr>
              <w:spacing w:after="0" w:line="240" w:lineRule="auto"/>
              <w:jc w:val="right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56,391</w:t>
            </w:r>
          </w:p>
        </w:tc>
        <w:tc>
          <w:tcPr>
            <w:tcW w:w="2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908EA5" w14:textId="77777777" w:rsidR="00F00F29" w:rsidRPr="007556EC" w:rsidRDefault="00F00F29" w:rsidP="002F0C6D">
            <w:pPr>
              <w:spacing w:after="0" w:line="240" w:lineRule="auto"/>
              <w:jc w:val="center"/>
              <w:rPr>
                <w:rFonts w:ascii="Calibri" w:hAnsi="Calibri"/>
                <w:szCs w:val="22"/>
              </w:rPr>
            </w:pPr>
            <w:r w:rsidRPr="007556EC">
              <w:rPr>
                <w:rFonts w:ascii="Calibri" w:hAnsi="Calibri"/>
                <w:szCs w:val="22"/>
              </w:rPr>
              <w:t>49 % z obnovitelných zdrojů</w:t>
            </w:r>
          </w:p>
        </w:tc>
      </w:tr>
    </w:tbl>
    <w:p w14:paraId="2FA8B57B" w14:textId="77777777" w:rsidR="00F00F29" w:rsidRPr="00D50ABE" w:rsidRDefault="00F00F29" w:rsidP="00F00F29">
      <w:r>
        <w:rPr>
          <w:i/>
        </w:rPr>
        <w:t>Zdroj: Evropská komise</w:t>
      </w:r>
    </w:p>
    <w:p w14:paraId="35E830AD" w14:textId="086FD479" w:rsidR="0078246A" w:rsidRPr="00D50ABE" w:rsidRDefault="0078246A" w:rsidP="00F00F29"/>
    <w:sectPr w:rsidR="0078246A" w:rsidRPr="00D50ABE" w:rsidSect="00855254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76C9" w14:textId="77777777" w:rsidR="007C0BAC" w:rsidRDefault="007C0BAC" w:rsidP="0078246A">
      <w:pPr>
        <w:spacing w:after="0" w:line="240" w:lineRule="auto"/>
      </w:pPr>
      <w:r>
        <w:separator/>
      </w:r>
    </w:p>
  </w:endnote>
  <w:endnote w:type="continuationSeparator" w:id="0">
    <w:p w14:paraId="4DF22726" w14:textId="77777777" w:rsidR="007C0BAC" w:rsidRDefault="007C0BAC" w:rsidP="0078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163922"/>
      <w:docPartObj>
        <w:docPartGallery w:val="Page Numbers (Bottom of Page)"/>
        <w:docPartUnique/>
      </w:docPartObj>
    </w:sdtPr>
    <w:sdtEndPr/>
    <w:sdtContent>
      <w:p w14:paraId="56607D6F" w14:textId="1F1969D2" w:rsidR="007C0BAC" w:rsidRDefault="007C0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E0">
          <w:rPr>
            <w:noProof/>
          </w:rPr>
          <w:t>9</w:t>
        </w:r>
        <w:r>
          <w:fldChar w:fldCharType="end"/>
        </w:r>
      </w:p>
    </w:sdtContent>
  </w:sdt>
  <w:p w14:paraId="3968294E" w14:textId="77777777" w:rsidR="007C0BAC" w:rsidRDefault="007C0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C05A" w14:textId="77777777" w:rsidR="007C0BAC" w:rsidRDefault="007C0BAC" w:rsidP="0078246A">
      <w:pPr>
        <w:spacing w:after="0" w:line="240" w:lineRule="auto"/>
      </w:pPr>
      <w:r>
        <w:separator/>
      </w:r>
    </w:p>
  </w:footnote>
  <w:footnote w:type="continuationSeparator" w:id="0">
    <w:p w14:paraId="4D1D2D06" w14:textId="77777777" w:rsidR="007C0BAC" w:rsidRDefault="007C0BAC" w:rsidP="0078246A">
      <w:pPr>
        <w:spacing w:after="0" w:line="240" w:lineRule="auto"/>
      </w:pPr>
      <w:r>
        <w:continuationSeparator/>
      </w:r>
    </w:p>
  </w:footnote>
  <w:footnote w:id="1">
    <w:p w14:paraId="5EC6A1C1" w14:textId="77777777" w:rsidR="007C0BAC" w:rsidRPr="005812AF" w:rsidRDefault="007C0BAC" w:rsidP="0078246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Prostřednictvím sdělení EK </w:t>
      </w:r>
      <w:proofErr w:type="gramStart"/>
      <w:r w:rsidRPr="005812AF">
        <w:rPr>
          <w:lang w:val="cs-CZ"/>
        </w:rPr>
        <w:t>KOM(2010</w:t>
      </w:r>
      <w:proofErr w:type="gramEnd"/>
      <w:r w:rsidRPr="005812AF">
        <w:rPr>
          <w:lang w:val="cs-CZ"/>
        </w:rPr>
        <w:t>) 2020</w:t>
      </w:r>
      <w:r>
        <w:rPr>
          <w:lang w:val="cs-CZ"/>
        </w:rPr>
        <w:t>.</w:t>
      </w:r>
    </w:p>
  </w:footnote>
  <w:footnote w:id="2">
    <w:p w14:paraId="05384D85" w14:textId="77777777" w:rsidR="007C0BAC" w:rsidRPr="0075461A" w:rsidRDefault="007C0BAC" w:rsidP="0078246A">
      <w:pPr>
        <w:pStyle w:val="Textpoznpodarou"/>
        <w:rPr>
          <w:szCs w:val="16"/>
          <w:lang w:val="cs-CZ"/>
        </w:rPr>
      </w:pPr>
      <w:r w:rsidRPr="0075461A">
        <w:rPr>
          <w:rStyle w:val="Znakapoznpodarou"/>
        </w:rPr>
        <w:footnoteRef/>
      </w:r>
      <w:r w:rsidRPr="0075461A">
        <w:rPr>
          <w:szCs w:val="16"/>
        </w:rPr>
        <w:t xml:space="preserve"> </w:t>
      </w:r>
      <w:r w:rsidRPr="0075461A">
        <w:rPr>
          <w:szCs w:val="16"/>
          <w:lang w:val="cs-CZ"/>
        </w:rPr>
        <w:t>Jedná se o předběžný údaj. Skutečná hodnota nárůstu bude pravděpodobně nižší.</w:t>
      </w:r>
    </w:p>
  </w:footnote>
  <w:footnote w:id="3">
    <w:p w14:paraId="6D439508" w14:textId="77777777" w:rsidR="007C0BAC" w:rsidRPr="001663D2" w:rsidRDefault="007C0BAC" w:rsidP="0078246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Údaje o pořadí jsou uvedeny bez započítání Německa, data za Německo nebyla v čase zpracování zprávy k dispozici.</w:t>
      </w:r>
    </w:p>
  </w:footnote>
  <w:footnote w:id="4">
    <w:p w14:paraId="4FB41B28" w14:textId="7C29A67F" w:rsidR="007C0BAC" w:rsidRPr="007D0EF0" w:rsidRDefault="007C0BA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Použita jsou sezónně očistěná data.</w:t>
      </w:r>
    </w:p>
  </w:footnote>
  <w:footnote w:id="5">
    <w:p w14:paraId="6FAEEFE7" w14:textId="3915C5EF" w:rsidR="007C0BAC" w:rsidRPr="007D0EF0" w:rsidRDefault="007C0BA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Použita jsou sezónně očistěná data. </w:t>
      </w:r>
    </w:p>
  </w:footnote>
  <w:footnote w:id="6">
    <w:p w14:paraId="6972FCFF" w14:textId="3974BB99" w:rsidR="007C0BAC" w:rsidRPr="006A2D02" w:rsidRDefault="007C0BA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596AA9">
        <w:rPr>
          <w:i/>
        </w:rPr>
        <w:t>Nationales</w:t>
      </w:r>
      <w:proofErr w:type="spellEnd"/>
      <w:r w:rsidRPr="00596AA9">
        <w:rPr>
          <w:i/>
        </w:rPr>
        <w:t xml:space="preserve"> </w:t>
      </w:r>
      <w:proofErr w:type="spellStart"/>
      <w:r w:rsidRPr="00596AA9">
        <w:rPr>
          <w:i/>
        </w:rPr>
        <w:t>Reformprogramm</w:t>
      </w:r>
      <w:proofErr w:type="spellEnd"/>
      <w:r w:rsidRPr="00596AA9">
        <w:rPr>
          <w:i/>
        </w:rPr>
        <w:t xml:space="preserve"> 2020 </w:t>
      </w:r>
      <w:proofErr w:type="spellStart"/>
      <w:r w:rsidRPr="00596AA9">
        <w:rPr>
          <w:i/>
        </w:rPr>
        <w:t>Österreich</w:t>
      </w:r>
      <w:proofErr w:type="spellEnd"/>
    </w:p>
  </w:footnote>
  <w:footnote w:id="7">
    <w:p w14:paraId="6B1AA286" w14:textId="568F3C1B" w:rsidR="007C0BAC" w:rsidRPr="00F13C5D" w:rsidRDefault="007C0BA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 případě Chorvatska jsou nejstarší dostupná data u tohoto ukazatele za rok 2010 (nikoliv za r. 2008). </w:t>
      </w:r>
    </w:p>
  </w:footnote>
  <w:footnote w:id="8">
    <w:p w14:paraId="54B956F4" w14:textId="77777777" w:rsidR="007C0BAC" w:rsidRPr="00F635F5" w:rsidRDefault="007C0BAC" w:rsidP="0078246A">
      <w:pPr>
        <w:pStyle w:val="Textpoznpodarou"/>
        <w:rPr>
          <w:lang w:val="cs-CZ"/>
        </w:rPr>
      </w:pPr>
      <w:r w:rsidRPr="00F635F5">
        <w:rPr>
          <w:rStyle w:val="Znakapoznpodarou"/>
        </w:rPr>
        <w:footnoteRef/>
      </w:r>
      <w:r w:rsidRPr="00F635F5">
        <w:t xml:space="preserve"> </w:t>
      </w:r>
      <w:proofErr w:type="spellStart"/>
      <w:r w:rsidRPr="00846BF5">
        <w:t>European</w:t>
      </w:r>
      <w:proofErr w:type="spellEnd"/>
      <w:r w:rsidRPr="00846BF5">
        <w:t xml:space="preserve"> Union </w:t>
      </w:r>
      <w:proofErr w:type="spellStart"/>
      <w:r w:rsidRPr="00846BF5">
        <w:t>Emissions</w:t>
      </w:r>
      <w:proofErr w:type="spellEnd"/>
      <w:r w:rsidRPr="00846BF5">
        <w:t xml:space="preserve"> </w:t>
      </w:r>
      <w:proofErr w:type="spellStart"/>
      <w:r w:rsidRPr="00846BF5">
        <w:t>Trading</w:t>
      </w:r>
      <w:proofErr w:type="spellEnd"/>
      <w:r w:rsidRPr="00846BF5">
        <w:t xml:space="preserve"> </w:t>
      </w:r>
      <w:proofErr w:type="spellStart"/>
      <w:r w:rsidRPr="00846BF5">
        <w:t>System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CAB"/>
    <w:multiLevelType w:val="multilevel"/>
    <w:tmpl w:val="0366C17E"/>
    <w:lvl w:ilvl="0">
      <w:start w:val="1"/>
      <w:numFmt w:val="decimal"/>
      <w:pStyle w:val="Nadpis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413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-83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-69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-54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-405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-261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-117" w:hanging="1584"/>
      </w:pPr>
      <w:rPr>
        <w:rFonts w:hint="default"/>
      </w:rPr>
    </w:lvl>
  </w:abstractNum>
  <w:abstractNum w:abstractNumId="1" w15:restartNumberingAfterBreak="0">
    <w:nsid w:val="3C8A38C2"/>
    <w:multiLevelType w:val="multilevel"/>
    <w:tmpl w:val="6EF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628C1"/>
    <w:multiLevelType w:val="multilevel"/>
    <w:tmpl w:val="DD188C4A"/>
    <w:lvl w:ilvl="0">
      <w:start w:val="1"/>
      <w:numFmt w:val="decimal"/>
      <w:pStyle w:val="Styl1"/>
      <w:lvlText w:val="%1."/>
      <w:lvlJc w:val="left"/>
      <w:pPr>
        <w:ind w:left="360" w:firstLine="0"/>
      </w:pPr>
    </w:lvl>
    <w:lvl w:ilvl="1">
      <w:start w:val="2"/>
      <w:numFmt w:val="decimal"/>
      <w:pStyle w:val="Styl2"/>
      <w:lvlText w:val="%1.%2"/>
      <w:lvlJc w:val="left"/>
      <w:pPr>
        <w:ind w:left="645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16"/>
    <w:rsid w:val="00035A05"/>
    <w:rsid w:val="00042F77"/>
    <w:rsid w:val="000610DA"/>
    <w:rsid w:val="00083274"/>
    <w:rsid w:val="000B42ED"/>
    <w:rsid w:val="000E7CB4"/>
    <w:rsid w:val="00106FEA"/>
    <w:rsid w:val="0011086F"/>
    <w:rsid w:val="001503EA"/>
    <w:rsid w:val="001A6BD0"/>
    <w:rsid w:val="00216DBC"/>
    <w:rsid w:val="002D3759"/>
    <w:rsid w:val="002F0C6D"/>
    <w:rsid w:val="002F1D0A"/>
    <w:rsid w:val="00343C54"/>
    <w:rsid w:val="003E006B"/>
    <w:rsid w:val="00406282"/>
    <w:rsid w:val="00487A7C"/>
    <w:rsid w:val="0049679D"/>
    <w:rsid w:val="004A50DE"/>
    <w:rsid w:val="004B6DB6"/>
    <w:rsid w:val="005043DC"/>
    <w:rsid w:val="00505E84"/>
    <w:rsid w:val="00580875"/>
    <w:rsid w:val="005D2F4C"/>
    <w:rsid w:val="005F4462"/>
    <w:rsid w:val="00610F12"/>
    <w:rsid w:val="006A2D02"/>
    <w:rsid w:val="006D4A15"/>
    <w:rsid w:val="006D7EC0"/>
    <w:rsid w:val="00744DF1"/>
    <w:rsid w:val="007556EC"/>
    <w:rsid w:val="0078246A"/>
    <w:rsid w:val="0079670A"/>
    <w:rsid w:val="007C0BAC"/>
    <w:rsid w:val="007C10BA"/>
    <w:rsid w:val="007D0EF0"/>
    <w:rsid w:val="00824F12"/>
    <w:rsid w:val="00855254"/>
    <w:rsid w:val="008B43D2"/>
    <w:rsid w:val="008C18F5"/>
    <w:rsid w:val="008D2971"/>
    <w:rsid w:val="008F1157"/>
    <w:rsid w:val="008F3C39"/>
    <w:rsid w:val="008F4BCD"/>
    <w:rsid w:val="0092362B"/>
    <w:rsid w:val="0092418D"/>
    <w:rsid w:val="00940AD4"/>
    <w:rsid w:val="00957D7C"/>
    <w:rsid w:val="009B4516"/>
    <w:rsid w:val="009B55AE"/>
    <w:rsid w:val="009D7CFF"/>
    <w:rsid w:val="00A33F2A"/>
    <w:rsid w:val="00A3532D"/>
    <w:rsid w:val="00B22857"/>
    <w:rsid w:val="00B34A8C"/>
    <w:rsid w:val="00B626F6"/>
    <w:rsid w:val="00B8269D"/>
    <w:rsid w:val="00BA28F6"/>
    <w:rsid w:val="00BA5E9B"/>
    <w:rsid w:val="00BD24F1"/>
    <w:rsid w:val="00C21FA6"/>
    <w:rsid w:val="00C46A2C"/>
    <w:rsid w:val="00C46A85"/>
    <w:rsid w:val="00CE13FE"/>
    <w:rsid w:val="00CE572D"/>
    <w:rsid w:val="00CE7A2E"/>
    <w:rsid w:val="00D14368"/>
    <w:rsid w:val="00D50ABE"/>
    <w:rsid w:val="00D76A47"/>
    <w:rsid w:val="00D92A44"/>
    <w:rsid w:val="00DB7AF5"/>
    <w:rsid w:val="00DC575F"/>
    <w:rsid w:val="00DE050A"/>
    <w:rsid w:val="00E04E75"/>
    <w:rsid w:val="00E37946"/>
    <w:rsid w:val="00E502EC"/>
    <w:rsid w:val="00E7539E"/>
    <w:rsid w:val="00E827C1"/>
    <w:rsid w:val="00EA58E0"/>
    <w:rsid w:val="00EE076A"/>
    <w:rsid w:val="00F00F29"/>
    <w:rsid w:val="00F13C5D"/>
    <w:rsid w:val="00F246E8"/>
    <w:rsid w:val="00F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1D3"/>
  <w15:chartTrackingRefBased/>
  <w15:docId w15:val="{68BCE2AF-B563-40CA-8384-0359F96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8246A"/>
    <w:pPr>
      <w:spacing w:after="120" w:line="276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78246A"/>
    <w:pPr>
      <w:keepNext/>
      <w:keepLines/>
      <w:numPr>
        <w:numId w:val="1"/>
      </w:numPr>
      <w:spacing w:after="60"/>
      <w:jc w:val="left"/>
      <w:outlineLvl w:val="0"/>
    </w:pPr>
    <w:rPr>
      <w:b/>
      <w:color w:val="17365D"/>
      <w:sz w:val="28"/>
      <w:szCs w:val="3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8246A"/>
    <w:pPr>
      <w:keepNext/>
      <w:keepLines/>
      <w:numPr>
        <w:ilvl w:val="1"/>
        <w:numId w:val="1"/>
      </w:numPr>
      <w:spacing w:before="240" w:after="60"/>
      <w:outlineLvl w:val="1"/>
    </w:pPr>
    <w:rPr>
      <w:b/>
      <w:color w:val="2F5496"/>
      <w:sz w:val="24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8246A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color w:val="231872"/>
      <w:sz w:val="24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rsid w:val="0078246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link w:val="Nadpis5Char"/>
    <w:rsid w:val="0078246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  <w:szCs w:val="22"/>
    </w:rPr>
  </w:style>
  <w:style w:type="paragraph" w:styleId="Nadpis6">
    <w:name w:val="heading 6"/>
    <w:basedOn w:val="Normln"/>
    <w:next w:val="Normln"/>
    <w:link w:val="Nadpis6Char"/>
    <w:rsid w:val="0078246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246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246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246A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246A"/>
    <w:rPr>
      <w:rFonts w:ascii="Times New Roman" w:eastAsia="Times New Roman" w:hAnsi="Times New Roman" w:cs="Times New Roman"/>
      <w:b/>
      <w:color w:val="17365D"/>
      <w:sz w:val="28"/>
      <w:szCs w:val="3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78246A"/>
    <w:rPr>
      <w:rFonts w:ascii="Times New Roman" w:eastAsia="Times New Roman" w:hAnsi="Times New Roman" w:cs="Times New Roman"/>
      <w:b/>
      <w:color w:val="2F5496"/>
      <w:sz w:val="24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78246A"/>
    <w:rPr>
      <w:rFonts w:ascii="Arial" w:eastAsia="Times New Roman" w:hAnsi="Arial" w:cs="Times New Roman"/>
      <w:b/>
      <w:color w:val="231872"/>
      <w:sz w:val="24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78246A"/>
    <w:rPr>
      <w:rFonts w:ascii="Cambria" w:eastAsia="Cambria" w:hAnsi="Cambria" w:cs="Cambria"/>
      <w:b/>
      <w:i/>
      <w:color w:val="4F81BD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8246A"/>
    <w:rPr>
      <w:rFonts w:ascii="Times New Roman" w:eastAsia="Times New Roman" w:hAnsi="Times New Roman" w:cs="Times New Roman"/>
      <w:b/>
      <w:color w:val="000000"/>
      <w:lang w:eastAsia="cs-CZ"/>
    </w:rPr>
  </w:style>
  <w:style w:type="character" w:customStyle="1" w:styleId="Nadpis6Char">
    <w:name w:val="Nadpis 6 Char"/>
    <w:basedOn w:val="Standardnpsmoodstavce"/>
    <w:link w:val="Nadpis6"/>
    <w:rsid w:val="0078246A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246A"/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246A"/>
    <w:rPr>
      <w:rFonts w:ascii="Calibri" w:eastAsia="Times New Roman" w:hAnsi="Calibri" w:cs="Times New Roman"/>
      <w:i/>
      <w:iCs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246A"/>
    <w:rPr>
      <w:rFonts w:ascii="Cambria" w:eastAsia="Times New Roman" w:hAnsi="Cambria" w:cs="Times New Roman"/>
      <w:color w:val="00000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8246A"/>
    <w:rPr>
      <w:rFonts w:ascii="Arial" w:hAnsi="Arial"/>
    </w:rPr>
  </w:style>
  <w:style w:type="paragraph" w:styleId="Textpoznpodarou">
    <w:name w:val="footnote text"/>
    <w:aliases w:val="Poznámka pod čarou,Schriftart: 9 pt,Schriftart: 10 pt,Schriftart: 8 pt,Char,Text pozn. pod čarou1,Char Char Char1,Char Char1,Footnote Text Char1,Footnote Text Char1 Char1 Char,Footnote Text Char,Char1,Text poznámky pod čiarou 007,fn"/>
    <w:basedOn w:val="Normln"/>
    <w:link w:val="TextpoznpodarouChar"/>
    <w:uiPriority w:val="99"/>
    <w:unhideWhenUsed/>
    <w:qFormat/>
    <w:rsid w:val="0078246A"/>
    <w:pPr>
      <w:spacing w:after="0" w:line="240" w:lineRule="auto"/>
    </w:pPr>
    <w:rPr>
      <w:rFonts w:eastAsia="Calibri"/>
      <w:sz w:val="16"/>
      <w:szCs w:val="20"/>
      <w:lang w:val="x-none" w:eastAsia="x-none"/>
    </w:rPr>
  </w:style>
  <w:style w:type="character" w:customStyle="1" w:styleId="TextpoznpodarouChar">
    <w:name w:val="Text pozn. pod čarou Char"/>
    <w:aliases w:val="Poznámka pod čarou Char,Schriftart: 9 pt Char,Schriftart: 10 pt Char,Schriftart: 8 pt Char,Char Char,Text pozn. pod čarou1 Char,Char Char Char1 Char,Char Char1 Char,Footnote Text Char1 Char,Footnote Text Char1 Char1 Char Char"/>
    <w:basedOn w:val="Standardnpsmoodstavce"/>
    <w:link w:val="Textpoznpodarou"/>
    <w:uiPriority w:val="99"/>
    <w:qFormat/>
    <w:rsid w:val="0078246A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SUPE"/>
    <w:uiPriority w:val="99"/>
    <w:unhideWhenUsed/>
    <w:qFormat/>
    <w:rsid w:val="0078246A"/>
    <w:rPr>
      <w:vertAlign w:val="superscript"/>
    </w:rPr>
  </w:style>
  <w:style w:type="character" w:styleId="Siln">
    <w:name w:val="Strong"/>
    <w:uiPriority w:val="22"/>
    <w:qFormat/>
    <w:rsid w:val="0078246A"/>
    <w:rPr>
      <w:b/>
      <w:bCs/>
    </w:rPr>
  </w:style>
  <w:style w:type="paragraph" w:styleId="Normlnweb">
    <w:name w:val="Normal (Web)"/>
    <w:basedOn w:val="Normln"/>
    <w:uiPriority w:val="99"/>
    <w:unhideWhenUsed/>
    <w:rsid w:val="0078246A"/>
    <w:pPr>
      <w:spacing w:before="100" w:beforeAutospacing="1" w:after="100" w:afterAutospacing="1" w:line="240" w:lineRule="auto"/>
      <w:jc w:val="left"/>
    </w:pPr>
    <w:rPr>
      <w:color w:val="auto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82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46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46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46A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Styl1">
    <w:name w:val="Styl 1"/>
    <w:basedOn w:val="Nadpis1"/>
    <w:link w:val="Styl1Char"/>
    <w:qFormat/>
    <w:rsid w:val="0078246A"/>
    <w:pPr>
      <w:numPr>
        <w:numId w:val="3"/>
      </w:numPr>
      <w:ind w:left="357"/>
    </w:pPr>
  </w:style>
  <w:style w:type="paragraph" w:styleId="Bezmezer">
    <w:name w:val="No Spacing"/>
    <w:uiPriority w:val="1"/>
    <w:qFormat/>
    <w:rsid w:val="007824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Styl1Char">
    <w:name w:val="Styl 1 Char"/>
    <w:link w:val="Styl1"/>
    <w:rsid w:val="0078246A"/>
    <w:rPr>
      <w:rFonts w:ascii="Times New Roman" w:eastAsia="Times New Roman" w:hAnsi="Times New Roman" w:cs="Times New Roman"/>
      <w:b/>
      <w:color w:val="17365D"/>
      <w:sz w:val="28"/>
      <w:szCs w:val="30"/>
      <w:lang w:val="x-none" w:eastAsia="x-none"/>
    </w:rPr>
  </w:style>
  <w:style w:type="paragraph" w:customStyle="1" w:styleId="Styl2">
    <w:name w:val="Styl2"/>
    <w:basedOn w:val="Nadpis2"/>
    <w:link w:val="Styl2Char"/>
    <w:qFormat/>
    <w:rsid w:val="0078246A"/>
    <w:pPr>
      <w:numPr>
        <w:numId w:val="3"/>
      </w:numPr>
    </w:pPr>
  </w:style>
  <w:style w:type="character" w:customStyle="1" w:styleId="Styl2Char">
    <w:name w:val="Styl2 Char"/>
    <w:link w:val="Styl2"/>
    <w:rsid w:val="0078246A"/>
    <w:rPr>
      <w:rFonts w:ascii="Times New Roman" w:eastAsia="Times New Roman" w:hAnsi="Times New Roman" w:cs="Times New Roman"/>
      <w:b/>
      <w:color w:val="2F5496"/>
      <w:sz w:val="24"/>
      <w:szCs w:val="28"/>
      <w:lang w:val="x-none" w:eastAsia="x-none"/>
    </w:rPr>
  </w:style>
  <w:style w:type="paragraph" w:styleId="Titulek">
    <w:name w:val="caption"/>
    <w:basedOn w:val="Normln"/>
    <w:next w:val="Normln"/>
    <w:uiPriority w:val="35"/>
    <w:unhideWhenUsed/>
    <w:qFormat/>
    <w:rsid w:val="0078246A"/>
    <w:pPr>
      <w:spacing w:before="240" w:after="60" w:line="240" w:lineRule="auto"/>
    </w:pPr>
    <w:rPr>
      <w:b/>
      <w:bCs/>
      <w:color w:val="231872"/>
      <w:sz w:val="2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DC575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575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C57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F33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F33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pe2020/pdf/targets_c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vlada.cz/cz/pracovni-a-poradni-organy-vlady/veu/vybor-pro-evropskou-unii-22560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consilium.europa.eu/uedocs/cms_data/docs/pressdata/CS/ec/113596.pd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9BA0-78D6-4F15-898C-69A1F480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3867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Fiala Jan</cp:lastModifiedBy>
  <cp:revision>6</cp:revision>
  <cp:lastPrinted>2021-06-15T11:29:00Z</cp:lastPrinted>
  <dcterms:created xsi:type="dcterms:W3CDTF">2021-06-15T09:19:00Z</dcterms:created>
  <dcterms:modified xsi:type="dcterms:W3CDTF">2021-06-15T11:38:00Z</dcterms:modified>
</cp:coreProperties>
</file>