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99" w:rsidRPr="002D1203" w:rsidRDefault="00D57D99" w:rsidP="005B61CD">
      <w:pPr>
        <w:pStyle w:val="Nadpispodlnek"/>
        <w:spacing w:after="0"/>
        <w:ind w:firstLine="708"/>
        <w:jc w:val="right"/>
        <w:rPr>
          <w:rFonts w:ascii="Arial" w:hAnsi="Arial" w:cs="Arial"/>
        </w:rPr>
      </w:pPr>
      <w:r w:rsidRPr="002D1203">
        <w:rPr>
          <w:rFonts w:ascii="Arial" w:hAnsi="Arial" w:cs="Arial"/>
        </w:rPr>
        <w:t>III.</w:t>
      </w:r>
    </w:p>
    <w:p w:rsidR="00D57D99" w:rsidRPr="002D1203" w:rsidRDefault="00D57D99" w:rsidP="00D57D99">
      <w:pPr>
        <w:pStyle w:val="1odstavecbezodsazen"/>
      </w:pPr>
    </w:p>
    <w:p w:rsidR="00D57D99" w:rsidRPr="002D1203" w:rsidRDefault="00666419" w:rsidP="00565CE5">
      <w:pPr>
        <w:pStyle w:val="Nadpispodlnek"/>
        <w:spacing w:before="120" w:after="0" w:line="23" w:lineRule="atLeast"/>
        <w:rPr>
          <w:rFonts w:ascii="Arial" w:hAnsi="Arial" w:cs="Arial"/>
        </w:rPr>
      </w:pPr>
      <w:r w:rsidRPr="002D1203">
        <w:rPr>
          <w:rFonts w:ascii="Arial" w:hAnsi="Arial" w:cs="Arial"/>
        </w:rPr>
        <w:t xml:space="preserve">Návrh na </w:t>
      </w:r>
      <w:r w:rsidR="00873E03">
        <w:rPr>
          <w:rFonts w:ascii="Arial" w:hAnsi="Arial" w:cs="Arial"/>
        </w:rPr>
        <w:t>úpravu</w:t>
      </w:r>
      <w:r w:rsidR="00D57D99" w:rsidRPr="002D1203">
        <w:rPr>
          <w:rFonts w:ascii="Arial" w:hAnsi="Arial" w:cs="Arial"/>
        </w:rPr>
        <w:t xml:space="preserve"> systemizace služebních a pracovních míst </w:t>
      </w:r>
    </w:p>
    <w:p w:rsidR="00F5008E" w:rsidRPr="002D1203" w:rsidRDefault="00D57D99" w:rsidP="00565CE5">
      <w:pPr>
        <w:pStyle w:val="Nadpispodlnek"/>
        <w:spacing w:before="120" w:line="23" w:lineRule="atLeast"/>
        <w:rPr>
          <w:rFonts w:ascii="Arial" w:hAnsi="Arial" w:cs="Arial"/>
        </w:rPr>
      </w:pPr>
      <w:r w:rsidRPr="002D1203">
        <w:rPr>
          <w:rFonts w:ascii="Arial" w:hAnsi="Arial" w:cs="Arial"/>
        </w:rPr>
        <w:t xml:space="preserve">s účinností od 1. </w:t>
      </w:r>
      <w:r w:rsidR="00F873B2" w:rsidRPr="002D1203">
        <w:rPr>
          <w:rFonts w:ascii="Arial" w:hAnsi="Arial" w:cs="Arial"/>
        </w:rPr>
        <w:t>ledna 201</w:t>
      </w:r>
      <w:r w:rsidR="004E1B91">
        <w:rPr>
          <w:rFonts w:ascii="Arial" w:hAnsi="Arial" w:cs="Arial"/>
        </w:rPr>
        <w:t>9</w:t>
      </w:r>
      <w:r w:rsidR="00DF0C03" w:rsidRPr="002D1203">
        <w:rPr>
          <w:rFonts w:ascii="Arial" w:hAnsi="Arial" w:cs="Arial"/>
        </w:rPr>
        <w:t xml:space="preserve"> </w:t>
      </w:r>
    </w:p>
    <w:p w:rsidR="00F873B2" w:rsidRPr="00E25B60" w:rsidRDefault="00D57D99" w:rsidP="00565CE5">
      <w:pPr>
        <w:pStyle w:val="1odstavecodsazen"/>
        <w:spacing w:before="120" w:line="23" w:lineRule="atLeast"/>
        <w:rPr>
          <w:rFonts w:ascii="Arial" w:hAnsi="Arial" w:cs="Arial"/>
        </w:rPr>
      </w:pPr>
      <w:r w:rsidRPr="002D1203">
        <w:rPr>
          <w:rFonts w:ascii="Arial" w:hAnsi="Arial" w:cs="Arial"/>
        </w:rPr>
        <w:t>Vláda České republi</w:t>
      </w:r>
      <w:r w:rsidRPr="00E25B60">
        <w:rPr>
          <w:rFonts w:ascii="Arial" w:hAnsi="Arial" w:cs="Arial"/>
        </w:rPr>
        <w:t xml:space="preserve">ky svým usnesením ze dne </w:t>
      </w:r>
      <w:r w:rsidR="00E25B60" w:rsidRPr="00E25B60">
        <w:rPr>
          <w:rFonts w:ascii="Arial" w:hAnsi="Arial" w:cs="Arial"/>
        </w:rPr>
        <w:t>29</w:t>
      </w:r>
      <w:r w:rsidR="004E1B91" w:rsidRPr="00E25B60">
        <w:rPr>
          <w:rFonts w:ascii="Arial" w:hAnsi="Arial" w:cs="Arial"/>
        </w:rPr>
        <w:t>. listopadu 2018</w:t>
      </w:r>
      <w:r w:rsidRPr="00E25B60">
        <w:rPr>
          <w:rFonts w:ascii="Arial" w:hAnsi="Arial" w:cs="Arial"/>
        </w:rPr>
        <w:t xml:space="preserve"> č. </w:t>
      </w:r>
      <w:r w:rsidR="00E25B60" w:rsidRPr="00E25B60">
        <w:rPr>
          <w:rFonts w:ascii="Arial" w:hAnsi="Arial" w:cs="Arial"/>
        </w:rPr>
        <w:t>783</w:t>
      </w:r>
      <w:r w:rsidRPr="00E25B60">
        <w:rPr>
          <w:rFonts w:ascii="Arial" w:hAnsi="Arial" w:cs="Arial"/>
        </w:rPr>
        <w:t xml:space="preserve"> </w:t>
      </w:r>
      <w:r w:rsidR="00F873B2" w:rsidRPr="00E25B60">
        <w:rPr>
          <w:rFonts w:ascii="Arial" w:hAnsi="Arial" w:cs="Arial"/>
        </w:rPr>
        <w:t xml:space="preserve">schválila návrh systemizace služebních a pracovních míst </w:t>
      </w:r>
      <w:r w:rsidR="00CF214A" w:rsidRPr="00E25B60">
        <w:rPr>
          <w:rFonts w:ascii="Arial" w:hAnsi="Arial" w:cs="Arial"/>
        </w:rPr>
        <w:t>s účinností od 1. ledna 201</w:t>
      </w:r>
      <w:r w:rsidR="004E1B91" w:rsidRPr="00E25B60">
        <w:rPr>
          <w:rFonts w:ascii="Arial" w:hAnsi="Arial" w:cs="Arial"/>
        </w:rPr>
        <w:t>9</w:t>
      </w:r>
      <w:r w:rsidR="00CF214A" w:rsidRPr="00E25B60">
        <w:rPr>
          <w:rFonts w:ascii="Arial" w:hAnsi="Arial" w:cs="Arial"/>
        </w:rPr>
        <w:t xml:space="preserve">. Učinila tak </w:t>
      </w:r>
      <w:r w:rsidR="00F873B2" w:rsidRPr="00E25B60">
        <w:rPr>
          <w:rFonts w:ascii="Arial" w:hAnsi="Arial" w:cs="Arial"/>
        </w:rPr>
        <w:t>pod</w:t>
      </w:r>
      <w:r w:rsidR="002D1203" w:rsidRPr="00E25B60">
        <w:rPr>
          <w:rFonts w:ascii="Arial" w:hAnsi="Arial" w:cs="Arial"/>
        </w:rPr>
        <w:t xml:space="preserve">le § 17 zákona č. 234/2014 Sb., </w:t>
      </w:r>
      <w:r w:rsidR="00F873B2" w:rsidRPr="00E25B60">
        <w:rPr>
          <w:rFonts w:ascii="Arial" w:hAnsi="Arial" w:cs="Arial"/>
        </w:rPr>
        <w:t>o státní službě</w:t>
      </w:r>
      <w:r w:rsidR="00CF214A" w:rsidRPr="00E25B60">
        <w:rPr>
          <w:rFonts w:ascii="Arial" w:hAnsi="Arial" w:cs="Arial"/>
        </w:rPr>
        <w:t xml:space="preserve"> (dále jen „zákon o státní službě“)</w:t>
      </w:r>
      <w:r w:rsidR="00F873B2" w:rsidRPr="00E25B60">
        <w:rPr>
          <w:rFonts w:ascii="Arial" w:hAnsi="Arial" w:cs="Arial"/>
        </w:rPr>
        <w:t>.</w:t>
      </w:r>
    </w:p>
    <w:p w:rsidR="00CF214A" w:rsidRPr="002D1203" w:rsidRDefault="00CF214A" w:rsidP="00565CE5">
      <w:pPr>
        <w:pStyle w:val="1odstavecodsazen"/>
        <w:spacing w:before="120" w:line="23" w:lineRule="atLeast"/>
        <w:rPr>
          <w:rFonts w:ascii="Arial" w:hAnsi="Arial" w:cs="Arial"/>
        </w:rPr>
      </w:pPr>
      <w:r w:rsidRPr="00E25B60">
        <w:rPr>
          <w:rFonts w:ascii="Arial" w:hAnsi="Arial" w:cs="Arial"/>
        </w:rPr>
        <w:t xml:space="preserve">Vládě České republiky je předkládán v souladu s ustanovením § 17 zákona o státní službě materiál „Návrh na </w:t>
      </w:r>
      <w:r w:rsidR="00873E03" w:rsidRPr="00E25B60">
        <w:rPr>
          <w:rFonts w:ascii="Arial" w:hAnsi="Arial" w:cs="Arial"/>
        </w:rPr>
        <w:t>úpravu</w:t>
      </w:r>
      <w:r w:rsidRPr="00E25B60">
        <w:rPr>
          <w:rFonts w:ascii="Arial" w:hAnsi="Arial" w:cs="Arial"/>
        </w:rPr>
        <w:t xml:space="preserve"> systemizace služebních a pracovních míst s účinností od 1. ledna 201</w:t>
      </w:r>
      <w:r w:rsidR="004E1B91" w:rsidRPr="00E25B60">
        <w:rPr>
          <w:rFonts w:ascii="Arial" w:hAnsi="Arial" w:cs="Arial"/>
        </w:rPr>
        <w:t>9</w:t>
      </w:r>
      <w:r w:rsidRPr="00E25B60">
        <w:rPr>
          <w:rFonts w:ascii="Arial" w:hAnsi="Arial" w:cs="Arial"/>
        </w:rPr>
        <w:t xml:space="preserve">“, kterým se mění </w:t>
      </w:r>
      <w:r w:rsidR="0070223B" w:rsidRPr="00E25B60">
        <w:rPr>
          <w:rFonts w:ascii="Arial" w:hAnsi="Arial" w:cs="Arial"/>
        </w:rPr>
        <w:t xml:space="preserve">dosud neúčinná </w:t>
      </w:r>
      <w:r w:rsidRPr="00E25B60">
        <w:rPr>
          <w:rFonts w:ascii="Arial" w:hAnsi="Arial" w:cs="Arial"/>
        </w:rPr>
        <w:t xml:space="preserve">systemizace služebních a pracovních míst schválená usnesením vlády ze dne </w:t>
      </w:r>
      <w:r w:rsidR="00E25B60" w:rsidRPr="00E25B60">
        <w:rPr>
          <w:rFonts w:ascii="Arial" w:hAnsi="Arial" w:cs="Arial"/>
        </w:rPr>
        <w:t>29</w:t>
      </w:r>
      <w:r w:rsidR="004E1B91" w:rsidRPr="00E25B60">
        <w:rPr>
          <w:rFonts w:ascii="Arial" w:hAnsi="Arial" w:cs="Arial"/>
        </w:rPr>
        <w:t>. listopadu 2018</w:t>
      </w:r>
      <w:r w:rsidRPr="00E25B60">
        <w:rPr>
          <w:rFonts w:ascii="Arial" w:hAnsi="Arial" w:cs="Arial"/>
        </w:rPr>
        <w:t xml:space="preserve"> č. </w:t>
      </w:r>
      <w:r w:rsidR="00E25B60" w:rsidRPr="00E25B60">
        <w:rPr>
          <w:rFonts w:ascii="Arial" w:hAnsi="Arial" w:cs="Arial"/>
        </w:rPr>
        <w:t>783</w:t>
      </w:r>
      <w:r>
        <w:rPr>
          <w:rFonts w:ascii="Arial" w:hAnsi="Arial" w:cs="Arial"/>
        </w:rPr>
        <w:t>.</w:t>
      </w:r>
    </w:p>
    <w:p w:rsidR="00F873B2" w:rsidRPr="002D1203" w:rsidRDefault="00EA21C0" w:rsidP="00565CE5">
      <w:pPr>
        <w:pStyle w:val="1odstavecodsazen"/>
        <w:spacing w:before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Navrhuje se </w:t>
      </w:r>
      <w:r w:rsidR="00873E03">
        <w:rPr>
          <w:rFonts w:ascii="Arial" w:hAnsi="Arial" w:cs="Arial"/>
        </w:rPr>
        <w:t>úprava</w:t>
      </w:r>
      <w:r>
        <w:rPr>
          <w:rFonts w:ascii="Arial" w:hAnsi="Arial" w:cs="Arial"/>
        </w:rPr>
        <w:t xml:space="preserve"> systemizace služebních a pracovních míst u níže uvedených služebních úřadů</w:t>
      </w:r>
      <w:r w:rsidR="007905E2">
        <w:rPr>
          <w:rFonts w:ascii="Arial" w:hAnsi="Arial" w:cs="Arial"/>
        </w:rPr>
        <w:t>. Změny jsou popsány ve vztahu ke schválené systemizaci s účinností od 1. ledna 2019.</w:t>
      </w:r>
      <w:r>
        <w:rPr>
          <w:rFonts w:ascii="Arial" w:hAnsi="Arial" w:cs="Arial"/>
        </w:rPr>
        <w:t xml:space="preserve"> </w:t>
      </w:r>
      <w:r w:rsidR="007905E2">
        <w:rPr>
          <w:rFonts w:ascii="Arial" w:hAnsi="Arial" w:cs="Arial"/>
        </w:rPr>
        <w:t>N</w:t>
      </w:r>
      <w:r w:rsidR="00F873B2" w:rsidRPr="002D1203">
        <w:rPr>
          <w:rFonts w:ascii="Arial" w:hAnsi="Arial" w:cs="Arial"/>
        </w:rPr>
        <w:t>ávrh</w:t>
      </w:r>
      <w:r w:rsidR="00CF214A">
        <w:rPr>
          <w:rFonts w:ascii="Arial" w:hAnsi="Arial" w:cs="Arial"/>
        </w:rPr>
        <w:t xml:space="preserve"> </w:t>
      </w:r>
      <w:r w:rsidR="00F873B2" w:rsidRPr="002D1203">
        <w:rPr>
          <w:rFonts w:ascii="Arial" w:hAnsi="Arial" w:cs="Arial"/>
        </w:rPr>
        <w:t>vychází z následujících skutečností:</w:t>
      </w:r>
    </w:p>
    <w:p w:rsidR="005B50B2" w:rsidRDefault="005B50B2" w:rsidP="00BB49B7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Úřad vlády České republiky</w:t>
      </w:r>
    </w:p>
    <w:p w:rsidR="00A84823" w:rsidRDefault="00AF430D" w:rsidP="00BB49B7">
      <w:pPr>
        <w:pStyle w:val="1odstavecodsazen"/>
        <w:rPr>
          <w:rFonts w:ascii="Arial" w:hAnsi="Arial" w:cs="Arial"/>
          <w:noProof/>
        </w:rPr>
      </w:pPr>
      <w:r w:rsidRPr="00BB49B7">
        <w:rPr>
          <w:rFonts w:ascii="Arial" w:hAnsi="Arial" w:cs="Arial"/>
          <w:noProof/>
        </w:rPr>
        <w:t xml:space="preserve">Návrh </w:t>
      </w:r>
      <w:r w:rsidR="00EF543B">
        <w:rPr>
          <w:rFonts w:ascii="Arial" w:hAnsi="Arial" w:cs="Arial"/>
          <w:noProof/>
        </w:rPr>
        <w:t>na úpravu systemizace</w:t>
      </w:r>
      <w:r w:rsidRPr="00BB49B7">
        <w:rPr>
          <w:rFonts w:ascii="Arial" w:hAnsi="Arial" w:cs="Arial"/>
          <w:noProof/>
        </w:rPr>
        <w:t xml:space="preserve"> spočívá ve zrušení 9 pracovních míst</w:t>
      </w:r>
      <w:r w:rsidR="007905E2">
        <w:rPr>
          <w:rFonts w:ascii="Arial" w:hAnsi="Arial" w:cs="Arial"/>
          <w:noProof/>
        </w:rPr>
        <w:t xml:space="preserve"> zřízených k zajištění projektu </w:t>
      </w:r>
      <w:r w:rsidRPr="00BB49B7">
        <w:rPr>
          <w:rFonts w:ascii="Arial" w:hAnsi="Arial" w:cs="Arial"/>
          <w:noProof/>
        </w:rPr>
        <w:t>„Místo pro všechny – budování prostoru pro vzájemné soužití“</w:t>
      </w:r>
      <w:r w:rsidR="00050CBD">
        <w:rPr>
          <w:rFonts w:ascii="Arial" w:hAnsi="Arial" w:cs="Arial"/>
          <w:noProof/>
        </w:rPr>
        <w:t xml:space="preserve"> </w:t>
      </w:r>
      <w:r w:rsidRPr="00BB49B7">
        <w:rPr>
          <w:rFonts w:ascii="Arial" w:hAnsi="Arial" w:cs="Arial"/>
          <w:noProof/>
        </w:rPr>
        <w:t>(2x 12.</w:t>
      </w:r>
      <w:r w:rsidR="00EF543B">
        <w:rPr>
          <w:rFonts w:ascii="Arial" w:hAnsi="Arial" w:cs="Arial"/>
          <w:noProof/>
        </w:rPr>
        <w:t> p</w:t>
      </w:r>
      <w:r w:rsidRPr="00BB49B7">
        <w:rPr>
          <w:rFonts w:ascii="Arial" w:hAnsi="Arial" w:cs="Arial"/>
          <w:noProof/>
        </w:rPr>
        <w:t xml:space="preserve">t, 7 x 10. pt). </w:t>
      </w:r>
    </w:p>
    <w:p w:rsidR="00050CBD" w:rsidRDefault="00AF430D" w:rsidP="00BB49B7">
      <w:pPr>
        <w:pStyle w:val="1odstavecodsazen"/>
        <w:rPr>
          <w:rFonts w:ascii="Arial" w:hAnsi="Arial" w:cs="Arial"/>
          <w:noProof/>
        </w:rPr>
      </w:pPr>
      <w:r w:rsidRPr="00BB49B7">
        <w:rPr>
          <w:rFonts w:ascii="Arial" w:hAnsi="Arial" w:cs="Arial"/>
          <w:noProof/>
        </w:rPr>
        <w:t xml:space="preserve">Další navrhovanou </w:t>
      </w:r>
      <w:r w:rsidR="00EF543B">
        <w:rPr>
          <w:rFonts w:ascii="Arial" w:hAnsi="Arial" w:cs="Arial"/>
          <w:noProof/>
        </w:rPr>
        <w:t>úpravou</w:t>
      </w:r>
      <w:r w:rsidRPr="00BB49B7">
        <w:rPr>
          <w:rFonts w:ascii="Arial" w:hAnsi="Arial" w:cs="Arial"/>
          <w:noProof/>
        </w:rPr>
        <w:t xml:space="preserve"> je zrušení oddělení boje s korupcí v působnosti Uřadu vlády a jeho zřízení v působnosti Ministerstva spravedlnosti. Jedná se o</w:t>
      </w:r>
      <w:r w:rsidR="00EF543B">
        <w:rPr>
          <w:rFonts w:ascii="Arial" w:hAnsi="Arial" w:cs="Arial"/>
          <w:noProof/>
        </w:rPr>
        <w:t> </w:t>
      </w:r>
      <w:r w:rsidRPr="00BB49B7">
        <w:rPr>
          <w:rFonts w:ascii="Arial" w:hAnsi="Arial" w:cs="Arial"/>
          <w:noProof/>
        </w:rPr>
        <w:t>celkem 7 služebních míst (1x 14. pt – představený, 3x 14. pt, 2x 13.</w:t>
      </w:r>
      <w:r w:rsidR="00EF543B">
        <w:rPr>
          <w:rFonts w:ascii="Arial" w:hAnsi="Arial" w:cs="Arial"/>
          <w:noProof/>
        </w:rPr>
        <w:t> </w:t>
      </w:r>
      <w:r w:rsidRPr="00BB49B7">
        <w:rPr>
          <w:rFonts w:ascii="Arial" w:hAnsi="Arial" w:cs="Arial"/>
          <w:noProof/>
        </w:rPr>
        <w:t>pt a</w:t>
      </w:r>
      <w:r w:rsidR="003F04A9">
        <w:rPr>
          <w:rFonts w:ascii="Arial" w:hAnsi="Arial" w:cs="Arial"/>
          <w:noProof/>
        </w:rPr>
        <w:t> </w:t>
      </w:r>
      <w:r w:rsidRPr="00BB49B7">
        <w:rPr>
          <w:rFonts w:ascii="Arial" w:hAnsi="Arial" w:cs="Arial"/>
          <w:noProof/>
        </w:rPr>
        <w:t>1x</w:t>
      </w:r>
      <w:r w:rsidR="003F04A9">
        <w:rPr>
          <w:rFonts w:ascii="Arial" w:hAnsi="Arial" w:cs="Arial"/>
          <w:noProof/>
        </w:rPr>
        <w:t> </w:t>
      </w:r>
      <w:r w:rsidRPr="00BB49B7">
        <w:rPr>
          <w:rFonts w:ascii="Arial" w:hAnsi="Arial" w:cs="Arial"/>
          <w:noProof/>
        </w:rPr>
        <w:t xml:space="preserve">12. pt). Tato změna je navrhována s ohledem na </w:t>
      </w:r>
      <w:r w:rsidR="00E25B60">
        <w:rPr>
          <w:rFonts w:ascii="Arial" w:hAnsi="Arial" w:cs="Arial"/>
          <w:noProof/>
        </w:rPr>
        <w:t xml:space="preserve">přehodnocení umístění </w:t>
      </w:r>
      <w:r w:rsidRPr="00BB49B7">
        <w:rPr>
          <w:rFonts w:ascii="Arial" w:hAnsi="Arial" w:cs="Arial"/>
          <w:noProof/>
        </w:rPr>
        <w:t xml:space="preserve">této agendy </w:t>
      </w:r>
      <w:r w:rsidR="00E25B60">
        <w:rPr>
          <w:rFonts w:ascii="Arial" w:hAnsi="Arial" w:cs="Arial"/>
          <w:noProof/>
        </w:rPr>
        <w:t xml:space="preserve">a </w:t>
      </w:r>
      <w:r w:rsidRPr="00BB49B7">
        <w:rPr>
          <w:rFonts w:ascii="Arial" w:hAnsi="Arial" w:cs="Arial"/>
          <w:noProof/>
        </w:rPr>
        <w:t>racionalizaci počtu agend, které zajištuje Uřad vlády.</w:t>
      </w:r>
      <w:r w:rsidR="007905E2">
        <w:rPr>
          <w:rFonts w:ascii="Arial" w:hAnsi="Arial" w:cs="Arial"/>
          <w:noProof/>
        </w:rPr>
        <w:t xml:space="preserve"> </w:t>
      </w:r>
      <w:r w:rsidR="00050CBD">
        <w:rPr>
          <w:rFonts w:ascii="Arial" w:hAnsi="Arial" w:cs="Arial"/>
          <w:noProof/>
        </w:rPr>
        <w:t xml:space="preserve">Převod agendy boje s korupcí </w:t>
      </w:r>
      <w:r w:rsidR="00856FC8">
        <w:rPr>
          <w:rFonts w:ascii="Arial" w:hAnsi="Arial" w:cs="Arial"/>
          <w:noProof/>
        </w:rPr>
        <w:t>schválila vláda na svém zasedání dne 3. 12. 2019.</w:t>
      </w:r>
    </w:p>
    <w:p w:rsidR="00AF430D" w:rsidRPr="00456760" w:rsidRDefault="00AF430D" w:rsidP="00BB49B7">
      <w:pPr>
        <w:pStyle w:val="1odstavecodsazen"/>
        <w:rPr>
          <w:rFonts w:ascii="Arial" w:hAnsi="Arial" w:cs="Arial"/>
          <w:noProof/>
        </w:rPr>
      </w:pPr>
      <w:r w:rsidRPr="00BB49B7">
        <w:rPr>
          <w:rFonts w:ascii="Arial" w:hAnsi="Arial" w:cs="Arial"/>
          <w:noProof/>
        </w:rPr>
        <w:t>Dále je navrhováno zrušení</w:t>
      </w:r>
      <w:r w:rsidR="007905E2">
        <w:rPr>
          <w:rFonts w:ascii="Arial" w:hAnsi="Arial" w:cs="Arial"/>
          <w:noProof/>
        </w:rPr>
        <w:t xml:space="preserve"> </w:t>
      </w:r>
      <w:r w:rsidRPr="00BB49B7">
        <w:rPr>
          <w:rFonts w:ascii="Arial" w:hAnsi="Arial" w:cs="Arial"/>
          <w:noProof/>
        </w:rPr>
        <w:t xml:space="preserve">služebního místa ředitele odboru hodnocení dopadů regulace v 15. pt. a to z důvodu zrušení celého odboru hodnocení dopadů </w:t>
      </w:r>
      <w:r w:rsidRPr="00456760">
        <w:rPr>
          <w:rFonts w:ascii="Arial" w:hAnsi="Arial" w:cs="Arial"/>
          <w:noProof/>
        </w:rPr>
        <w:t>regulace.  Na místo tohoto zrušeného místa bude vytvořeno služební místo v 15. pt v přímé působnosti náměstka pro řízení sekce Legislativní rady vlády.</w:t>
      </w:r>
      <w:r w:rsidR="007905E2" w:rsidRPr="00456760">
        <w:rPr>
          <w:rFonts w:ascii="Arial" w:hAnsi="Arial" w:cs="Arial"/>
          <w:noProof/>
        </w:rPr>
        <w:t xml:space="preserve"> Důvodem je zrušení odboru hodnocení dopadů regulace</w:t>
      </w:r>
      <w:r w:rsidR="00050CBD" w:rsidRPr="00456760">
        <w:rPr>
          <w:rFonts w:ascii="Arial" w:hAnsi="Arial" w:cs="Arial"/>
          <w:noProof/>
        </w:rPr>
        <w:t xml:space="preserve"> v souvislosti s převodem činnosti jednoho z jeho oddělení (agenda boje s korupcí) na Ministerstvo spravedlnosti</w:t>
      </w:r>
      <w:r w:rsidR="00A84823" w:rsidRPr="00456760">
        <w:rPr>
          <w:rFonts w:ascii="Arial" w:hAnsi="Arial" w:cs="Arial"/>
          <w:noProof/>
        </w:rPr>
        <w:t>.</w:t>
      </w:r>
      <w:r w:rsidR="007905E2" w:rsidRPr="00456760">
        <w:rPr>
          <w:rFonts w:ascii="Arial" w:hAnsi="Arial" w:cs="Arial"/>
          <w:noProof/>
        </w:rPr>
        <w:t xml:space="preserve"> </w:t>
      </w:r>
      <w:r w:rsidR="00A84823" w:rsidRPr="00456760">
        <w:rPr>
          <w:rFonts w:ascii="Arial" w:hAnsi="Arial" w:cs="Arial"/>
          <w:noProof/>
        </w:rPr>
        <w:t>O</w:t>
      </w:r>
      <w:r w:rsidR="007905E2" w:rsidRPr="00456760">
        <w:rPr>
          <w:rFonts w:ascii="Arial" w:hAnsi="Arial" w:cs="Arial"/>
          <w:noProof/>
        </w:rPr>
        <w:t xml:space="preserve">ddělení pro koordinaci procesu hodnocení dopadů regulace </w:t>
      </w:r>
      <w:r w:rsidR="00A84823" w:rsidRPr="00456760">
        <w:rPr>
          <w:rFonts w:ascii="Arial" w:hAnsi="Arial" w:cs="Arial"/>
          <w:noProof/>
        </w:rPr>
        <w:t xml:space="preserve">se převádí do přímé </w:t>
      </w:r>
      <w:r w:rsidR="007905E2" w:rsidRPr="00456760">
        <w:rPr>
          <w:rFonts w:ascii="Arial" w:hAnsi="Arial" w:cs="Arial"/>
          <w:noProof/>
        </w:rPr>
        <w:t>působnosti náměstka pro řízení sekce Legislativní rady vlády</w:t>
      </w:r>
      <w:r w:rsidR="003F04A9" w:rsidRPr="00456760">
        <w:rPr>
          <w:rFonts w:ascii="Arial" w:hAnsi="Arial" w:cs="Arial"/>
          <w:noProof/>
        </w:rPr>
        <w:t>.</w:t>
      </w:r>
    </w:p>
    <w:p w:rsidR="00A5419C" w:rsidRPr="00456760" w:rsidRDefault="00AF430D" w:rsidP="00BB49B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 xml:space="preserve">Dále je navrhováno </w:t>
      </w:r>
      <w:r w:rsidR="00A5419C" w:rsidRPr="00456760">
        <w:rPr>
          <w:rFonts w:ascii="Arial" w:hAnsi="Arial" w:cs="Arial"/>
          <w:noProof/>
        </w:rPr>
        <w:t>navýšení objemu prostředků na platy státních zaměstnanců, kteří jsou vyslaní na stáž do Evropské komise, o částku ve výši 356 027 Kč. Zdrojem bude</w:t>
      </w:r>
      <w:r w:rsidRPr="00456760">
        <w:rPr>
          <w:rFonts w:ascii="Arial" w:hAnsi="Arial" w:cs="Arial"/>
          <w:noProof/>
        </w:rPr>
        <w:t xml:space="preserve"> Všeobecn</w:t>
      </w:r>
      <w:r w:rsidR="00A5419C" w:rsidRPr="00456760">
        <w:rPr>
          <w:rFonts w:ascii="Arial" w:hAnsi="Arial" w:cs="Arial"/>
          <w:noProof/>
        </w:rPr>
        <w:t>á</w:t>
      </w:r>
      <w:r w:rsidRPr="00456760">
        <w:rPr>
          <w:rFonts w:ascii="Arial" w:hAnsi="Arial" w:cs="Arial"/>
          <w:noProof/>
        </w:rPr>
        <w:t xml:space="preserve"> pokladní správ</w:t>
      </w:r>
      <w:r w:rsidR="00A5419C" w:rsidRPr="00456760">
        <w:rPr>
          <w:rFonts w:ascii="Arial" w:hAnsi="Arial" w:cs="Arial"/>
          <w:noProof/>
        </w:rPr>
        <w:t>a.</w:t>
      </w:r>
    </w:p>
    <w:p w:rsidR="00DF30EC" w:rsidRPr="00456760" w:rsidRDefault="00AF430D" w:rsidP="00BB49B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 xml:space="preserve">Výše uvedené důvody mají za následek </w:t>
      </w:r>
      <w:r w:rsidR="00A5419C" w:rsidRPr="00456760">
        <w:rPr>
          <w:rFonts w:ascii="Arial" w:hAnsi="Arial" w:cs="Arial"/>
          <w:noProof/>
        </w:rPr>
        <w:t xml:space="preserve">celkové </w:t>
      </w:r>
      <w:r w:rsidRPr="00456760">
        <w:rPr>
          <w:rFonts w:ascii="Arial" w:hAnsi="Arial" w:cs="Arial"/>
          <w:noProof/>
        </w:rPr>
        <w:t>snížení objemu prostředků na platy</w:t>
      </w:r>
      <w:r w:rsidR="00A5419C" w:rsidRPr="00456760">
        <w:rPr>
          <w:rFonts w:ascii="Arial" w:hAnsi="Arial" w:cs="Arial"/>
          <w:noProof/>
        </w:rPr>
        <w:t xml:space="preserve"> ve srovnání se schválenou systemizací</w:t>
      </w:r>
      <w:r w:rsidRPr="00456760">
        <w:rPr>
          <w:rFonts w:ascii="Arial" w:hAnsi="Arial" w:cs="Arial"/>
          <w:noProof/>
        </w:rPr>
        <w:t>. Výsledná částka na platy na</w:t>
      </w:r>
      <w:r w:rsidR="003F04A9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 xml:space="preserve">služebních místech je </w:t>
      </w:r>
      <w:r w:rsidR="00A5419C" w:rsidRPr="00456760">
        <w:rPr>
          <w:rFonts w:ascii="Arial" w:hAnsi="Arial" w:cs="Arial"/>
          <w:noProof/>
        </w:rPr>
        <w:t xml:space="preserve">navrhována ve výši </w:t>
      </w:r>
      <w:r w:rsidRPr="00456760">
        <w:rPr>
          <w:rFonts w:ascii="Arial" w:hAnsi="Arial" w:cs="Arial"/>
          <w:noProof/>
        </w:rPr>
        <w:t>207 118 002 Kč a na platy na</w:t>
      </w:r>
      <w:r w:rsidR="003F04A9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>pracovních místech 172 196 887 Kč.</w:t>
      </w:r>
    </w:p>
    <w:p w:rsidR="005B50B2" w:rsidRPr="00456760" w:rsidRDefault="005B50B2" w:rsidP="00856FC8">
      <w:pPr>
        <w:spacing w:before="480" w:line="360" w:lineRule="auto"/>
        <w:jc w:val="both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lastRenderedPageBreak/>
        <w:t>Ministerstvo práce a sociálních věcí</w:t>
      </w:r>
    </w:p>
    <w:p w:rsidR="005B61CD" w:rsidRPr="00456760" w:rsidRDefault="005B61CD" w:rsidP="00DF30EC">
      <w:pPr>
        <w:pStyle w:val="1odstavecodsazen"/>
        <w:spacing w:before="120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 xml:space="preserve">Návrh na změnu systemizace Ministerstva práce a sociálních věcí s účinností od  1. ledna 2019 spočívá ve zrušení 10 neobsazených služebních míst ostatních státních zaměstnanců původně </w:t>
      </w:r>
      <w:r w:rsidR="007905E2" w:rsidRPr="00456760">
        <w:rPr>
          <w:rFonts w:ascii="Arial" w:hAnsi="Arial" w:cs="Arial"/>
          <w:noProof/>
        </w:rPr>
        <w:t xml:space="preserve">systemizovaných </w:t>
      </w:r>
      <w:r w:rsidRPr="00456760">
        <w:rPr>
          <w:rFonts w:ascii="Arial" w:hAnsi="Arial" w:cs="Arial"/>
          <w:noProof/>
        </w:rPr>
        <w:t>na dobu určitou do 30. června a</w:t>
      </w:r>
      <w:r w:rsidR="00240C00" w:rsidRPr="00456760">
        <w:rPr>
          <w:rFonts w:ascii="Arial" w:hAnsi="Arial" w:cs="Arial"/>
          <w:noProof/>
        </w:rPr>
        <w:t>   </w:t>
      </w:r>
      <w:r w:rsidRPr="00456760">
        <w:rPr>
          <w:rFonts w:ascii="Arial" w:hAnsi="Arial" w:cs="Arial"/>
          <w:noProof/>
        </w:rPr>
        <w:t xml:space="preserve"> 30. září 2019 (7x 13. pt, 1x 11. pt a 2x 10. pt). Zároveň se navrhuje prodloužení doby platnosti na dobu neurčitou u 2 pracovních míst vedoucích zaměstnaců v 15. pt a 8 pracovních míst ostatních zaměstnanců (4x</w:t>
      </w:r>
      <w:r w:rsidR="003F04A9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>14. pt, 2x</w:t>
      </w:r>
      <w:r w:rsidR="002D2036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 xml:space="preserve">13. pt, 1x 11. pt a 1x 9. pt). Tyto změny jsou navrhovány za účelem nápravy administrativní chyby. </w:t>
      </w:r>
    </w:p>
    <w:p w:rsidR="005B61CD" w:rsidRPr="00456760" w:rsidRDefault="002D2036" w:rsidP="00BB49B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Dále se navrhuje</w:t>
      </w:r>
      <w:r w:rsidR="005B61CD" w:rsidRPr="00456760">
        <w:rPr>
          <w:rFonts w:ascii="Arial" w:hAnsi="Arial" w:cs="Arial"/>
          <w:noProof/>
        </w:rPr>
        <w:t xml:space="preserve"> prodloužení doby platnosti u 10 projektových pracovních míst realizátorů ve 12. pt (u 6 míst do 30. dubna 2021 a u 4 míst do</w:t>
      </w:r>
      <w:r w:rsidR="00240C00" w:rsidRPr="00456760">
        <w:rPr>
          <w:rFonts w:ascii="Arial" w:hAnsi="Arial" w:cs="Arial"/>
          <w:noProof/>
        </w:rPr>
        <w:t> </w:t>
      </w:r>
      <w:r w:rsidR="005B61CD" w:rsidRPr="00456760">
        <w:rPr>
          <w:rFonts w:ascii="Arial" w:hAnsi="Arial" w:cs="Arial"/>
          <w:noProof/>
        </w:rPr>
        <w:t xml:space="preserve">30. června 2021). Prodloužení doby trvání projektu Systémová podpora sociální práce v obcích proběhlo ze strany Řídícího orgánu Operačního programu Zaměstnanost až po termínu pro zaslání návrhu roční systemizace Ministerstvu vnitra.   </w:t>
      </w:r>
    </w:p>
    <w:p w:rsidR="005B61CD" w:rsidRPr="00456760" w:rsidRDefault="005B61CD" w:rsidP="00BB49B7">
      <w:pPr>
        <w:pStyle w:val="1odstavecodsazen"/>
        <w:rPr>
          <w:rFonts w:ascii="Arial" w:eastAsia="Calibri" w:hAnsi="Arial" w:cs="Arial"/>
        </w:rPr>
      </w:pPr>
      <w:r w:rsidRPr="00456760">
        <w:rPr>
          <w:rFonts w:ascii="Arial" w:hAnsi="Arial" w:cs="Arial"/>
        </w:rPr>
        <w:t>Poslední navrhovanou změnou je zvýšení objemu prostředků na platy na služebních místech</w:t>
      </w:r>
      <w:r w:rsidRPr="00456760">
        <w:rPr>
          <w:rFonts w:ascii="Arial" w:eastAsia="Calibri" w:hAnsi="Arial" w:cs="Arial"/>
        </w:rPr>
        <w:t xml:space="preserve">, a to na částku 653 653 639 Kč. </w:t>
      </w:r>
    </w:p>
    <w:p w:rsidR="003F04A9" w:rsidRPr="00456760" w:rsidRDefault="003F04A9" w:rsidP="00BB49B7">
      <w:pPr>
        <w:pStyle w:val="1odstavecodsazen"/>
        <w:rPr>
          <w:rFonts w:ascii="Arial" w:hAnsi="Arial" w:cs="Arial"/>
        </w:rPr>
      </w:pPr>
      <w:r w:rsidRPr="00456760">
        <w:rPr>
          <w:rFonts w:ascii="Arial" w:eastAsia="Calibri" w:hAnsi="Arial" w:cs="Arial"/>
        </w:rPr>
        <w:t>Navýšení objemu prostředků na platy v Ministerstvu práce a sociálních věcí</w:t>
      </w:r>
      <w:r w:rsidR="008F0D2D" w:rsidRPr="00456760">
        <w:rPr>
          <w:rFonts w:ascii="Arial" w:eastAsia="Calibri" w:hAnsi="Arial" w:cs="Arial"/>
        </w:rPr>
        <w:t xml:space="preserve"> a Státním úřadu inspekce práce</w:t>
      </w:r>
      <w:r w:rsidRPr="00456760">
        <w:rPr>
          <w:rFonts w:ascii="Arial" w:eastAsia="Calibri" w:hAnsi="Arial" w:cs="Arial"/>
        </w:rPr>
        <w:t xml:space="preserve"> a snížení o</w:t>
      </w:r>
      <w:r w:rsidR="008F0D2D" w:rsidRPr="00456760">
        <w:rPr>
          <w:rFonts w:ascii="Arial" w:eastAsia="Calibri" w:hAnsi="Arial" w:cs="Arial"/>
        </w:rPr>
        <w:t>bjemu prostředků na platy v České správě</w:t>
      </w:r>
      <w:r w:rsidRPr="00456760">
        <w:rPr>
          <w:rFonts w:ascii="Arial" w:eastAsia="Calibri" w:hAnsi="Arial" w:cs="Arial"/>
        </w:rPr>
        <w:t xml:space="preserve"> sociálního zabezpečení, Úřa</w:t>
      </w:r>
      <w:r w:rsidR="008F0D2D" w:rsidRPr="00456760">
        <w:rPr>
          <w:rFonts w:ascii="Arial" w:eastAsia="Calibri" w:hAnsi="Arial" w:cs="Arial"/>
        </w:rPr>
        <w:t xml:space="preserve">du práce České republiky </w:t>
      </w:r>
      <w:r w:rsidRPr="00456760">
        <w:rPr>
          <w:rFonts w:ascii="Arial" w:eastAsia="Calibri" w:hAnsi="Arial" w:cs="Arial"/>
        </w:rPr>
        <w:t>a Úřad</w:t>
      </w:r>
      <w:r w:rsidR="008F0D2D" w:rsidRPr="00456760">
        <w:rPr>
          <w:rFonts w:ascii="Arial" w:eastAsia="Calibri" w:hAnsi="Arial" w:cs="Arial"/>
        </w:rPr>
        <w:t xml:space="preserve">u pro mezinárodněprávní ochranu dětí </w:t>
      </w:r>
      <w:r w:rsidRPr="00456760">
        <w:rPr>
          <w:rFonts w:ascii="Arial" w:eastAsia="Calibri" w:hAnsi="Arial" w:cs="Arial"/>
        </w:rPr>
        <w:t>souvisí s uvedením výsledné částky do souladu se státním rozpočtem.</w:t>
      </w:r>
    </w:p>
    <w:p w:rsidR="005B50B2" w:rsidRPr="00456760" w:rsidRDefault="005B50B2" w:rsidP="00E25B60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t>Česká správa sociálního zabezpečení</w:t>
      </w:r>
    </w:p>
    <w:p w:rsidR="00BE2744" w:rsidRPr="00456760" w:rsidRDefault="00BE2744" w:rsidP="00BB49B7">
      <w:pPr>
        <w:pStyle w:val="1odstavecodsazen"/>
        <w:rPr>
          <w:rFonts w:ascii="Arial" w:hAnsi="Arial" w:cs="Arial"/>
        </w:rPr>
      </w:pPr>
      <w:r w:rsidRPr="00456760">
        <w:rPr>
          <w:rFonts w:ascii="Arial" w:hAnsi="Arial" w:cs="Arial"/>
          <w:noProof/>
        </w:rPr>
        <w:t>Návrh na změnu systemizace České správy sociálního zabezpečení s účinností od  1. ledna 2019 spočívá ve snížení</w:t>
      </w:r>
      <w:r w:rsidRPr="00456760">
        <w:rPr>
          <w:rFonts w:ascii="Arial" w:hAnsi="Arial" w:cs="Arial"/>
        </w:rPr>
        <w:t xml:space="preserve"> objemu prostředků na platy na služebních místech</w:t>
      </w:r>
      <w:r w:rsidRPr="00456760">
        <w:rPr>
          <w:rFonts w:ascii="Arial" w:eastAsia="Calibri" w:hAnsi="Arial" w:cs="Arial"/>
        </w:rPr>
        <w:t xml:space="preserve">, a to na částku </w:t>
      </w:r>
      <w:r w:rsidR="00D817F4" w:rsidRPr="00456760">
        <w:rPr>
          <w:rFonts w:ascii="Arial" w:eastAsia="Calibri" w:hAnsi="Arial" w:cs="Arial"/>
        </w:rPr>
        <w:t>3 085 248 185</w:t>
      </w:r>
      <w:r w:rsidRPr="00456760">
        <w:rPr>
          <w:rFonts w:ascii="Arial" w:eastAsia="Calibri" w:hAnsi="Arial" w:cs="Arial"/>
        </w:rPr>
        <w:t xml:space="preserve"> Kč. </w:t>
      </w:r>
    </w:p>
    <w:p w:rsidR="005B50B2" w:rsidRPr="00456760" w:rsidRDefault="005B50B2" w:rsidP="00EF543B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t>Úřad práce České republiky</w:t>
      </w:r>
    </w:p>
    <w:p w:rsidR="005B50B2" w:rsidRPr="00456760" w:rsidRDefault="00BE2744" w:rsidP="00BB49B7">
      <w:pPr>
        <w:pStyle w:val="1odstavecodsazen"/>
        <w:rPr>
          <w:rFonts w:ascii="Arial" w:hAnsi="Arial" w:cs="Arial"/>
        </w:rPr>
      </w:pPr>
      <w:r w:rsidRPr="00456760">
        <w:rPr>
          <w:rFonts w:ascii="Arial" w:hAnsi="Arial" w:cs="Arial"/>
          <w:noProof/>
        </w:rPr>
        <w:t>Návrh na změnu systemizace Úřadu práce České republiky s účinností od  1. ledna 2019 spočívá ve snížení</w:t>
      </w:r>
      <w:r w:rsidRPr="00456760">
        <w:rPr>
          <w:rFonts w:ascii="Arial" w:hAnsi="Arial" w:cs="Arial"/>
        </w:rPr>
        <w:t xml:space="preserve"> objemu prostředků na platy na služebních místech</w:t>
      </w:r>
      <w:r w:rsidRPr="00456760">
        <w:rPr>
          <w:rFonts w:ascii="Arial" w:eastAsia="Calibri" w:hAnsi="Arial" w:cs="Arial"/>
        </w:rPr>
        <w:t xml:space="preserve">, a to na částku </w:t>
      </w:r>
      <w:r w:rsidR="00A7456C" w:rsidRPr="00456760">
        <w:rPr>
          <w:rFonts w:ascii="Arial" w:eastAsia="Calibri" w:hAnsi="Arial" w:cs="Arial"/>
        </w:rPr>
        <w:t>3 961 860 170</w:t>
      </w:r>
      <w:r w:rsidRPr="00456760">
        <w:rPr>
          <w:rFonts w:ascii="Arial" w:eastAsia="Calibri" w:hAnsi="Arial" w:cs="Arial"/>
        </w:rPr>
        <w:t xml:space="preserve"> Kč. </w:t>
      </w:r>
    </w:p>
    <w:p w:rsidR="005B50B2" w:rsidRPr="00456760" w:rsidRDefault="005B50B2" w:rsidP="00EF543B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t>Státní úřad inspekce práce</w:t>
      </w:r>
    </w:p>
    <w:p w:rsidR="00BE2744" w:rsidRDefault="00BE2744" w:rsidP="00BB49B7">
      <w:pPr>
        <w:pStyle w:val="1odstavecodsazen"/>
        <w:rPr>
          <w:rFonts w:ascii="Arial" w:eastAsia="Calibri" w:hAnsi="Arial" w:cs="Arial"/>
        </w:rPr>
      </w:pPr>
      <w:r w:rsidRPr="00456760">
        <w:rPr>
          <w:rFonts w:ascii="Arial" w:hAnsi="Arial" w:cs="Arial"/>
          <w:noProof/>
        </w:rPr>
        <w:t>Návrh na změnu systemizace Státního úřadu inspekce práce s účinností od  </w:t>
      </w:r>
      <w:r w:rsidR="008F0D2D" w:rsidRPr="00456760">
        <w:rPr>
          <w:rFonts w:ascii="Arial" w:hAnsi="Arial" w:cs="Arial"/>
          <w:noProof/>
        </w:rPr>
        <w:t>1. ledna 2019 spočívá ve zvýšení</w:t>
      </w:r>
      <w:r w:rsidRPr="00456760">
        <w:rPr>
          <w:rFonts w:ascii="Arial" w:hAnsi="Arial" w:cs="Arial"/>
        </w:rPr>
        <w:t xml:space="preserve"> objemu prostředků na platy na služebních místech</w:t>
      </w:r>
      <w:r w:rsidRPr="00456760">
        <w:rPr>
          <w:rFonts w:ascii="Arial" w:eastAsia="Calibri" w:hAnsi="Arial" w:cs="Arial"/>
        </w:rPr>
        <w:t xml:space="preserve">, a to na částku </w:t>
      </w:r>
      <w:r w:rsidR="00D817F4" w:rsidRPr="00456760">
        <w:rPr>
          <w:rFonts w:ascii="Arial" w:eastAsia="Calibri" w:hAnsi="Arial" w:cs="Arial"/>
        </w:rPr>
        <w:t>300 898 202</w:t>
      </w:r>
      <w:r w:rsidRPr="00456760">
        <w:rPr>
          <w:rFonts w:ascii="Arial" w:eastAsia="Calibri" w:hAnsi="Arial" w:cs="Arial"/>
        </w:rPr>
        <w:t xml:space="preserve"> Kč. </w:t>
      </w:r>
    </w:p>
    <w:p w:rsidR="00AF3032" w:rsidRDefault="00AF3032" w:rsidP="00BB49B7">
      <w:pPr>
        <w:pStyle w:val="1odstavecodsazen"/>
        <w:rPr>
          <w:rFonts w:ascii="Arial" w:eastAsia="Calibri" w:hAnsi="Arial" w:cs="Arial"/>
        </w:rPr>
      </w:pPr>
    </w:p>
    <w:p w:rsidR="00AF3032" w:rsidRPr="00456760" w:rsidRDefault="00AF3032" w:rsidP="00BB49B7">
      <w:pPr>
        <w:pStyle w:val="1odstavecodsazen"/>
        <w:rPr>
          <w:rFonts w:ascii="Arial" w:hAnsi="Arial" w:cs="Arial"/>
        </w:rPr>
      </w:pPr>
    </w:p>
    <w:p w:rsidR="00CF3A82" w:rsidRPr="00456760" w:rsidRDefault="00BE2744" w:rsidP="00EF543B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lastRenderedPageBreak/>
        <w:t>Úřad pro mezinárodně</w:t>
      </w:r>
      <w:r w:rsidR="005B50B2" w:rsidRPr="00456760">
        <w:rPr>
          <w:rFonts w:ascii="Arial" w:hAnsi="Arial" w:cs="Arial"/>
          <w:b/>
          <w:noProof/>
          <w:u w:val="single"/>
        </w:rPr>
        <w:t>právní ochranu dětí</w:t>
      </w:r>
      <w:bookmarkStart w:id="0" w:name="_GoBack"/>
      <w:bookmarkEnd w:id="0"/>
    </w:p>
    <w:p w:rsidR="00BE2744" w:rsidRPr="00456760" w:rsidRDefault="00BE2744" w:rsidP="00BB49B7">
      <w:pPr>
        <w:pStyle w:val="1odstavecodsazen"/>
        <w:rPr>
          <w:rFonts w:ascii="Arial" w:eastAsia="Calibri" w:hAnsi="Arial" w:cs="Arial"/>
        </w:rPr>
      </w:pPr>
      <w:r w:rsidRPr="00456760">
        <w:rPr>
          <w:rFonts w:ascii="Arial" w:hAnsi="Arial" w:cs="Arial"/>
          <w:noProof/>
        </w:rPr>
        <w:t>Návrh na změnu systemizace Úřadu pro mezinárodněprávní ochranu dětí s účinností od  1. ledna 2019 spočívá ve snížení</w:t>
      </w:r>
      <w:r w:rsidRPr="00456760">
        <w:rPr>
          <w:rFonts w:ascii="Arial" w:hAnsi="Arial" w:cs="Arial"/>
        </w:rPr>
        <w:t xml:space="preserve"> objemu prostředků na platy na služebních místech</w:t>
      </w:r>
      <w:r w:rsidRPr="00456760">
        <w:rPr>
          <w:rFonts w:ascii="Arial" w:eastAsia="Calibri" w:hAnsi="Arial" w:cs="Arial"/>
        </w:rPr>
        <w:t xml:space="preserve">, a to na částku </w:t>
      </w:r>
      <w:r w:rsidR="006F47F5" w:rsidRPr="00456760">
        <w:rPr>
          <w:rFonts w:ascii="Arial" w:eastAsia="Calibri" w:hAnsi="Arial" w:cs="Arial"/>
        </w:rPr>
        <w:t>20 539 068</w:t>
      </w:r>
      <w:r w:rsidRPr="00456760">
        <w:rPr>
          <w:rFonts w:ascii="Arial" w:eastAsia="Calibri" w:hAnsi="Arial" w:cs="Arial"/>
        </w:rPr>
        <w:t xml:space="preserve"> Kč. </w:t>
      </w:r>
    </w:p>
    <w:p w:rsidR="001C69D9" w:rsidRPr="00456760" w:rsidRDefault="00F873B2" w:rsidP="00EF543B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t>Ministerstvo vnitra</w:t>
      </w:r>
    </w:p>
    <w:p w:rsidR="00762C6F" w:rsidRPr="00456760" w:rsidRDefault="001C69D9" w:rsidP="00BB49B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Návrh úpravy systemizace v Ministerstvu vnitra spočívá ve zrušení 4</w:t>
      </w:r>
      <w:r w:rsidR="00F522DD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>služebních míst státních zaměstnanců, kteří nejsou představenými, ve 14. pt v odboru eGovernmentu, která jsou plně hrazena z fondů EU</w:t>
      </w:r>
      <w:r w:rsidR="003F04A9" w:rsidRPr="00456760">
        <w:rPr>
          <w:rFonts w:ascii="Arial" w:hAnsi="Arial" w:cs="Arial"/>
          <w:noProof/>
        </w:rPr>
        <w:t>,</w:t>
      </w:r>
      <w:r w:rsidRPr="00456760">
        <w:rPr>
          <w:rFonts w:ascii="Arial" w:hAnsi="Arial" w:cs="Arial"/>
          <w:noProof/>
        </w:rPr>
        <w:t xml:space="preserve"> a ve zřízení 17</w:t>
      </w:r>
      <w:r w:rsidR="00F522DD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>služebních míst státních zaměstnanců, kteří nejsou představenými</w:t>
      </w:r>
      <w:r w:rsidR="000011DF" w:rsidRPr="00456760">
        <w:rPr>
          <w:rFonts w:ascii="Arial" w:hAnsi="Arial" w:cs="Arial"/>
          <w:noProof/>
        </w:rPr>
        <w:t xml:space="preserve"> (15x</w:t>
      </w:r>
      <w:r w:rsidR="009B7B87" w:rsidRPr="00456760">
        <w:rPr>
          <w:rFonts w:ascii="Arial" w:hAnsi="Arial" w:cs="Arial"/>
          <w:noProof/>
        </w:rPr>
        <w:t> </w:t>
      </w:r>
      <w:r w:rsidR="000011DF" w:rsidRPr="00456760">
        <w:rPr>
          <w:rFonts w:ascii="Arial" w:hAnsi="Arial" w:cs="Arial"/>
          <w:noProof/>
        </w:rPr>
        <w:t>12.</w:t>
      </w:r>
      <w:r w:rsidR="00F522DD" w:rsidRPr="00456760">
        <w:rPr>
          <w:rFonts w:ascii="Arial" w:hAnsi="Arial" w:cs="Arial"/>
          <w:noProof/>
        </w:rPr>
        <w:t> </w:t>
      </w:r>
      <w:r w:rsidR="000011DF" w:rsidRPr="00456760">
        <w:rPr>
          <w:rFonts w:ascii="Arial" w:hAnsi="Arial" w:cs="Arial"/>
          <w:noProof/>
        </w:rPr>
        <w:t>pt, 2x 13. pt),</w:t>
      </w:r>
      <w:r w:rsidR="00C2184A" w:rsidRPr="00456760">
        <w:rPr>
          <w:rFonts w:ascii="Arial" w:hAnsi="Arial" w:cs="Arial"/>
          <w:noProof/>
        </w:rPr>
        <w:t xml:space="preserve"> </w:t>
      </w:r>
      <w:r w:rsidR="000011DF" w:rsidRPr="00456760">
        <w:rPr>
          <w:rFonts w:ascii="Arial" w:eastAsia="Calibri" w:hAnsi="Arial" w:cs="Arial"/>
          <w:noProof/>
          <w:lang w:eastAsia="en-US"/>
        </w:rPr>
        <w:t xml:space="preserve">na dobu určitou od 1. ledna 2019 do 31. prosince 2022. Nově zřizovaná služební místa budou zařazena v odboru azylové a migrační politiky a budou </w:t>
      </w:r>
      <w:r w:rsidR="00762C6F" w:rsidRPr="00456760">
        <w:rPr>
          <w:rFonts w:ascii="Arial" w:eastAsia="Calibri" w:hAnsi="Arial" w:cs="Arial"/>
          <w:noProof/>
          <w:lang w:eastAsia="en-US"/>
        </w:rPr>
        <w:t>plně hrazena z fondu EU (AMIF)</w:t>
      </w:r>
      <w:r w:rsidR="000011DF" w:rsidRPr="00456760">
        <w:rPr>
          <w:rFonts w:ascii="Arial" w:eastAsia="Calibri" w:hAnsi="Arial" w:cs="Arial"/>
          <w:noProof/>
          <w:lang w:eastAsia="en-US"/>
        </w:rPr>
        <w:t xml:space="preserve"> v rámci projektu na využití interkulturních pracovníků na pracovištích pobytu cizinců. Tato služební místa budou vytvořena za účelem zlepšení kvality poskytování informací cizincům ze</w:t>
      </w:r>
      <w:r w:rsidR="009B7B87" w:rsidRPr="00456760">
        <w:rPr>
          <w:rFonts w:ascii="Arial" w:eastAsia="Calibri" w:hAnsi="Arial" w:cs="Arial"/>
          <w:noProof/>
          <w:lang w:eastAsia="en-US"/>
        </w:rPr>
        <w:t> </w:t>
      </w:r>
      <w:r w:rsidR="000011DF" w:rsidRPr="00456760">
        <w:rPr>
          <w:rFonts w:ascii="Arial" w:eastAsia="Calibri" w:hAnsi="Arial" w:cs="Arial"/>
          <w:noProof/>
          <w:lang w:eastAsia="en-US"/>
        </w:rPr>
        <w:t>třetích zemí.</w:t>
      </w:r>
      <w:r w:rsidR="000011DF" w:rsidRPr="00456760">
        <w:rPr>
          <w:rFonts w:ascii="Arial" w:hAnsi="Arial" w:cs="Arial"/>
          <w:noProof/>
        </w:rPr>
        <w:t xml:space="preserve"> </w:t>
      </w:r>
    </w:p>
    <w:p w:rsidR="001C69D9" w:rsidRPr="00456760" w:rsidRDefault="00C2184A" w:rsidP="00BB49B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U nově zřizovaných služebních míst je dále navržen požadavek na s</w:t>
      </w:r>
      <w:r w:rsidR="000011DF" w:rsidRPr="00456760">
        <w:rPr>
          <w:rFonts w:ascii="Arial" w:hAnsi="Arial" w:cs="Arial"/>
          <w:noProof/>
        </w:rPr>
        <w:t>tátní občanství České republiky (2x ministerský rada ve 13. pt v</w:t>
      </w:r>
      <w:r w:rsidR="000011DF" w:rsidRPr="00456760">
        <w:rPr>
          <w:rFonts w:ascii="Arial" w:eastAsia="Calibri" w:hAnsi="Arial" w:cs="Arial"/>
          <w:noProof/>
          <w:lang w:eastAsia="en-US"/>
        </w:rPr>
        <w:t xml:space="preserve"> oddělení pobytových projektů, 5x ministerský rada ve 12. pt </w:t>
      </w:r>
      <w:r w:rsidR="000011DF" w:rsidRPr="00456760">
        <w:rPr>
          <w:rFonts w:ascii="Arial" w:hAnsi="Arial" w:cs="Arial"/>
          <w:noProof/>
        </w:rPr>
        <w:t xml:space="preserve">v </w:t>
      </w:r>
      <w:r w:rsidR="000011DF" w:rsidRPr="00456760">
        <w:rPr>
          <w:rFonts w:ascii="Arial" w:eastAsia="Calibri" w:hAnsi="Arial" w:cs="Arial"/>
          <w:noProof/>
          <w:lang w:eastAsia="en-US"/>
        </w:rPr>
        <w:t xml:space="preserve">oddělení pobytu cizinců Praha I., </w:t>
      </w:r>
      <w:r w:rsidR="00762C6F" w:rsidRPr="00456760">
        <w:rPr>
          <w:rFonts w:ascii="Arial" w:eastAsia="Calibri" w:hAnsi="Arial" w:cs="Arial"/>
          <w:noProof/>
          <w:lang w:eastAsia="en-US"/>
        </w:rPr>
        <w:t>5x</w:t>
      </w:r>
      <w:r w:rsidR="009B7B87" w:rsidRPr="00456760">
        <w:rPr>
          <w:rFonts w:ascii="Arial" w:eastAsia="Calibri" w:hAnsi="Arial" w:cs="Arial"/>
          <w:noProof/>
          <w:lang w:eastAsia="en-US"/>
        </w:rPr>
        <w:t> </w:t>
      </w:r>
      <w:r w:rsidR="00762C6F" w:rsidRPr="00456760">
        <w:rPr>
          <w:rFonts w:ascii="Arial" w:eastAsia="Calibri" w:hAnsi="Arial" w:cs="Arial"/>
          <w:noProof/>
          <w:lang w:eastAsia="en-US"/>
        </w:rPr>
        <w:t xml:space="preserve">ministerský rada ve 12. pt v </w:t>
      </w:r>
      <w:r w:rsidR="00762C6F" w:rsidRPr="00456760">
        <w:rPr>
          <w:rFonts w:ascii="Arial" w:hAnsi="Arial" w:cs="Arial"/>
          <w:noProof/>
        </w:rPr>
        <w:t xml:space="preserve">oddělení pobytu cizinců Praha II., 2x ministerský rada ve 12. pt v </w:t>
      </w:r>
      <w:r w:rsidR="00762C6F" w:rsidRPr="00456760">
        <w:rPr>
          <w:rFonts w:ascii="Arial" w:eastAsia="Calibri" w:hAnsi="Arial" w:cs="Arial"/>
          <w:noProof/>
          <w:lang w:eastAsia="en-US"/>
        </w:rPr>
        <w:t>oddělení pobytu cizinců Praha IV., 3x ministerský rada ve 12. pt v oddělení pobytu cizinců Jihomoravský kraj).</w:t>
      </w:r>
    </w:p>
    <w:p w:rsidR="005B50B2" w:rsidRPr="00456760" w:rsidRDefault="005B50B2" w:rsidP="00BB49B7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t>Agentura pro podnikání a inovace</w:t>
      </w:r>
    </w:p>
    <w:p w:rsidR="00F522DD" w:rsidRPr="00456760" w:rsidRDefault="00F522DD" w:rsidP="00F522DD">
      <w:pPr>
        <w:pStyle w:val="2odstavecbezodsazen"/>
        <w:spacing w:before="240" w:line="23" w:lineRule="atLeast"/>
        <w:ind w:left="0" w:firstLine="426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Navrhuje se zřízení devatenácti systemizovaných služebních míst (2x 11.</w:t>
      </w:r>
      <w:r w:rsidR="009B7B87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 xml:space="preserve">pt, 17x 12. pt) a dvou systemizovaných pracovních míst v 11. pt.  </w:t>
      </w:r>
    </w:p>
    <w:p w:rsidR="004C797D" w:rsidRPr="00456760" w:rsidRDefault="00F522DD" w:rsidP="004C797D">
      <w:pPr>
        <w:pStyle w:val="2odstavecbezodsazen"/>
        <w:spacing w:before="240" w:line="23" w:lineRule="atLeast"/>
        <w:ind w:left="0" w:firstLine="426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 xml:space="preserve">Důvodem je vykrytí požadavků na zvyšování rychlosti vyhodnocení žádostí a zrychlení čerpání Operačního programu podnikání a inovace pro konkurenceschopnost (OP PIK). Jedná se o částečné přehodnocení </w:t>
      </w:r>
      <w:r w:rsidR="004C797D" w:rsidRPr="00456760">
        <w:rPr>
          <w:rFonts w:ascii="Arial" w:hAnsi="Arial" w:cs="Arial"/>
          <w:noProof/>
        </w:rPr>
        <w:t xml:space="preserve">požadavku na snížení celkového počtu služebních a pracovních míst ve schválené systemizaci k 1. 1. 2019. </w:t>
      </w:r>
    </w:p>
    <w:p w:rsidR="005615ED" w:rsidRPr="00456760" w:rsidRDefault="004C797D" w:rsidP="004C797D">
      <w:pPr>
        <w:pStyle w:val="2odstavecbezodsazen"/>
        <w:spacing w:before="240" w:line="23" w:lineRule="atLeast"/>
        <w:ind w:left="0" w:firstLine="426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Objem finančních prostředků na platy na služebních a pracovních místech zůstává beze změny.</w:t>
      </w:r>
    </w:p>
    <w:p w:rsidR="008726AB" w:rsidRPr="00456760" w:rsidRDefault="008726AB" w:rsidP="00BB49B7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t>Ministerstvo zemědělství</w:t>
      </w:r>
    </w:p>
    <w:p w:rsidR="0090591A" w:rsidRPr="00456760" w:rsidRDefault="0087678D" w:rsidP="007905E2">
      <w:pPr>
        <w:pStyle w:val="2odstavecbezodsazen"/>
        <w:spacing w:before="240" w:line="23" w:lineRule="atLeast"/>
        <w:ind w:left="0" w:firstLine="426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V</w:t>
      </w:r>
      <w:r w:rsidR="0090591A" w:rsidRPr="00456760">
        <w:rPr>
          <w:rFonts w:ascii="Arial" w:hAnsi="Arial" w:cs="Arial"/>
          <w:noProof/>
        </w:rPr>
        <w:t xml:space="preserve"> souvislosti s požadavkem na prodloužení působení pozic agrárních diplomatů na zastupitelských úřadech v Moskvě, Bělehradu, Pekingu a Abú Dhabí pro rok 2019</w:t>
      </w:r>
      <w:r w:rsidRPr="00456760">
        <w:rPr>
          <w:rFonts w:ascii="Arial" w:hAnsi="Arial" w:cs="Arial"/>
          <w:noProof/>
        </w:rPr>
        <w:t xml:space="preserve"> se navrhuje</w:t>
      </w:r>
      <w:r w:rsidR="0090591A" w:rsidRPr="00456760">
        <w:rPr>
          <w:rFonts w:ascii="Arial" w:hAnsi="Arial" w:cs="Arial"/>
          <w:noProof/>
        </w:rPr>
        <w:t xml:space="preserve"> zrušení 4 systemizovaných </w:t>
      </w:r>
      <w:r w:rsidRPr="00456760">
        <w:rPr>
          <w:rFonts w:ascii="Arial" w:hAnsi="Arial" w:cs="Arial"/>
          <w:noProof/>
        </w:rPr>
        <w:t xml:space="preserve">neobsazených </w:t>
      </w:r>
      <w:r w:rsidR="0090591A" w:rsidRPr="00456760">
        <w:rPr>
          <w:rFonts w:ascii="Arial" w:hAnsi="Arial" w:cs="Arial"/>
          <w:noProof/>
        </w:rPr>
        <w:t>služebních míst</w:t>
      </w:r>
      <w:r w:rsidRPr="00456760">
        <w:rPr>
          <w:rFonts w:ascii="Arial" w:hAnsi="Arial" w:cs="Arial"/>
          <w:noProof/>
        </w:rPr>
        <w:t xml:space="preserve"> ostatních zaměstnanců</w:t>
      </w:r>
      <w:r w:rsidR="0090591A" w:rsidRPr="00456760">
        <w:rPr>
          <w:rFonts w:ascii="Arial" w:hAnsi="Arial" w:cs="Arial"/>
          <w:noProof/>
        </w:rPr>
        <w:t xml:space="preserve"> v Ministerstvu zemědělství</w:t>
      </w:r>
      <w:r w:rsidRPr="00456760">
        <w:rPr>
          <w:rFonts w:ascii="Arial" w:hAnsi="Arial" w:cs="Arial"/>
          <w:noProof/>
        </w:rPr>
        <w:t xml:space="preserve"> (1x 11. pt, 2x 12. pt, 1x 13. pt)</w:t>
      </w:r>
      <w:r w:rsidR="005E2EF5" w:rsidRPr="00456760">
        <w:rPr>
          <w:rFonts w:ascii="Arial" w:hAnsi="Arial" w:cs="Arial"/>
          <w:noProof/>
        </w:rPr>
        <w:t xml:space="preserve">. Tato místa budou </w:t>
      </w:r>
      <w:r w:rsidR="007905E2" w:rsidRPr="00456760">
        <w:rPr>
          <w:rFonts w:ascii="Arial" w:hAnsi="Arial" w:cs="Arial"/>
          <w:noProof/>
        </w:rPr>
        <w:t xml:space="preserve">postoupena </w:t>
      </w:r>
      <w:r w:rsidR="0090591A" w:rsidRPr="00456760">
        <w:rPr>
          <w:rFonts w:ascii="Arial" w:hAnsi="Arial" w:cs="Arial"/>
          <w:noProof/>
        </w:rPr>
        <w:t xml:space="preserve">Ministerstvu zahraničních věcí včetně </w:t>
      </w:r>
      <w:r w:rsidR="007905E2" w:rsidRPr="00456760">
        <w:rPr>
          <w:rFonts w:ascii="Arial" w:hAnsi="Arial" w:cs="Arial"/>
          <w:noProof/>
        </w:rPr>
        <w:t xml:space="preserve">objemu prostředků na platy ve výši </w:t>
      </w:r>
      <w:r w:rsidRPr="00456760">
        <w:rPr>
          <w:rFonts w:ascii="Arial" w:hAnsi="Arial" w:cs="Arial"/>
          <w:noProof/>
        </w:rPr>
        <w:t xml:space="preserve">1 768 </w:t>
      </w:r>
      <w:r w:rsidR="0090591A" w:rsidRPr="00456760">
        <w:rPr>
          <w:rFonts w:ascii="Arial" w:hAnsi="Arial" w:cs="Arial"/>
          <w:noProof/>
        </w:rPr>
        <w:t>000 Kč.</w:t>
      </w:r>
    </w:p>
    <w:p w:rsidR="0087678D" w:rsidRPr="00456760" w:rsidRDefault="0087678D" w:rsidP="0087678D">
      <w:pPr>
        <w:pStyle w:val="2odstavecbezodsazen"/>
        <w:spacing w:line="23" w:lineRule="atLeast"/>
        <w:ind w:left="0" w:firstLine="426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 xml:space="preserve">Výše uvedené důvody mají za následek celkové snížení objemu prostředků na platy na služebních místech ve srovnání se schválenou systemizací. </w:t>
      </w:r>
      <w:r w:rsidRPr="00456760">
        <w:rPr>
          <w:rFonts w:ascii="Arial" w:hAnsi="Arial" w:cs="Arial"/>
          <w:noProof/>
        </w:rPr>
        <w:lastRenderedPageBreak/>
        <w:t>Výsledná částka na platy na služebních místech je navrhována ve výši</w:t>
      </w:r>
      <w:r w:rsidRPr="00456760">
        <w:rPr>
          <w:rFonts w:ascii="Arial" w:hAnsi="Arial" w:cs="Arial"/>
          <w:noProof/>
        </w:rPr>
        <w:br/>
        <w:t>359 133 080 Kč. Objem prostředků na platy na pracovních místech zůstává beze změny.</w:t>
      </w:r>
    </w:p>
    <w:p w:rsidR="005B50B2" w:rsidRPr="00456760" w:rsidRDefault="005B50B2" w:rsidP="00BB49B7">
      <w:pPr>
        <w:pStyle w:val="2odstavecbezodsazen"/>
        <w:spacing w:before="480" w:line="23" w:lineRule="atLeast"/>
        <w:ind w:left="0"/>
        <w:rPr>
          <w:rFonts w:ascii="Arial" w:hAnsi="Arial" w:cs="Arial"/>
          <w:b/>
          <w:noProof/>
          <w:u w:val="single"/>
        </w:rPr>
      </w:pPr>
      <w:r w:rsidRPr="00456760">
        <w:rPr>
          <w:rFonts w:ascii="Arial" w:hAnsi="Arial" w:cs="Arial"/>
          <w:b/>
          <w:noProof/>
          <w:u w:val="single"/>
        </w:rPr>
        <w:t>Ministerstvo školství, mládeže a tělovýchovy</w:t>
      </w:r>
    </w:p>
    <w:p w:rsidR="00570942" w:rsidRPr="00456760" w:rsidRDefault="00570942" w:rsidP="00BB49B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 xml:space="preserve">Návrh na </w:t>
      </w:r>
      <w:r w:rsidR="00F522DD" w:rsidRPr="00456760">
        <w:rPr>
          <w:rFonts w:ascii="Arial" w:hAnsi="Arial" w:cs="Arial"/>
          <w:noProof/>
        </w:rPr>
        <w:t>úpravu</w:t>
      </w:r>
      <w:r w:rsidRPr="00456760">
        <w:rPr>
          <w:rFonts w:ascii="Arial" w:hAnsi="Arial" w:cs="Arial"/>
          <w:noProof/>
        </w:rPr>
        <w:t xml:space="preserve"> systemizace s účinností od 1. ledna 2018 vychází z</w:t>
      </w:r>
      <w:r w:rsidR="003F04A9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>analýzy činností, kterou byl</w:t>
      </w:r>
      <w:r w:rsidR="00F522DD" w:rsidRPr="00456760">
        <w:rPr>
          <w:rFonts w:ascii="Arial" w:hAnsi="Arial" w:cs="Arial"/>
          <w:noProof/>
        </w:rPr>
        <w:t>a</w:t>
      </w:r>
      <w:r w:rsidRPr="00456760">
        <w:rPr>
          <w:rFonts w:ascii="Arial" w:hAnsi="Arial" w:cs="Arial"/>
          <w:noProof/>
        </w:rPr>
        <w:t xml:space="preserve"> zjištěna nutnost narovnání faktického stavu u</w:t>
      </w:r>
      <w:r w:rsidR="009B7B87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 xml:space="preserve">systemizovaných míst, protože činnosti na nich vykonávané nespadají nadále pod § 5 zákona o státní službě.  </w:t>
      </w:r>
    </w:p>
    <w:p w:rsidR="00570942" w:rsidRPr="00456760" w:rsidRDefault="00570942" w:rsidP="009B7B8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Z tohoto důvodu je navrhováno zrušení deseti služebních míst (3 x 9. pt,2 x 10. pt, 2 x 11. pt, 1 x 12. pt a 2 x 13. pt) a jednoho pracovního místa v 8.pt a</w:t>
      </w:r>
      <w:r w:rsidR="009B7B87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>zřízení devíti pracovních míst (3 x 9. pt,2 x 10. pt,1 x 11. pt, 2 x 12.pt a 1 x 13.</w:t>
      </w:r>
      <w:r w:rsidR="009B7B87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>pt).</w:t>
      </w:r>
    </w:p>
    <w:p w:rsidR="005B50B2" w:rsidRPr="00456760" w:rsidRDefault="005B50B2" w:rsidP="00BB49B7">
      <w:pPr>
        <w:pStyle w:val="1odstavecodsazen"/>
        <w:spacing w:before="480" w:after="120" w:line="23" w:lineRule="atLeast"/>
        <w:ind w:firstLine="0"/>
        <w:rPr>
          <w:rFonts w:ascii="Arial" w:hAnsi="Arial" w:cs="Arial"/>
          <w:b/>
          <w:u w:val="single"/>
        </w:rPr>
      </w:pPr>
      <w:r w:rsidRPr="00456760">
        <w:rPr>
          <w:rFonts w:ascii="Arial" w:hAnsi="Arial" w:cs="Arial"/>
          <w:b/>
          <w:u w:val="single"/>
        </w:rPr>
        <w:t>Ministerstvo spravedlnosti</w:t>
      </w:r>
    </w:p>
    <w:p w:rsidR="00E633A3" w:rsidRPr="00456760" w:rsidRDefault="00E633A3" w:rsidP="00BB49B7">
      <w:pPr>
        <w:pStyle w:val="1odstavecodsazen"/>
        <w:rPr>
          <w:rFonts w:ascii="Arial" w:hAnsi="Arial" w:cs="Arial"/>
          <w:noProof/>
        </w:rPr>
      </w:pPr>
      <w:r w:rsidRPr="00456760">
        <w:rPr>
          <w:rFonts w:ascii="Arial" w:hAnsi="Arial" w:cs="Arial"/>
          <w:noProof/>
        </w:rPr>
        <w:t>Návrh na změnu systemizace Ministerstva spravedlnosti s účinností od  1.</w:t>
      </w:r>
      <w:r w:rsidR="00F522DD" w:rsidRPr="00456760">
        <w:rPr>
          <w:rFonts w:ascii="Arial" w:hAnsi="Arial" w:cs="Arial"/>
          <w:noProof/>
        </w:rPr>
        <w:t> </w:t>
      </w:r>
      <w:r w:rsidRPr="00456760">
        <w:rPr>
          <w:rFonts w:ascii="Arial" w:hAnsi="Arial" w:cs="Arial"/>
          <w:noProof/>
        </w:rPr>
        <w:t xml:space="preserve">ledna 2019 spočívá ve zřízení oddělení boje s korupcí, které bylo doposud zařazeno v Uřadu vlády ČR. Celkem se zřizuje 1 služební místo představeného ve 14. pt a 6 služebních míst ostatních státních zaměstnanců (3x 14. pt, 2x 13. pt a 1x 12. pt). Tato změna je navrhována </w:t>
      </w:r>
      <w:r w:rsidR="00E25B60" w:rsidRPr="00456760">
        <w:rPr>
          <w:rFonts w:ascii="Arial" w:hAnsi="Arial" w:cs="Arial"/>
          <w:noProof/>
        </w:rPr>
        <w:t>v souladu s přehodnocením zařazení</w:t>
      </w:r>
      <w:r w:rsidRPr="00456760">
        <w:rPr>
          <w:rFonts w:ascii="Arial" w:hAnsi="Arial" w:cs="Arial"/>
          <w:noProof/>
        </w:rPr>
        <w:t xml:space="preserve"> agendy boje s korupcí.</w:t>
      </w:r>
    </w:p>
    <w:p w:rsidR="00E633A3" w:rsidRPr="00BB49B7" w:rsidRDefault="00E25B60" w:rsidP="00BB49B7">
      <w:pPr>
        <w:pStyle w:val="1odstavecodsazen"/>
        <w:rPr>
          <w:rFonts w:ascii="Arial" w:hAnsi="Arial" w:cs="Arial"/>
        </w:rPr>
      </w:pPr>
      <w:r w:rsidRPr="00456760">
        <w:rPr>
          <w:rFonts w:ascii="Arial" w:hAnsi="Arial" w:cs="Arial"/>
        </w:rPr>
        <w:t>V této souvislosti se n</w:t>
      </w:r>
      <w:r w:rsidR="00E633A3" w:rsidRPr="00456760">
        <w:rPr>
          <w:rFonts w:ascii="Arial" w:hAnsi="Arial" w:cs="Arial"/>
        </w:rPr>
        <w:t>avrhuje zvýšení objemu prostředků na platy na</w:t>
      </w:r>
      <w:r w:rsidR="009B7B87" w:rsidRPr="00456760">
        <w:rPr>
          <w:rFonts w:ascii="Arial" w:hAnsi="Arial" w:cs="Arial"/>
        </w:rPr>
        <w:t> </w:t>
      </w:r>
      <w:r w:rsidR="00E633A3" w:rsidRPr="00456760">
        <w:rPr>
          <w:rFonts w:ascii="Arial" w:hAnsi="Arial" w:cs="Arial"/>
        </w:rPr>
        <w:t>služebních místech</w:t>
      </w:r>
      <w:r w:rsidR="00E633A3" w:rsidRPr="00456760">
        <w:rPr>
          <w:rFonts w:ascii="Arial" w:eastAsia="Calibri" w:hAnsi="Arial" w:cs="Arial"/>
        </w:rPr>
        <w:t>, a to na částku 196 951 146 Kč.</w:t>
      </w:r>
      <w:r w:rsidR="00E633A3" w:rsidRPr="00BB49B7">
        <w:rPr>
          <w:rFonts w:ascii="Arial" w:eastAsia="Calibri" w:hAnsi="Arial" w:cs="Arial"/>
        </w:rPr>
        <w:t xml:space="preserve"> </w:t>
      </w:r>
    </w:p>
    <w:p w:rsidR="007E4B25" w:rsidRPr="00BB49B7" w:rsidRDefault="005455B3" w:rsidP="00BB49B7">
      <w:pPr>
        <w:pStyle w:val="1odstavecodsazen"/>
        <w:rPr>
          <w:rFonts w:ascii="Arial" w:hAnsi="Arial" w:cs="Arial"/>
          <w:b/>
          <w:u w:val="single"/>
        </w:rPr>
      </w:pPr>
      <w:r w:rsidRPr="00BB49B7">
        <w:rPr>
          <w:rFonts w:ascii="Arial" w:hAnsi="Arial" w:cs="Arial"/>
        </w:rPr>
        <w:tab/>
      </w:r>
    </w:p>
    <w:sectPr w:rsidR="007E4B25" w:rsidRPr="00BB49B7" w:rsidSect="00B309AF">
      <w:footerReference w:type="default" r:id="rId9"/>
      <w:pgSz w:w="11906" w:h="16838" w:code="9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99" w:rsidRDefault="00D57D99">
      <w:r>
        <w:separator/>
      </w:r>
    </w:p>
  </w:endnote>
  <w:endnote w:type="continuationSeparator" w:id="0">
    <w:p w:rsidR="00D57D99" w:rsidRDefault="00D5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5D" w:rsidRDefault="00F9325D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F3032">
      <w:rPr>
        <w:noProof/>
      </w:rPr>
      <w:t>3</w:t>
    </w:r>
    <w:r>
      <w:fldChar w:fldCharType="end"/>
    </w:r>
    <w:r>
      <w:t xml:space="preserve"> (celkem </w:t>
    </w:r>
    <w:r w:rsidR="00570942">
      <w:rPr>
        <w:noProof/>
      </w:rPr>
      <w:fldChar w:fldCharType="begin"/>
    </w:r>
    <w:r w:rsidR="00570942">
      <w:rPr>
        <w:noProof/>
      </w:rPr>
      <w:instrText xml:space="preserve"> NUMPAGES </w:instrText>
    </w:r>
    <w:r w:rsidR="00570942">
      <w:rPr>
        <w:noProof/>
      </w:rPr>
      <w:fldChar w:fldCharType="separate"/>
    </w:r>
    <w:r w:rsidR="00AF3032">
      <w:rPr>
        <w:noProof/>
      </w:rPr>
      <w:t>4</w:t>
    </w:r>
    <w:r w:rsidR="0057094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99" w:rsidRDefault="00D57D99">
      <w:r>
        <w:separator/>
      </w:r>
    </w:p>
  </w:footnote>
  <w:footnote w:type="continuationSeparator" w:id="0">
    <w:p w:rsidR="00D57D99" w:rsidRDefault="00D5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400D"/>
    <w:multiLevelType w:val="hybridMultilevel"/>
    <w:tmpl w:val="D2163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00939"/>
    <w:multiLevelType w:val="hybridMultilevel"/>
    <w:tmpl w:val="10C81042"/>
    <w:lvl w:ilvl="0" w:tplc="56101BF4">
      <w:start w:val="1"/>
      <w:numFmt w:val="lowerLetter"/>
      <w:pStyle w:val="4odstavecpsmena"/>
      <w:lvlText w:val="(%1)"/>
      <w:lvlJc w:val="left"/>
      <w:pPr>
        <w:tabs>
          <w:tab w:val="num" w:pos="1815"/>
        </w:tabs>
        <w:ind w:left="1815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C3508D"/>
    <w:multiLevelType w:val="hybridMultilevel"/>
    <w:tmpl w:val="E6C6B99A"/>
    <w:lvl w:ilvl="0" w:tplc="E19A9040">
      <w:start w:val="1"/>
      <w:numFmt w:val="decimal"/>
      <w:pStyle w:val="2odstavecsl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B52FE"/>
    <w:multiLevelType w:val="hybridMultilevel"/>
    <w:tmpl w:val="32B0F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31D62"/>
    <w:multiLevelType w:val="hybridMultilevel"/>
    <w:tmpl w:val="C8AAB3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4233D8"/>
    <w:multiLevelType w:val="hybridMultilevel"/>
    <w:tmpl w:val="EC24A864"/>
    <w:lvl w:ilvl="0" w:tplc="51EA192C">
      <w:start w:val="2"/>
      <w:numFmt w:val="decimal"/>
      <w:lvlText w:val="(%1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>
    <w:nsid w:val="1C1806E3"/>
    <w:multiLevelType w:val="hybridMultilevel"/>
    <w:tmpl w:val="B0AA0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4DF8"/>
    <w:multiLevelType w:val="hybridMultilevel"/>
    <w:tmpl w:val="B8BEFF6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D1D3E"/>
    <w:multiLevelType w:val="hybridMultilevel"/>
    <w:tmpl w:val="68921382"/>
    <w:lvl w:ilvl="0" w:tplc="F3580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D72B4"/>
    <w:multiLevelType w:val="hybridMultilevel"/>
    <w:tmpl w:val="5CBE3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549F8"/>
    <w:multiLevelType w:val="hybridMultilevel"/>
    <w:tmpl w:val="CDDE5A42"/>
    <w:lvl w:ilvl="0" w:tplc="4FC8461E">
      <w:start w:val="1"/>
      <w:numFmt w:val="lowerLetter"/>
      <w:pStyle w:val="3odstavecpsmena"/>
      <w:lvlText w:val="(%1)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B2254F"/>
    <w:multiLevelType w:val="hybridMultilevel"/>
    <w:tmpl w:val="085E3CDA"/>
    <w:lvl w:ilvl="0" w:tplc="D26E5430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B563F"/>
    <w:multiLevelType w:val="hybridMultilevel"/>
    <w:tmpl w:val="3A30D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A5599"/>
    <w:multiLevelType w:val="hybridMultilevel"/>
    <w:tmpl w:val="18B4FB26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>
    <w:nsid w:val="2FCA224A"/>
    <w:multiLevelType w:val="hybridMultilevel"/>
    <w:tmpl w:val="26806DA0"/>
    <w:lvl w:ilvl="0" w:tplc="5F4678A4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42A3E"/>
    <w:multiLevelType w:val="hybridMultilevel"/>
    <w:tmpl w:val="75F81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9717E"/>
    <w:multiLevelType w:val="hybridMultilevel"/>
    <w:tmpl w:val="6A14E848"/>
    <w:lvl w:ilvl="0" w:tplc="42ECC280">
      <w:start w:val="1"/>
      <w:numFmt w:val="decimal"/>
      <w:pStyle w:val="3odstavecsla"/>
      <w:lvlText w:val="(%1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346D0"/>
    <w:multiLevelType w:val="hybridMultilevel"/>
    <w:tmpl w:val="7E00573C"/>
    <w:lvl w:ilvl="0" w:tplc="84D4400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3E234B"/>
    <w:multiLevelType w:val="hybridMultilevel"/>
    <w:tmpl w:val="42F63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E1E26"/>
    <w:multiLevelType w:val="hybridMultilevel"/>
    <w:tmpl w:val="B0DEB992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391C23A4"/>
    <w:multiLevelType w:val="hybridMultilevel"/>
    <w:tmpl w:val="7160E296"/>
    <w:lvl w:ilvl="0" w:tplc="353EE388">
      <w:start w:val="1"/>
      <w:numFmt w:val="decimal"/>
      <w:pStyle w:val="1odstavecsla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217E5"/>
    <w:multiLevelType w:val="hybridMultilevel"/>
    <w:tmpl w:val="D0643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213BE"/>
    <w:multiLevelType w:val="hybridMultilevel"/>
    <w:tmpl w:val="21F4DE6C"/>
    <w:lvl w:ilvl="0" w:tplc="DA00F30A">
      <w:start w:val="1"/>
      <w:numFmt w:val="lowerLetter"/>
      <w:pStyle w:val="1odstavecpsmena"/>
      <w:lvlText w:val="(%1)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DB039A"/>
    <w:multiLevelType w:val="hybridMultilevel"/>
    <w:tmpl w:val="6700FA7C"/>
    <w:lvl w:ilvl="0" w:tplc="F96C4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5462C"/>
    <w:multiLevelType w:val="hybridMultilevel"/>
    <w:tmpl w:val="BF465D3A"/>
    <w:lvl w:ilvl="0" w:tplc="0EC01CD6">
      <w:start w:val="1"/>
      <w:numFmt w:val="lowerLetter"/>
      <w:pStyle w:val="2odstavecpsmena"/>
      <w:lvlText w:val="(%1)"/>
      <w:lvlJc w:val="left"/>
      <w:pPr>
        <w:tabs>
          <w:tab w:val="num" w:pos="908"/>
        </w:tabs>
        <w:ind w:left="908" w:hanging="454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D92387"/>
    <w:multiLevelType w:val="hybridMultilevel"/>
    <w:tmpl w:val="60400E1C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4613195E"/>
    <w:multiLevelType w:val="hybridMultilevel"/>
    <w:tmpl w:val="54441C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105C9"/>
    <w:multiLevelType w:val="hybridMultilevel"/>
    <w:tmpl w:val="B532D8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41209"/>
    <w:multiLevelType w:val="hybridMultilevel"/>
    <w:tmpl w:val="49CA1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A1478"/>
    <w:multiLevelType w:val="hybridMultilevel"/>
    <w:tmpl w:val="D0643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B23BD"/>
    <w:multiLevelType w:val="hybridMultilevel"/>
    <w:tmpl w:val="867CE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765E9"/>
    <w:multiLevelType w:val="multilevel"/>
    <w:tmpl w:val="9CBEAD14"/>
    <w:lvl w:ilvl="0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</w:lvl>
    <w:lvl w:ilvl="1">
      <w:start w:val="1"/>
      <w:numFmt w:val="lowerLetter"/>
      <w:lvlText w:val="%2)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)"/>
      <w:lvlJc w:val="left"/>
      <w:pPr>
        <w:tabs>
          <w:tab w:val="num" w:pos="3210"/>
        </w:tabs>
        <w:ind w:left="3210" w:hanging="360"/>
      </w:pPr>
    </w:lvl>
    <w:lvl w:ilvl="3">
      <w:start w:val="1"/>
      <w:numFmt w:val="decimal"/>
      <w:lvlText w:val="(%4)"/>
      <w:lvlJc w:val="left"/>
      <w:pPr>
        <w:tabs>
          <w:tab w:val="num" w:pos="3570"/>
        </w:tabs>
        <w:ind w:left="3570" w:hanging="360"/>
      </w:pPr>
    </w:lvl>
    <w:lvl w:ilvl="4">
      <w:start w:val="1"/>
      <w:numFmt w:val="lowerLetter"/>
      <w:lvlText w:val="(%5)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(%6)"/>
      <w:lvlJc w:val="left"/>
      <w:pPr>
        <w:tabs>
          <w:tab w:val="num" w:pos="4290"/>
        </w:tabs>
        <w:ind w:left="4290" w:hanging="360"/>
      </w:p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>
      <w:start w:val="1"/>
      <w:numFmt w:val="lowerLetter"/>
      <w:lvlText w:val="%8."/>
      <w:lvlJc w:val="left"/>
      <w:pPr>
        <w:tabs>
          <w:tab w:val="num" w:pos="5010"/>
        </w:tabs>
        <w:ind w:left="5010" w:hanging="360"/>
      </w:pPr>
    </w:lvl>
    <w:lvl w:ilvl="8">
      <w:start w:val="1"/>
      <w:numFmt w:val="lowerRoman"/>
      <w:lvlText w:val="%9."/>
      <w:lvlJc w:val="left"/>
      <w:pPr>
        <w:tabs>
          <w:tab w:val="num" w:pos="5370"/>
        </w:tabs>
        <w:ind w:left="5370" w:hanging="360"/>
      </w:pPr>
    </w:lvl>
  </w:abstractNum>
  <w:abstractNum w:abstractNumId="32">
    <w:nsid w:val="616C3797"/>
    <w:multiLevelType w:val="hybridMultilevel"/>
    <w:tmpl w:val="C4801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D2C29"/>
    <w:multiLevelType w:val="hybridMultilevel"/>
    <w:tmpl w:val="98964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06183"/>
    <w:multiLevelType w:val="hybridMultilevel"/>
    <w:tmpl w:val="0A721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41B7A"/>
    <w:multiLevelType w:val="hybridMultilevel"/>
    <w:tmpl w:val="7E389F00"/>
    <w:lvl w:ilvl="0" w:tplc="5F467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4176E"/>
    <w:multiLevelType w:val="hybridMultilevel"/>
    <w:tmpl w:val="C7C2F4AE"/>
    <w:lvl w:ilvl="0" w:tplc="7338A350"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7">
    <w:nsid w:val="70B2243E"/>
    <w:multiLevelType w:val="hybridMultilevel"/>
    <w:tmpl w:val="86C4A994"/>
    <w:lvl w:ilvl="0" w:tplc="3C04F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27A99"/>
    <w:multiLevelType w:val="hybridMultilevel"/>
    <w:tmpl w:val="54884652"/>
    <w:lvl w:ilvl="0" w:tplc="41AA9B68">
      <w:start w:val="1"/>
      <w:numFmt w:val="decimal"/>
      <w:pStyle w:val="4odstavecsla"/>
      <w:lvlText w:val="(%1)"/>
      <w:lvlJc w:val="left"/>
      <w:pPr>
        <w:tabs>
          <w:tab w:val="num" w:pos="1814"/>
        </w:tabs>
        <w:ind w:left="1814" w:hanging="453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C36539"/>
    <w:multiLevelType w:val="hybridMultilevel"/>
    <w:tmpl w:val="173CB080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>
    <w:nsid w:val="75226725"/>
    <w:multiLevelType w:val="hybridMultilevel"/>
    <w:tmpl w:val="9354A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83567A"/>
    <w:multiLevelType w:val="hybridMultilevel"/>
    <w:tmpl w:val="A21A2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F36D8"/>
    <w:multiLevelType w:val="hybridMultilevel"/>
    <w:tmpl w:val="4C20CABA"/>
    <w:lvl w:ilvl="0" w:tplc="01FEEF06">
      <w:start w:val="1"/>
      <w:numFmt w:val="lowerLetter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31"/>
  </w:num>
  <w:num w:numId="4">
    <w:abstractNumId w:val="5"/>
  </w:num>
  <w:num w:numId="5">
    <w:abstractNumId w:val="38"/>
  </w:num>
  <w:num w:numId="6">
    <w:abstractNumId w:val="24"/>
  </w:num>
  <w:num w:numId="7">
    <w:abstractNumId w:val="16"/>
  </w:num>
  <w:num w:numId="8">
    <w:abstractNumId w:val="10"/>
  </w:num>
  <w:num w:numId="9">
    <w:abstractNumId w:val="2"/>
  </w:num>
  <w:num w:numId="10">
    <w:abstractNumId w:val="1"/>
  </w:num>
  <w:num w:numId="11">
    <w:abstractNumId w:val="22"/>
  </w:num>
  <w:num w:numId="12">
    <w:abstractNumId w:val="20"/>
  </w:num>
  <w:num w:numId="13">
    <w:abstractNumId w:val="18"/>
  </w:num>
  <w:num w:numId="14">
    <w:abstractNumId w:val="34"/>
  </w:num>
  <w:num w:numId="15">
    <w:abstractNumId w:val="9"/>
  </w:num>
  <w:num w:numId="16">
    <w:abstractNumId w:val="23"/>
  </w:num>
  <w:num w:numId="17">
    <w:abstractNumId w:val="7"/>
  </w:num>
  <w:num w:numId="18">
    <w:abstractNumId w:val="3"/>
  </w:num>
  <w:num w:numId="19">
    <w:abstractNumId w:val="6"/>
  </w:num>
  <w:num w:numId="20">
    <w:abstractNumId w:val="19"/>
  </w:num>
  <w:num w:numId="21">
    <w:abstractNumId w:val="27"/>
  </w:num>
  <w:num w:numId="22">
    <w:abstractNumId w:val="25"/>
  </w:num>
  <w:num w:numId="23">
    <w:abstractNumId w:val="33"/>
  </w:num>
  <w:num w:numId="24">
    <w:abstractNumId w:val="15"/>
  </w:num>
  <w:num w:numId="25">
    <w:abstractNumId w:val="30"/>
  </w:num>
  <w:num w:numId="26">
    <w:abstractNumId w:val="4"/>
  </w:num>
  <w:num w:numId="27">
    <w:abstractNumId w:val="40"/>
  </w:num>
  <w:num w:numId="28">
    <w:abstractNumId w:val="41"/>
  </w:num>
  <w:num w:numId="29">
    <w:abstractNumId w:val="32"/>
  </w:num>
  <w:num w:numId="30">
    <w:abstractNumId w:val="28"/>
  </w:num>
  <w:num w:numId="31">
    <w:abstractNumId w:val="35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17"/>
  </w:num>
  <w:num w:numId="35">
    <w:abstractNumId w:val="24"/>
    <w:lvlOverride w:ilvl="0">
      <w:startOverride w:val="1"/>
    </w:lvlOverride>
  </w:num>
  <w:num w:numId="36">
    <w:abstractNumId w:val="24"/>
    <w:lvlOverride w:ilvl="0">
      <w:startOverride w:val="1"/>
    </w:lvlOverride>
  </w:num>
  <w:num w:numId="37">
    <w:abstractNumId w:val="39"/>
  </w:num>
  <w:num w:numId="38">
    <w:abstractNumId w:val="26"/>
  </w:num>
  <w:num w:numId="39">
    <w:abstractNumId w:val="11"/>
  </w:num>
  <w:num w:numId="40">
    <w:abstractNumId w:val="8"/>
  </w:num>
  <w:num w:numId="41">
    <w:abstractNumId w:val="36"/>
  </w:num>
  <w:num w:numId="42">
    <w:abstractNumId w:val="24"/>
    <w:lvlOverride w:ilvl="0">
      <w:startOverride w:val="1"/>
    </w:lvlOverride>
  </w:num>
  <w:num w:numId="43">
    <w:abstractNumId w:val="21"/>
  </w:num>
  <w:num w:numId="44">
    <w:abstractNumId w:val="29"/>
  </w:num>
  <w:num w:numId="45">
    <w:abstractNumId w:val="13"/>
  </w:num>
  <w:num w:numId="46">
    <w:abstractNumId w:val="12"/>
  </w:num>
  <w:num w:numId="47">
    <w:abstractNumId w:val="37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D99"/>
    <w:rsid w:val="000011DF"/>
    <w:rsid w:val="00001ADD"/>
    <w:rsid w:val="000032D1"/>
    <w:rsid w:val="00007237"/>
    <w:rsid w:val="00016281"/>
    <w:rsid w:val="00025874"/>
    <w:rsid w:val="00030351"/>
    <w:rsid w:val="000378DD"/>
    <w:rsid w:val="00046C2D"/>
    <w:rsid w:val="00050CBD"/>
    <w:rsid w:val="00055728"/>
    <w:rsid w:val="000670B9"/>
    <w:rsid w:val="000723CE"/>
    <w:rsid w:val="0008340A"/>
    <w:rsid w:val="00083788"/>
    <w:rsid w:val="00084485"/>
    <w:rsid w:val="00084A9F"/>
    <w:rsid w:val="0009074D"/>
    <w:rsid w:val="00095B48"/>
    <w:rsid w:val="000A2044"/>
    <w:rsid w:val="000A2567"/>
    <w:rsid w:val="000B187C"/>
    <w:rsid w:val="000B2374"/>
    <w:rsid w:val="000B4EF4"/>
    <w:rsid w:val="000C29DF"/>
    <w:rsid w:val="000C5B2E"/>
    <w:rsid w:val="000D058B"/>
    <w:rsid w:val="000D290A"/>
    <w:rsid w:val="000D29B9"/>
    <w:rsid w:val="000D7709"/>
    <w:rsid w:val="000E4DFD"/>
    <w:rsid w:val="000E55B3"/>
    <w:rsid w:val="000E6D74"/>
    <w:rsid w:val="000E7F1A"/>
    <w:rsid w:val="000F0C75"/>
    <w:rsid w:val="000F0F20"/>
    <w:rsid w:val="000F5D87"/>
    <w:rsid w:val="001022EE"/>
    <w:rsid w:val="001053BE"/>
    <w:rsid w:val="00107A9D"/>
    <w:rsid w:val="00107C74"/>
    <w:rsid w:val="00113F1C"/>
    <w:rsid w:val="00116E31"/>
    <w:rsid w:val="00121A90"/>
    <w:rsid w:val="0013329A"/>
    <w:rsid w:val="001342D1"/>
    <w:rsid w:val="00136B09"/>
    <w:rsid w:val="0014270E"/>
    <w:rsid w:val="00145C08"/>
    <w:rsid w:val="001567C6"/>
    <w:rsid w:val="00164756"/>
    <w:rsid w:val="0016486B"/>
    <w:rsid w:val="00167F35"/>
    <w:rsid w:val="00170054"/>
    <w:rsid w:val="001710ED"/>
    <w:rsid w:val="00184978"/>
    <w:rsid w:val="0018573D"/>
    <w:rsid w:val="0019010A"/>
    <w:rsid w:val="001914EC"/>
    <w:rsid w:val="00195092"/>
    <w:rsid w:val="001A158D"/>
    <w:rsid w:val="001B0587"/>
    <w:rsid w:val="001B0602"/>
    <w:rsid w:val="001B2BF1"/>
    <w:rsid w:val="001B37BC"/>
    <w:rsid w:val="001B7422"/>
    <w:rsid w:val="001C2DD8"/>
    <w:rsid w:val="001C3946"/>
    <w:rsid w:val="001C69D9"/>
    <w:rsid w:val="001D0529"/>
    <w:rsid w:val="001E1DE6"/>
    <w:rsid w:val="001E3E91"/>
    <w:rsid w:val="001E44DA"/>
    <w:rsid w:val="001E4DAD"/>
    <w:rsid w:val="001E56B9"/>
    <w:rsid w:val="001E60F9"/>
    <w:rsid w:val="001E6C49"/>
    <w:rsid w:val="001E782F"/>
    <w:rsid w:val="001F629F"/>
    <w:rsid w:val="001F7548"/>
    <w:rsid w:val="00200474"/>
    <w:rsid w:val="00201133"/>
    <w:rsid w:val="002018A2"/>
    <w:rsid w:val="00210188"/>
    <w:rsid w:val="00211694"/>
    <w:rsid w:val="00212E60"/>
    <w:rsid w:val="002208FA"/>
    <w:rsid w:val="00227483"/>
    <w:rsid w:val="002278E3"/>
    <w:rsid w:val="00230305"/>
    <w:rsid w:val="002357DA"/>
    <w:rsid w:val="002371D7"/>
    <w:rsid w:val="00240C00"/>
    <w:rsid w:val="0024230C"/>
    <w:rsid w:val="00243C11"/>
    <w:rsid w:val="00244396"/>
    <w:rsid w:val="002447F3"/>
    <w:rsid w:val="002522F5"/>
    <w:rsid w:val="00256100"/>
    <w:rsid w:val="00256E88"/>
    <w:rsid w:val="00257BC2"/>
    <w:rsid w:val="002651D9"/>
    <w:rsid w:val="002736FC"/>
    <w:rsid w:val="002739F1"/>
    <w:rsid w:val="002772AB"/>
    <w:rsid w:val="002778FE"/>
    <w:rsid w:val="00281A33"/>
    <w:rsid w:val="0028367D"/>
    <w:rsid w:val="002855C7"/>
    <w:rsid w:val="002900AC"/>
    <w:rsid w:val="00296C21"/>
    <w:rsid w:val="002B1237"/>
    <w:rsid w:val="002B1566"/>
    <w:rsid w:val="002B39EB"/>
    <w:rsid w:val="002B3CAA"/>
    <w:rsid w:val="002C07A1"/>
    <w:rsid w:val="002C31C4"/>
    <w:rsid w:val="002C7F0B"/>
    <w:rsid w:val="002D1203"/>
    <w:rsid w:val="002D2036"/>
    <w:rsid w:val="002D3A5D"/>
    <w:rsid w:val="002D4118"/>
    <w:rsid w:val="002D55E1"/>
    <w:rsid w:val="002E021F"/>
    <w:rsid w:val="002E1648"/>
    <w:rsid w:val="002F23F2"/>
    <w:rsid w:val="002F7B51"/>
    <w:rsid w:val="00300D73"/>
    <w:rsid w:val="0030191E"/>
    <w:rsid w:val="00310087"/>
    <w:rsid w:val="00311035"/>
    <w:rsid w:val="00311439"/>
    <w:rsid w:val="00312161"/>
    <w:rsid w:val="003262C4"/>
    <w:rsid w:val="00335C95"/>
    <w:rsid w:val="003412B7"/>
    <w:rsid w:val="00343684"/>
    <w:rsid w:val="0034581D"/>
    <w:rsid w:val="00347A9D"/>
    <w:rsid w:val="00347BBA"/>
    <w:rsid w:val="003558F6"/>
    <w:rsid w:val="00356917"/>
    <w:rsid w:val="00362396"/>
    <w:rsid w:val="00364025"/>
    <w:rsid w:val="00371D37"/>
    <w:rsid w:val="00372542"/>
    <w:rsid w:val="00373844"/>
    <w:rsid w:val="00373A16"/>
    <w:rsid w:val="0037610C"/>
    <w:rsid w:val="003765EA"/>
    <w:rsid w:val="003904FE"/>
    <w:rsid w:val="00390B15"/>
    <w:rsid w:val="00392FE3"/>
    <w:rsid w:val="00393B30"/>
    <w:rsid w:val="003949D9"/>
    <w:rsid w:val="003970B2"/>
    <w:rsid w:val="003B31A2"/>
    <w:rsid w:val="003C1EE7"/>
    <w:rsid w:val="003C3309"/>
    <w:rsid w:val="003D13A9"/>
    <w:rsid w:val="003E458D"/>
    <w:rsid w:val="003F04A9"/>
    <w:rsid w:val="003F244E"/>
    <w:rsid w:val="003F34C2"/>
    <w:rsid w:val="003F367E"/>
    <w:rsid w:val="00402EF4"/>
    <w:rsid w:val="00422827"/>
    <w:rsid w:val="00422DB3"/>
    <w:rsid w:val="00434D7D"/>
    <w:rsid w:val="00444660"/>
    <w:rsid w:val="00447385"/>
    <w:rsid w:val="00447C02"/>
    <w:rsid w:val="00453367"/>
    <w:rsid w:val="00456760"/>
    <w:rsid w:val="0046619F"/>
    <w:rsid w:val="004662A3"/>
    <w:rsid w:val="0046746A"/>
    <w:rsid w:val="00471085"/>
    <w:rsid w:val="00471178"/>
    <w:rsid w:val="00481719"/>
    <w:rsid w:val="00482C94"/>
    <w:rsid w:val="0048762C"/>
    <w:rsid w:val="00487D62"/>
    <w:rsid w:val="00492FFC"/>
    <w:rsid w:val="00493FCA"/>
    <w:rsid w:val="004976A3"/>
    <w:rsid w:val="004A7708"/>
    <w:rsid w:val="004B125F"/>
    <w:rsid w:val="004B1451"/>
    <w:rsid w:val="004B191D"/>
    <w:rsid w:val="004C08E5"/>
    <w:rsid w:val="004C797D"/>
    <w:rsid w:val="004D4692"/>
    <w:rsid w:val="004D5224"/>
    <w:rsid w:val="004E1B91"/>
    <w:rsid w:val="004E3AE0"/>
    <w:rsid w:val="004E4A55"/>
    <w:rsid w:val="004E6C0A"/>
    <w:rsid w:val="004F5349"/>
    <w:rsid w:val="004F6E10"/>
    <w:rsid w:val="00500346"/>
    <w:rsid w:val="0050128B"/>
    <w:rsid w:val="00504D69"/>
    <w:rsid w:val="00507564"/>
    <w:rsid w:val="005148FF"/>
    <w:rsid w:val="005169BA"/>
    <w:rsid w:val="00523FDE"/>
    <w:rsid w:val="00526492"/>
    <w:rsid w:val="00526935"/>
    <w:rsid w:val="005302E4"/>
    <w:rsid w:val="00530FD6"/>
    <w:rsid w:val="0053287A"/>
    <w:rsid w:val="00536411"/>
    <w:rsid w:val="00540BAF"/>
    <w:rsid w:val="00543651"/>
    <w:rsid w:val="005449F8"/>
    <w:rsid w:val="005455B3"/>
    <w:rsid w:val="00547075"/>
    <w:rsid w:val="0055102D"/>
    <w:rsid w:val="00551DB4"/>
    <w:rsid w:val="00553C1D"/>
    <w:rsid w:val="005615ED"/>
    <w:rsid w:val="005652A2"/>
    <w:rsid w:val="005652D2"/>
    <w:rsid w:val="00565CE5"/>
    <w:rsid w:val="00566819"/>
    <w:rsid w:val="0056707B"/>
    <w:rsid w:val="00570942"/>
    <w:rsid w:val="0057753D"/>
    <w:rsid w:val="00582A4B"/>
    <w:rsid w:val="0058605E"/>
    <w:rsid w:val="005868C5"/>
    <w:rsid w:val="00591F00"/>
    <w:rsid w:val="0059786D"/>
    <w:rsid w:val="00597FEF"/>
    <w:rsid w:val="005A0FB3"/>
    <w:rsid w:val="005B05D2"/>
    <w:rsid w:val="005B50B2"/>
    <w:rsid w:val="005B61CD"/>
    <w:rsid w:val="005C58EE"/>
    <w:rsid w:val="005D6B99"/>
    <w:rsid w:val="005D7243"/>
    <w:rsid w:val="005E0154"/>
    <w:rsid w:val="005E196B"/>
    <w:rsid w:val="005E2EF5"/>
    <w:rsid w:val="005E41EC"/>
    <w:rsid w:val="005E7302"/>
    <w:rsid w:val="005F7F93"/>
    <w:rsid w:val="006027BF"/>
    <w:rsid w:val="006075DB"/>
    <w:rsid w:val="0061749C"/>
    <w:rsid w:val="006218A4"/>
    <w:rsid w:val="00626FDE"/>
    <w:rsid w:val="00630631"/>
    <w:rsid w:val="006373E9"/>
    <w:rsid w:val="00637B2A"/>
    <w:rsid w:val="00637F3B"/>
    <w:rsid w:val="00641A3A"/>
    <w:rsid w:val="00641B9A"/>
    <w:rsid w:val="006465CA"/>
    <w:rsid w:val="00650405"/>
    <w:rsid w:val="006514EF"/>
    <w:rsid w:val="0065315A"/>
    <w:rsid w:val="0065352F"/>
    <w:rsid w:val="006564BA"/>
    <w:rsid w:val="0066032C"/>
    <w:rsid w:val="006607C0"/>
    <w:rsid w:val="0066160C"/>
    <w:rsid w:val="0066213D"/>
    <w:rsid w:val="00666419"/>
    <w:rsid w:val="00671AE8"/>
    <w:rsid w:val="006740A3"/>
    <w:rsid w:val="00680558"/>
    <w:rsid w:val="00680E09"/>
    <w:rsid w:val="006849C1"/>
    <w:rsid w:val="006873A9"/>
    <w:rsid w:val="006876B6"/>
    <w:rsid w:val="00690B85"/>
    <w:rsid w:val="006A2692"/>
    <w:rsid w:val="006B2B6B"/>
    <w:rsid w:val="006B41FA"/>
    <w:rsid w:val="006B72D3"/>
    <w:rsid w:val="006C307D"/>
    <w:rsid w:val="006D091B"/>
    <w:rsid w:val="006D221B"/>
    <w:rsid w:val="006D37A3"/>
    <w:rsid w:val="006D54AA"/>
    <w:rsid w:val="006E2105"/>
    <w:rsid w:val="006E3557"/>
    <w:rsid w:val="006F14E4"/>
    <w:rsid w:val="006F191E"/>
    <w:rsid w:val="006F2984"/>
    <w:rsid w:val="006F47F5"/>
    <w:rsid w:val="006F4C13"/>
    <w:rsid w:val="006F5BF6"/>
    <w:rsid w:val="006F7894"/>
    <w:rsid w:val="00701AF8"/>
    <w:rsid w:val="0070223B"/>
    <w:rsid w:val="00704DD3"/>
    <w:rsid w:val="00704F9E"/>
    <w:rsid w:val="00705A6E"/>
    <w:rsid w:val="007136C3"/>
    <w:rsid w:val="00714037"/>
    <w:rsid w:val="00730ABF"/>
    <w:rsid w:val="00737AE0"/>
    <w:rsid w:val="00737FDF"/>
    <w:rsid w:val="00740515"/>
    <w:rsid w:val="00740AD4"/>
    <w:rsid w:val="00743D34"/>
    <w:rsid w:val="00745487"/>
    <w:rsid w:val="0075406D"/>
    <w:rsid w:val="00757A41"/>
    <w:rsid w:val="007612CD"/>
    <w:rsid w:val="007625FB"/>
    <w:rsid w:val="00762C6F"/>
    <w:rsid w:val="00764140"/>
    <w:rsid w:val="007667CA"/>
    <w:rsid w:val="00767E77"/>
    <w:rsid w:val="0078108E"/>
    <w:rsid w:val="00782B73"/>
    <w:rsid w:val="007905E2"/>
    <w:rsid w:val="007908E6"/>
    <w:rsid w:val="00794EC9"/>
    <w:rsid w:val="00795782"/>
    <w:rsid w:val="007977CD"/>
    <w:rsid w:val="007A18C2"/>
    <w:rsid w:val="007A2084"/>
    <w:rsid w:val="007A6551"/>
    <w:rsid w:val="007B10CD"/>
    <w:rsid w:val="007B2190"/>
    <w:rsid w:val="007B284B"/>
    <w:rsid w:val="007B4902"/>
    <w:rsid w:val="007B506E"/>
    <w:rsid w:val="007B6E8C"/>
    <w:rsid w:val="007C4D77"/>
    <w:rsid w:val="007C6E6E"/>
    <w:rsid w:val="007C7D2D"/>
    <w:rsid w:val="007D19ED"/>
    <w:rsid w:val="007D3CA5"/>
    <w:rsid w:val="007D6EF1"/>
    <w:rsid w:val="007E217C"/>
    <w:rsid w:val="007E4B25"/>
    <w:rsid w:val="007F1ABE"/>
    <w:rsid w:val="007F3E34"/>
    <w:rsid w:val="00803008"/>
    <w:rsid w:val="00803EA3"/>
    <w:rsid w:val="00803EA6"/>
    <w:rsid w:val="0080422D"/>
    <w:rsid w:val="00805540"/>
    <w:rsid w:val="00806022"/>
    <w:rsid w:val="0080797F"/>
    <w:rsid w:val="0081207C"/>
    <w:rsid w:val="00812877"/>
    <w:rsid w:val="0081311D"/>
    <w:rsid w:val="00814537"/>
    <w:rsid w:val="00822B30"/>
    <w:rsid w:val="008250F2"/>
    <w:rsid w:val="00825BF3"/>
    <w:rsid w:val="00831AB0"/>
    <w:rsid w:val="00831BA2"/>
    <w:rsid w:val="008363A7"/>
    <w:rsid w:val="00844224"/>
    <w:rsid w:val="00844C60"/>
    <w:rsid w:val="00850E86"/>
    <w:rsid w:val="0085347F"/>
    <w:rsid w:val="00853B97"/>
    <w:rsid w:val="00856FC8"/>
    <w:rsid w:val="00857708"/>
    <w:rsid w:val="0086154D"/>
    <w:rsid w:val="00863510"/>
    <w:rsid w:val="00865808"/>
    <w:rsid w:val="00866231"/>
    <w:rsid w:val="0087042C"/>
    <w:rsid w:val="008714D6"/>
    <w:rsid w:val="00871788"/>
    <w:rsid w:val="00871963"/>
    <w:rsid w:val="008726AB"/>
    <w:rsid w:val="00873E03"/>
    <w:rsid w:val="0087678D"/>
    <w:rsid w:val="008A55F7"/>
    <w:rsid w:val="008B7122"/>
    <w:rsid w:val="008C1DF3"/>
    <w:rsid w:val="008C264D"/>
    <w:rsid w:val="008C4F5C"/>
    <w:rsid w:val="008C528D"/>
    <w:rsid w:val="008D2AF3"/>
    <w:rsid w:val="008D4B85"/>
    <w:rsid w:val="008D4E6F"/>
    <w:rsid w:val="008D5DCB"/>
    <w:rsid w:val="008D5E0D"/>
    <w:rsid w:val="008E5FC6"/>
    <w:rsid w:val="008F0D2D"/>
    <w:rsid w:val="008F26A4"/>
    <w:rsid w:val="008F46C8"/>
    <w:rsid w:val="008F49FB"/>
    <w:rsid w:val="008F5894"/>
    <w:rsid w:val="008F5B2F"/>
    <w:rsid w:val="008F5F06"/>
    <w:rsid w:val="00901113"/>
    <w:rsid w:val="00901D9F"/>
    <w:rsid w:val="0090366E"/>
    <w:rsid w:val="009055BD"/>
    <w:rsid w:val="0090591A"/>
    <w:rsid w:val="0090620D"/>
    <w:rsid w:val="009129CB"/>
    <w:rsid w:val="00917A4C"/>
    <w:rsid w:val="009227E3"/>
    <w:rsid w:val="00922E8A"/>
    <w:rsid w:val="009273F9"/>
    <w:rsid w:val="0093149A"/>
    <w:rsid w:val="00932767"/>
    <w:rsid w:val="00933D06"/>
    <w:rsid w:val="00936AB5"/>
    <w:rsid w:val="009407A6"/>
    <w:rsid w:val="00941613"/>
    <w:rsid w:val="009450BD"/>
    <w:rsid w:val="00947B06"/>
    <w:rsid w:val="00947B36"/>
    <w:rsid w:val="00951A8E"/>
    <w:rsid w:val="00951E1D"/>
    <w:rsid w:val="009536BC"/>
    <w:rsid w:val="0095489B"/>
    <w:rsid w:val="00961E86"/>
    <w:rsid w:val="0096703A"/>
    <w:rsid w:val="00967168"/>
    <w:rsid w:val="00967223"/>
    <w:rsid w:val="00971C4C"/>
    <w:rsid w:val="00973027"/>
    <w:rsid w:val="00984E30"/>
    <w:rsid w:val="009901F3"/>
    <w:rsid w:val="00990EFA"/>
    <w:rsid w:val="009964D3"/>
    <w:rsid w:val="009A0317"/>
    <w:rsid w:val="009A4973"/>
    <w:rsid w:val="009B1514"/>
    <w:rsid w:val="009B73FB"/>
    <w:rsid w:val="009B7B87"/>
    <w:rsid w:val="009C6C0E"/>
    <w:rsid w:val="009D7D3C"/>
    <w:rsid w:val="009E036E"/>
    <w:rsid w:val="009E4166"/>
    <w:rsid w:val="009F6B6E"/>
    <w:rsid w:val="00A001E7"/>
    <w:rsid w:val="00A00C82"/>
    <w:rsid w:val="00A00D88"/>
    <w:rsid w:val="00A02363"/>
    <w:rsid w:val="00A06659"/>
    <w:rsid w:val="00A07DB8"/>
    <w:rsid w:val="00A11CCE"/>
    <w:rsid w:val="00A1285B"/>
    <w:rsid w:val="00A206F3"/>
    <w:rsid w:val="00A23FD1"/>
    <w:rsid w:val="00A2473C"/>
    <w:rsid w:val="00A267E2"/>
    <w:rsid w:val="00A31060"/>
    <w:rsid w:val="00A40998"/>
    <w:rsid w:val="00A40F67"/>
    <w:rsid w:val="00A42116"/>
    <w:rsid w:val="00A436F3"/>
    <w:rsid w:val="00A457AC"/>
    <w:rsid w:val="00A47C55"/>
    <w:rsid w:val="00A50F4B"/>
    <w:rsid w:val="00A5419C"/>
    <w:rsid w:val="00A6692C"/>
    <w:rsid w:val="00A66A13"/>
    <w:rsid w:val="00A7456C"/>
    <w:rsid w:val="00A771A7"/>
    <w:rsid w:val="00A82587"/>
    <w:rsid w:val="00A83090"/>
    <w:rsid w:val="00A84823"/>
    <w:rsid w:val="00A87E9E"/>
    <w:rsid w:val="00AA1F97"/>
    <w:rsid w:val="00AA5B09"/>
    <w:rsid w:val="00AB024E"/>
    <w:rsid w:val="00AB11D8"/>
    <w:rsid w:val="00AB5E06"/>
    <w:rsid w:val="00AC00D6"/>
    <w:rsid w:val="00AC2368"/>
    <w:rsid w:val="00AC2812"/>
    <w:rsid w:val="00AC3F58"/>
    <w:rsid w:val="00AC52B7"/>
    <w:rsid w:val="00AC6043"/>
    <w:rsid w:val="00AC69D4"/>
    <w:rsid w:val="00AD1F62"/>
    <w:rsid w:val="00AD3051"/>
    <w:rsid w:val="00AD5BE8"/>
    <w:rsid w:val="00AD789C"/>
    <w:rsid w:val="00AE1F3C"/>
    <w:rsid w:val="00AE52E7"/>
    <w:rsid w:val="00AE5561"/>
    <w:rsid w:val="00AF10F3"/>
    <w:rsid w:val="00AF3032"/>
    <w:rsid w:val="00AF430D"/>
    <w:rsid w:val="00B00098"/>
    <w:rsid w:val="00B05186"/>
    <w:rsid w:val="00B052B7"/>
    <w:rsid w:val="00B06735"/>
    <w:rsid w:val="00B06743"/>
    <w:rsid w:val="00B067FC"/>
    <w:rsid w:val="00B06838"/>
    <w:rsid w:val="00B22990"/>
    <w:rsid w:val="00B309AF"/>
    <w:rsid w:val="00B35533"/>
    <w:rsid w:val="00B370F4"/>
    <w:rsid w:val="00B427C7"/>
    <w:rsid w:val="00B44C1B"/>
    <w:rsid w:val="00B45C0A"/>
    <w:rsid w:val="00B46270"/>
    <w:rsid w:val="00B465F2"/>
    <w:rsid w:val="00B47670"/>
    <w:rsid w:val="00B53881"/>
    <w:rsid w:val="00B53C59"/>
    <w:rsid w:val="00B53F15"/>
    <w:rsid w:val="00B64881"/>
    <w:rsid w:val="00B70053"/>
    <w:rsid w:val="00B71CA9"/>
    <w:rsid w:val="00B737A8"/>
    <w:rsid w:val="00B77850"/>
    <w:rsid w:val="00B84D43"/>
    <w:rsid w:val="00B85B67"/>
    <w:rsid w:val="00B87B2B"/>
    <w:rsid w:val="00B9649D"/>
    <w:rsid w:val="00B96CC4"/>
    <w:rsid w:val="00BA016C"/>
    <w:rsid w:val="00BB0292"/>
    <w:rsid w:val="00BB115B"/>
    <w:rsid w:val="00BB2E7F"/>
    <w:rsid w:val="00BB437A"/>
    <w:rsid w:val="00BB49B7"/>
    <w:rsid w:val="00BC547D"/>
    <w:rsid w:val="00BD2C3D"/>
    <w:rsid w:val="00BD3755"/>
    <w:rsid w:val="00BD45A5"/>
    <w:rsid w:val="00BD64A0"/>
    <w:rsid w:val="00BD7E04"/>
    <w:rsid w:val="00BE06DD"/>
    <w:rsid w:val="00BE20F6"/>
    <w:rsid w:val="00BE2744"/>
    <w:rsid w:val="00BF1DEA"/>
    <w:rsid w:val="00BF308E"/>
    <w:rsid w:val="00BF5854"/>
    <w:rsid w:val="00BF7C83"/>
    <w:rsid w:val="00C11864"/>
    <w:rsid w:val="00C13283"/>
    <w:rsid w:val="00C135EF"/>
    <w:rsid w:val="00C163ED"/>
    <w:rsid w:val="00C20A2D"/>
    <w:rsid w:val="00C2184A"/>
    <w:rsid w:val="00C230E0"/>
    <w:rsid w:val="00C23CD9"/>
    <w:rsid w:val="00C3072B"/>
    <w:rsid w:val="00C32C43"/>
    <w:rsid w:val="00C41819"/>
    <w:rsid w:val="00C5069F"/>
    <w:rsid w:val="00C506CA"/>
    <w:rsid w:val="00C53064"/>
    <w:rsid w:val="00C56062"/>
    <w:rsid w:val="00C56C7F"/>
    <w:rsid w:val="00C64899"/>
    <w:rsid w:val="00C650B4"/>
    <w:rsid w:val="00C65E4E"/>
    <w:rsid w:val="00C6620B"/>
    <w:rsid w:val="00C66481"/>
    <w:rsid w:val="00C66714"/>
    <w:rsid w:val="00C67B21"/>
    <w:rsid w:val="00C703ED"/>
    <w:rsid w:val="00C7251F"/>
    <w:rsid w:val="00C75CD5"/>
    <w:rsid w:val="00C77F73"/>
    <w:rsid w:val="00C8215A"/>
    <w:rsid w:val="00C85857"/>
    <w:rsid w:val="00C85C16"/>
    <w:rsid w:val="00C90B16"/>
    <w:rsid w:val="00C93269"/>
    <w:rsid w:val="00CA16F4"/>
    <w:rsid w:val="00CA2024"/>
    <w:rsid w:val="00CA2A06"/>
    <w:rsid w:val="00CA7768"/>
    <w:rsid w:val="00CB1D1C"/>
    <w:rsid w:val="00CB6DD1"/>
    <w:rsid w:val="00CC0514"/>
    <w:rsid w:val="00CC14D3"/>
    <w:rsid w:val="00CC3443"/>
    <w:rsid w:val="00CC4F48"/>
    <w:rsid w:val="00CD5844"/>
    <w:rsid w:val="00CD64DC"/>
    <w:rsid w:val="00CD765E"/>
    <w:rsid w:val="00CF214A"/>
    <w:rsid w:val="00CF3A82"/>
    <w:rsid w:val="00D0292A"/>
    <w:rsid w:val="00D029B8"/>
    <w:rsid w:val="00D04E94"/>
    <w:rsid w:val="00D071F1"/>
    <w:rsid w:val="00D10E67"/>
    <w:rsid w:val="00D1237E"/>
    <w:rsid w:val="00D13B58"/>
    <w:rsid w:val="00D14E51"/>
    <w:rsid w:val="00D17882"/>
    <w:rsid w:val="00D17BC3"/>
    <w:rsid w:val="00D20147"/>
    <w:rsid w:val="00D2095A"/>
    <w:rsid w:val="00D26219"/>
    <w:rsid w:val="00D272CF"/>
    <w:rsid w:val="00D34EA1"/>
    <w:rsid w:val="00D37D19"/>
    <w:rsid w:val="00D41C0B"/>
    <w:rsid w:val="00D4575E"/>
    <w:rsid w:val="00D4682E"/>
    <w:rsid w:val="00D55EDD"/>
    <w:rsid w:val="00D56B49"/>
    <w:rsid w:val="00D57D99"/>
    <w:rsid w:val="00D6028C"/>
    <w:rsid w:val="00D6259D"/>
    <w:rsid w:val="00D63598"/>
    <w:rsid w:val="00D650B4"/>
    <w:rsid w:val="00D66546"/>
    <w:rsid w:val="00D70B26"/>
    <w:rsid w:val="00D80E28"/>
    <w:rsid w:val="00D817F4"/>
    <w:rsid w:val="00D85A7E"/>
    <w:rsid w:val="00D86FB4"/>
    <w:rsid w:val="00D90799"/>
    <w:rsid w:val="00D90AE8"/>
    <w:rsid w:val="00D939F9"/>
    <w:rsid w:val="00D95EDA"/>
    <w:rsid w:val="00DA3FE4"/>
    <w:rsid w:val="00DA577D"/>
    <w:rsid w:val="00DB574D"/>
    <w:rsid w:val="00DC1AE7"/>
    <w:rsid w:val="00DD02FF"/>
    <w:rsid w:val="00DD21E4"/>
    <w:rsid w:val="00DD3302"/>
    <w:rsid w:val="00DD506C"/>
    <w:rsid w:val="00DD5475"/>
    <w:rsid w:val="00DD7F89"/>
    <w:rsid w:val="00DE0152"/>
    <w:rsid w:val="00DE0643"/>
    <w:rsid w:val="00DE4805"/>
    <w:rsid w:val="00DE54B2"/>
    <w:rsid w:val="00DE5CCA"/>
    <w:rsid w:val="00DF0C03"/>
    <w:rsid w:val="00DF2D07"/>
    <w:rsid w:val="00DF30EC"/>
    <w:rsid w:val="00DF33D6"/>
    <w:rsid w:val="00DF3424"/>
    <w:rsid w:val="00DF7FA1"/>
    <w:rsid w:val="00E02A26"/>
    <w:rsid w:val="00E05DBF"/>
    <w:rsid w:val="00E07909"/>
    <w:rsid w:val="00E10DF9"/>
    <w:rsid w:val="00E11E9E"/>
    <w:rsid w:val="00E12BA0"/>
    <w:rsid w:val="00E13360"/>
    <w:rsid w:val="00E16B54"/>
    <w:rsid w:val="00E20B7F"/>
    <w:rsid w:val="00E25B60"/>
    <w:rsid w:val="00E312C3"/>
    <w:rsid w:val="00E3139D"/>
    <w:rsid w:val="00E436B4"/>
    <w:rsid w:val="00E5290D"/>
    <w:rsid w:val="00E54965"/>
    <w:rsid w:val="00E60D5F"/>
    <w:rsid w:val="00E62877"/>
    <w:rsid w:val="00E633A3"/>
    <w:rsid w:val="00E64C62"/>
    <w:rsid w:val="00E70247"/>
    <w:rsid w:val="00E720B4"/>
    <w:rsid w:val="00E72212"/>
    <w:rsid w:val="00E74DE2"/>
    <w:rsid w:val="00E8150E"/>
    <w:rsid w:val="00E93FE9"/>
    <w:rsid w:val="00EA12F6"/>
    <w:rsid w:val="00EA21C0"/>
    <w:rsid w:val="00EA2946"/>
    <w:rsid w:val="00EA45FC"/>
    <w:rsid w:val="00EA6DEE"/>
    <w:rsid w:val="00EB06DD"/>
    <w:rsid w:val="00EB5B89"/>
    <w:rsid w:val="00ED0428"/>
    <w:rsid w:val="00EE35B9"/>
    <w:rsid w:val="00EF154C"/>
    <w:rsid w:val="00EF543B"/>
    <w:rsid w:val="00EF620C"/>
    <w:rsid w:val="00EF6899"/>
    <w:rsid w:val="00F01773"/>
    <w:rsid w:val="00F07F3A"/>
    <w:rsid w:val="00F20A93"/>
    <w:rsid w:val="00F254E8"/>
    <w:rsid w:val="00F31B32"/>
    <w:rsid w:val="00F36F3B"/>
    <w:rsid w:val="00F4093D"/>
    <w:rsid w:val="00F47CDB"/>
    <w:rsid w:val="00F5008E"/>
    <w:rsid w:val="00F50D76"/>
    <w:rsid w:val="00F50FAB"/>
    <w:rsid w:val="00F522DD"/>
    <w:rsid w:val="00F5363D"/>
    <w:rsid w:val="00F57503"/>
    <w:rsid w:val="00F65A54"/>
    <w:rsid w:val="00F675C6"/>
    <w:rsid w:val="00F67966"/>
    <w:rsid w:val="00F703FF"/>
    <w:rsid w:val="00F71A97"/>
    <w:rsid w:val="00F80682"/>
    <w:rsid w:val="00F834AD"/>
    <w:rsid w:val="00F873B2"/>
    <w:rsid w:val="00F9325D"/>
    <w:rsid w:val="00FA3011"/>
    <w:rsid w:val="00FA4677"/>
    <w:rsid w:val="00FA4C85"/>
    <w:rsid w:val="00FA71BB"/>
    <w:rsid w:val="00FB4786"/>
    <w:rsid w:val="00FB5465"/>
    <w:rsid w:val="00FC1622"/>
    <w:rsid w:val="00FD3E3B"/>
    <w:rsid w:val="00FD412C"/>
    <w:rsid w:val="00FE56CB"/>
    <w:rsid w:val="00FF42D5"/>
    <w:rsid w:val="00FF579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(základní)"/>
    <w:basedOn w:val="Normln"/>
    <w:next w:val="Nadpispodzkladn"/>
    <w:pPr>
      <w:spacing w:after="120"/>
      <w:jc w:val="center"/>
    </w:pPr>
    <w:rPr>
      <w:b/>
      <w:spacing w:val="30"/>
      <w:sz w:val="40"/>
    </w:rPr>
  </w:style>
  <w:style w:type="paragraph" w:customStyle="1" w:styleId="Nadpispodzkladn">
    <w:name w:val="Nadpis (podzákladní)"/>
    <w:basedOn w:val="Nadpiszkladn"/>
    <w:next w:val="Stranaprvn"/>
    <w:pPr>
      <w:pBdr>
        <w:bottom w:val="single" w:sz="4" w:space="1" w:color="auto"/>
      </w:pBdr>
      <w:spacing w:after="360"/>
    </w:pPr>
    <w:rPr>
      <w:spacing w:val="0"/>
      <w:sz w:val="24"/>
    </w:rPr>
  </w:style>
  <w:style w:type="paragraph" w:customStyle="1" w:styleId="Stranaprvn">
    <w:name w:val="Strana první"/>
    <w:basedOn w:val="1odstavecodsazen"/>
    <w:next w:val="a"/>
    <w:pPr>
      <w:spacing w:before="480"/>
    </w:pPr>
  </w:style>
  <w:style w:type="paragraph" w:customStyle="1" w:styleId="1odstavecodsazen">
    <w:name w:val="1. odstavec (odsazení)"/>
    <w:basedOn w:val="Normln"/>
    <w:link w:val="1odstavecodsazenChar"/>
    <w:pPr>
      <w:spacing w:before="240"/>
      <w:ind w:firstLine="454"/>
      <w:jc w:val="both"/>
    </w:pPr>
  </w:style>
  <w:style w:type="paragraph" w:customStyle="1" w:styleId="a">
    <w:name w:val="a"/>
    <w:basedOn w:val="1odstavecodsazen"/>
    <w:next w:val="Stranadruh"/>
    <w:pPr>
      <w:spacing w:before="360" w:after="360"/>
      <w:ind w:firstLine="0"/>
      <w:jc w:val="center"/>
    </w:pPr>
  </w:style>
  <w:style w:type="paragraph" w:customStyle="1" w:styleId="Stranadruh">
    <w:name w:val="Strana druhá"/>
    <w:basedOn w:val="1odstavecodsazen"/>
    <w:next w:val="Nadpisdruh"/>
    <w:pPr>
      <w:spacing w:before="0"/>
      <w:ind w:firstLine="0"/>
    </w:pPr>
  </w:style>
  <w:style w:type="paragraph" w:customStyle="1" w:styleId="Nadpisdruh">
    <w:name w:val="Nadpis (druhý)"/>
    <w:basedOn w:val="Stranadruh"/>
    <w:next w:val="Nadpispoddruh"/>
    <w:pPr>
      <w:spacing w:before="600"/>
      <w:jc w:val="center"/>
    </w:pPr>
  </w:style>
  <w:style w:type="paragraph" w:customStyle="1" w:styleId="Nadpispoddruh">
    <w:name w:val="Nadpis (pod druhý)"/>
    <w:basedOn w:val="Nadpisdruh"/>
    <w:next w:val="Nadpislnek"/>
    <w:pPr>
      <w:spacing w:before="0" w:after="600"/>
    </w:pPr>
  </w:style>
  <w:style w:type="paragraph" w:customStyle="1" w:styleId="Nadpislnek">
    <w:name w:val="Nadpis (článek)"/>
    <w:basedOn w:val="Nadpispodhlava"/>
    <w:next w:val="Nadpispodlnek"/>
    <w:pPr>
      <w:spacing w:before="480" w:after="0"/>
    </w:pPr>
    <w:rPr>
      <w:caps/>
    </w:rPr>
  </w:style>
  <w:style w:type="paragraph" w:customStyle="1" w:styleId="Nadpispodhlava">
    <w:name w:val="Nadpis (pod hlava)"/>
    <w:basedOn w:val="Nadpishlava"/>
    <w:pPr>
      <w:spacing w:before="0"/>
    </w:pPr>
    <w:rPr>
      <w:caps w:val="0"/>
      <w:sz w:val="24"/>
    </w:rPr>
  </w:style>
  <w:style w:type="paragraph" w:customStyle="1" w:styleId="Nadpishlava">
    <w:name w:val="Nadpis (hlava)"/>
    <w:basedOn w:val="Nadpispodst"/>
    <w:next w:val="Nadpispodhlava"/>
    <w:pPr>
      <w:spacing w:before="480" w:after="120"/>
    </w:pPr>
    <w:rPr>
      <w:caps/>
      <w:sz w:val="28"/>
    </w:rPr>
  </w:style>
  <w:style w:type="paragraph" w:customStyle="1" w:styleId="Nadpispodst">
    <w:name w:val="Nadpis (pod část)"/>
    <w:basedOn w:val="Nadpisst"/>
    <w:pPr>
      <w:spacing w:before="120" w:after="480"/>
    </w:pPr>
    <w:rPr>
      <w:caps w:val="0"/>
      <w:sz w:val="24"/>
    </w:rPr>
  </w:style>
  <w:style w:type="paragraph" w:customStyle="1" w:styleId="Nadpisst">
    <w:name w:val="Nadpis (část)"/>
    <w:basedOn w:val="Nadpispoddruh"/>
    <w:next w:val="Nadpispodst"/>
    <w:pPr>
      <w:spacing w:before="960" w:after="0"/>
    </w:pPr>
    <w:rPr>
      <w:b/>
      <w:caps/>
      <w:sz w:val="32"/>
    </w:rPr>
  </w:style>
  <w:style w:type="paragraph" w:customStyle="1" w:styleId="Nadpispodlnek">
    <w:name w:val="Nadpis (pod článek)"/>
    <w:basedOn w:val="Nadpislnek"/>
    <w:next w:val="1odstavecbezodsazen"/>
    <w:pPr>
      <w:spacing w:before="0" w:after="240"/>
    </w:pPr>
    <w:rPr>
      <w:caps w:val="0"/>
    </w:rPr>
  </w:style>
  <w:style w:type="paragraph" w:customStyle="1" w:styleId="1odstavecsla">
    <w:name w:val="1. odstavec (čísla)"/>
    <w:basedOn w:val="1odstavecodsazen"/>
    <w:pPr>
      <w:numPr>
        <w:numId w:val="12"/>
      </w:numPr>
      <w:tabs>
        <w:tab w:val="left" w:pos="1021"/>
        <w:tab w:val="left" w:pos="1531"/>
        <w:tab w:val="left" w:pos="2041"/>
      </w:tabs>
      <w:spacing w:before="120"/>
    </w:p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pPr>
      <w:ind w:firstLine="210"/>
    </w:pPr>
  </w:style>
  <w:style w:type="paragraph" w:customStyle="1" w:styleId="2odstavecsla">
    <w:name w:val="2. odstavec (čísla)"/>
    <w:basedOn w:val="1odstavecsla"/>
    <w:pPr>
      <w:numPr>
        <w:numId w:val="9"/>
      </w:numPr>
    </w:pPr>
  </w:style>
  <w:style w:type="paragraph" w:customStyle="1" w:styleId="1odstavecpsmena">
    <w:name w:val="1. odstavec (písmena)"/>
    <w:basedOn w:val="1odstavecsla"/>
    <w:pPr>
      <w:numPr>
        <w:numId w:val="11"/>
      </w:numPr>
    </w:pPr>
  </w:style>
  <w:style w:type="paragraph" w:customStyle="1" w:styleId="2odstavecpsmena">
    <w:name w:val="2. odstavec (písmena)"/>
    <w:basedOn w:val="2odstavecsla"/>
    <w:pPr>
      <w:numPr>
        <w:numId w:val="6"/>
      </w:numPr>
    </w:pPr>
  </w:style>
  <w:style w:type="paragraph" w:customStyle="1" w:styleId="3odstavecodsazen">
    <w:name w:val="3. odstavec (odsazení)"/>
    <w:basedOn w:val="1odstavecodsazen"/>
    <w:autoRedefine/>
    <w:pPr>
      <w:tabs>
        <w:tab w:val="left" w:pos="1531"/>
        <w:tab w:val="left" w:pos="2041"/>
      </w:tabs>
      <w:spacing w:before="120"/>
      <w:ind w:left="907"/>
    </w:pPr>
  </w:style>
  <w:style w:type="paragraph" w:customStyle="1" w:styleId="2odstavecodsazen">
    <w:name w:val="2. odstavec (odsazení)"/>
    <w:basedOn w:val="1odstavecodsazen"/>
    <w:link w:val="2odstavecodsazenChar"/>
    <w:pPr>
      <w:spacing w:before="120"/>
      <w:ind w:left="454"/>
    </w:pPr>
  </w:style>
  <w:style w:type="paragraph" w:customStyle="1" w:styleId="4odstavecsla">
    <w:name w:val="4. odstavec (čísla)"/>
    <w:basedOn w:val="4odstavecpsmena"/>
    <w:pPr>
      <w:numPr>
        <w:numId w:val="5"/>
      </w:numPr>
    </w:pPr>
  </w:style>
  <w:style w:type="paragraph" w:customStyle="1" w:styleId="4odstavecpsmena">
    <w:name w:val="4. odstavec (písmena)"/>
    <w:basedOn w:val="1odstavecpsmena"/>
    <w:pPr>
      <w:numPr>
        <w:numId w:val="10"/>
      </w:numPr>
    </w:pPr>
  </w:style>
  <w:style w:type="paragraph" w:customStyle="1" w:styleId="3odstavecsla">
    <w:name w:val="3. odstavec (čísla)"/>
    <w:basedOn w:val="1odstavecsla"/>
    <w:pPr>
      <w:numPr>
        <w:numId w:val="7"/>
      </w:numPr>
    </w:pPr>
  </w:style>
  <w:style w:type="paragraph" w:customStyle="1" w:styleId="3odstavecpsmena">
    <w:name w:val="3. odstavec (písmena)"/>
    <w:basedOn w:val="1odstavecsla"/>
    <w:pPr>
      <w:numPr>
        <w:numId w:val="8"/>
      </w:numPr>
    </w:pPr>
  </w:style>
  <w:style w:type="paragraph" w:customStyle="1" w:styleId="4odstavecodsazen">
    <w:name w:val="4. odstavec (odsazení)"/>
    <w:basedOn w:val="3odstavecodsazen"/>
    <w:pPr>
      <w:ind w:left="1361"/>
    </w:pPr>
  </w:style>
  <w:style w:type="paragraph" w:customStyle="1" w:styleId="4odstavecbezodsazen">
    <w:name w:val="4. odstavec (bez odsazení)"/>
    <w:basedOn w:val="4odstavecodsazen"/>
    <w:pPr>
      <w:tabs>
        <w:tab w:val="clear" w:pos="1531"/>
        <w:tab w:val="clear" w:pos="2041"/>
        <w:tab w:val="left" w:pos="1814"/>
      </w:tabs>
      <w:ind w:firstLine="0"/>
    </w:pPr>
  </w:style>
  <w:style w:type="paragraph" w:customStyle="1" w:styleId="3odstavecbezodsazen">
    <w:name w:val="3. odstavec (bez odsazení)"/>
    <w:basedOn w:val="3odstavecodsazen"/>
    <w:pPr>
      <w:tabs>
        <w:tab w:val="clear" w:pos="1531"/>
        <w:tab w:val="clear" w:pos="2041"/>
        <w:tab w:val="left" w:pos="1361"/>
      </w:tabs>
      <w:ind w:firstLine="0"/>
    </w:pPr>
  </w:style>
  <w:style w:type="paragraph" w:customStyle="1" w:styleId="2odstavecbezodsazen">
    <w:name w:val="2. odstavec (bez odsazení)"/>
    <w:basedOn w:val="2odstavecodsazen"/>
    <w:link w:val="2odstavecbezodsazenChar"/>
    <w:pPr>
      <w:tabs>
        <w:tab w:val="left" w:pos="907"/>
        <w:tab w:val="left" w:pos="1361"/>
      </w:tabs>
      <w:ind w:firstLine="0"/>
    </w:pPr>
  </w:style>
  <w:style w:type="paragraph" w:customStyle="1" w:styleId="1odstavecbezodsazen">
    <w:name w:val="1. odstavec (bez odsazení)"/>
    <w:basedOn w:val="1odstavecodsazen"/>
    <w:link w:val="1odstavecbezodsazenChar"/>
    <w:pPr>
      <w:tabs>
        <w:tab w:val="left" w:pos="454"/>
        <w:tab w:val="left" w:pos="907"/>
        <w:tab w:val="left" w:pos="1361"/>
      </w:tabs>
      <w:spacing w:before="0" w:after="120"/>
      <w:ind w:firstLine="0"/>
    </w:pPr>
  </w:style>
  <w:style w:type="paragraph" w:customStyle="1" w:styleId="Podpisy">
    <w:name w:val="Podpisy"/>
    <w:basedOn w:val="1odstavecsla"/>
    <w:next w:val="Podpodpisy"/>
    <w:pPr>
      <w:numPr>
        <w:numId w:val="0"/>
      </w:numPr>
      <w:spacing w:before="840"/>
      <w:jc w:val="center"/>
    </w:pPr>
  </w:style>
  <w:style w:type="paragraph" w:customStyle="1" w:styleId="Podpodpisy">
    <w:name w:val="Pod podpisy"/>
    <w:basedOn w:val="Podpisy"/>
    <w:pPr>
      <w:spacing w:before="120"/>
    </w:pPr>
  </w:style>
  <w:style w:type="paragraph" w:customStyle="1" w:styleId="Datum2">
    <w:name w:val="Datum 2"/>
    <w:basedOn w:val="1odstavecsla"/>
    <w:next w:val="Podpisy"/>
    <w:pPr>
      <w:numPr>
        <w:numId w:val="0"/>
      </w:numPr>
      <w:spacing w:before="840"/>
      <w:jc w:val="center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31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D05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D052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47385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11"/>
    <w:rsid w:val="00447385"/>
    <w:rPr>
      <w:rFonts w:ascii="Cambria" w:eastAsia="Times New Roman" w:hAnsi="Cambria" w:cs="Times New Roman"/>
      <w:sz w:val="24"/>
      <w:szCs w:val="24"/>
    </w:rPr>
  </w:style>
  <w:style w:type="paragraph" w:styleId="Bezmezer">
    <w:name w:val="No Spacing"/>
    <w:uiPriority w:val="1"/>
    <w:qFormat/>
    <w:rsid w:val="00B45C0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148FF"/>
    <w:pPr>
      <w:spacing w:before="100" w:beforeAutospacing="1" w:after="100" w:afterAutospacing="1"/>
    </w:pPr>
  </w:style>
  <w:style w:type="character" w:customStyle="1" w:styleId="1odstavecodsazenChar">
    <w:name w:val="1. odstavec (odsazení) Char"/>
    <w:link w:val="1odstavecodsazen"/>
    <w:rsid w:val="00084485"/>
    <w:rPr>
      <w:sz w:val="24"/>
      <w:szCs w:val="24"/>
      <w:lang w:val="cs-CZ" w:eastAsia="cs-CZ" w:bidi="ar-SA"/>
    </w:rPr>
  </w:style>
  <w:style w:type="character" w:customStyle="1" w:styleId="1odstavecbezodsazenChar">
    <w:name w:val="1. odstavec (bez odsazení) Char"/>
    <w:basedOn w:val="1odstavecodsazenChar"/>
    <w:link w:val="1odstavecbezodsazen"/>
    <w:rsid w:val="00084485"/>
    <w:rPr>
      <w:sz w:val="24"/>
      <w:szCs w:val="24"/>
      <w:lang w:val="cs-CZ" w:eastAsia="cs-CZ" w:bidi="ar-SA"/>
    </w:rPr>
  </w:style>
  <w:style w:type="character" w:customStyle="1" w:styleId="2odstavecodsazenChar">
    <w:name w:val="2. odstavec (odsazení) Char"/>
    <w:basedOn w:val="1odstavecodsazenChar"/>
    <w:link w:val="2odstavecodsazen"/>
    <w:rsid w:val="004B1451"/>
    <w:rPr>
      <w:sz w:val="24"/>
      <w:szCs w:val="24"/>
      <w:lang w:val="cs-CZ" w:eastAsia="cs-CZ" w:bidi="ar-SA"/>
    </w:rPr>
  </w:style>
  <w:style w:type="character" w:customStyle="1" w:styleId="2odstavecbezodsazenChar">
    <w:name w:val="2. odstavec (bez odsazení) Char"/>
    <w:basedOn w:val="2odstavecodsazenChar"/>
    <w:link w:val="2odstavecbezodsazen"/>
    <w:rsid w:val="004B1451"/>
    <w:rPr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E436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3CA5"/>
    <w:pPr>
      <w:ind w:left="708"/>
    </w:pPr>
  </w:style>
  <w:style w:type="character" w:styleId="Znakapoznpodarou">
    <w:name w:val="footnote reference"/>
    <w:uiPriority w:val="99"/>
    <w:semiHidden/>
    <w:unhideWhenUsed/>
    <w:rsid w:val="0081453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1453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814537"/>
    <w:rPr>
      <w:rFonts w:ascii="Calibri" w:eastAsia="Calibri" w:hAnsi="Calibri"/>
      <w:lang w:eastAsia="en-US"/>
    </w:rPr>
  </w:style>
  <w:style w:type="character" w:styleId="PromnnHTML">
    <w:name w:val="HTML Variable"/>
    <w:uiPriority w:val="99"/>
    <w:semiHidden/>
    <w:unhideWhenUsed/>
    <w:rsid w:val="00A50F4B"/>
    <w:rPr>
      <w:b/>
      <w:bCs/>
      <w:i w:val="0"/>
      <w:iCs w:val="0"/>
    </w:rPr>
  </w:style>
  <w:style w:type="character" w:customStyle="1" w:styleId="h1a1">
    <w:name w:val="h1a1"/>
    <w:rsid w:val="009536BC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530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n">
    <w:name w:val="Žádný"/>
    <w:rsid w:val="00A43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36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8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ydlv.MVCR\Documents\vaclav\&#352;ablony\Z&#225;klad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B7B7-E5B2-4471-8842-561570E4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Základní</Template>
  <TotalTime>3408</TotalTime>
  <Pages>4</Pages>
  <Words>1226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vlastní</vt:lpstr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vlastní</dc:title>
  <dc:creator>MVCR</dc:creator>
  <cp:lastModifiedBy>MVCR</cp:lastModifiedBy>
  <cp:revision>84</cp:revision>
  <cp:lastPrinted>2018-12-03T14:46:00Z</cp:lastPrinted>
  <dcterms:created xsi:type="dcterms:W3CDTF">2016-11-08T16:09:00Z</dcterms:created>
  <dcterms:modified xsi:type="dcterms:W3CDTF">2018-12-13T12:02:00Z</dcterms:modified>
</cp:coreProperties>
</file>